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1851660</wp:posOffset>
            </wp:positionH>
            <wp:positionV relativeFrom="paragraph">
              <wp:posOffset>85725</wp:posOffset>
            </wp:positionV>
            <wp:extent cx="3472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86360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43" w:lineRule="exact"/>
        <w:rPr>
          <w:sz w:val="24"/>
          <w:szCs w:val="24"/>
          <w:color w:val="auto"/>
        </w:rPr>
      </w:pPr>
    </w:p>
    <w:p>
      <w:pPr>
        <w:ind w:left="680" w:right="380" w:hanging="658"/>
        <w:spacing w:after="0" w:line="245" w:lineRule="auto"/>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2022</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3" w:lineRule="exact"/>
        <w:rPr>
          <w:sz w:val="24"/>
          <w:szCs w:val="24"/>
          <w:color w:val="auto"/>
        </w:rPr>
      </w:pPr>
    </w:p>
    <w:p>
      <w:pPr>
        <w:ind w:left="700" w:right="340" w:hanging="665"/>
        <w:spacing w:after="0" w:line="245" w:lineRule="auto"/>
        <w:tabs>
          <w:tab w:leader="none" w:pos="7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2880" w:type="dxa"/>
        <w:tblCellMar>
          <w:top w:w="0" w:type="dxa"/>
          <w:left w:w="0" w:type="dxa"/>
          <w:bottom w:w="0" w:type="dxa"/>
          <w:right w:w="0" w:type="dxa"/>
        </w:tblCellMar>
      </w:tblPr>
      <w:tr>
        <w:trPr>
          <w:trHeight w:val="195"/>
        </w:trPr>
        <w:tc>
          <w:tcPr>
            <w:tcW w:w="28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8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Pr>
          <w:p>
            <w:pPr>
              <w:jc w:val="right"/>
              <w:ind w:right="525"/>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29"/>
        </w:trPr>
        <w:tc>
          <w:tcPr>
            <w:tcW w:w="4500" w:type="dxa"/>
            <w:vAlign w:val="bottom"/>
            <w:gridSpan w:val="4"/>
          </w:tcPr>
          <w:p>
            <w:pPr>
              <w:ind w:left="1360"/>
              <w:spacing w:after="0"/>
              <w:rPr>
                <w:sz w:val="20"/>
                <w:szCs w:val="20"/>
                <w:color w:val="auto"/>
              </w:rPr>
            </w:pPr>
            <w:r>
              <w:rPr>
                <w:rFonts w:ascii="Times New Roman" w:cs="Times New Roman" w:eastAsia="Times New Roman" w:hAnsi="Times New Roman"/>
                <w:sz w:val="17"/>
                <w:szCs w:val="17"/>
                <w:b w:val="1"/>
                <w:bCs w:val="1"/>
                <w:color w:val="auto"/>
              </w:rPr>
              <w:t>Commission File Number: 001-32269</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79"/>
        </w:trPr>
        <w:tc>
          <w:tcPr>
            <w:tcW w:w="28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bl>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EXTRA SPACE STORAGE INC.</w:t>
      </w:r>
    </w:p>
    <w:p>
      <w:pPr>
        <w:spacing w:after="0" w:line="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57785</wp:posOffset>
            </wp:positionV>
            <wp:extent cx="3472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p>
      <w:pPr>
        <w:spacing w:after="0" w:line="20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20-1076777</w:t>
      </w:r>
    </w:p>
    <w:p>
      <w:pPr>
        <w:spacing w:after="0" w:line="25" w:lineRule="exact"/>
        <w:rPr>
          <w:sz w:val="24"/>
          <w:szCs w:val="24"/>
          <w:color w:val="auto"/>
        </w:rPr>
      </w:pPr>
    </w:p>
    <w:p>
      <w:pPr>
        <w:sectPr>
          <w:pgSz w:w="11900" w:h="16838" w:orient="portrait"/>
          <w:cols w:equalWidth="0" w:num="2">
            <w:col w:w="7400" w:space="720"/>
            <w:col w:w="3120"/>
          </w:cols>
          <w:pgMar w:left="320" w:top="525" w:right="33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240"/>
          </w:cols>
          <w:pgMar w:left="320" w:top="525" w:right="339" w:bottom="1440" w:gutter="0" w:footer="0" w:header="0"/>
          <w:type w:val="continuous"/>
        </w:sectPr>
      </w:pP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2795 East Cottonwood Parkway, Suite 300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Salt Lake City, Utah 84121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240"/>
          </w:cols>
          <w:pgMar w:left="320" w:top="525" w:right="339" w:bottom="1440"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(801) 365-4600</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Securities Exchange Act of 1934</w:t>
      </w:r>
    </w:p>
    <w:p>
      <w:pPr>
        <w:spacing w:after="0" w:line="49" w:lineRule="exact"/>
        <w:rPr>
          <w:sz w:val="24"/>
          <w:szCs w:val="24"/>
          <w:color w:val="auto"/>
        </w:rPr>
      </w:pPr>
    </w:p>
    <w:tbl>
      <w:tblPr>
        <w:tblLayout w:type="fixed"/>
        <w:tblInd w:w="6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4040" w:type="dxa"/>
            <w:vAlign w:val="bottom"/>
            <w:gridSpan w:val="2"/>
          </w:tcPr>
          <w:p>
            <w:pPr>
              <w:jc w:val="center"/>
              <w:ind w:left="713"/>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504"/>
        </w:trPr>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780" w:type="dxa"/>
            <w:vAlign w:val="bottom"/>
          </w:tcPr>
          <w:p>
            <w:pPr>
              <w:spacing w:after="0"/>
              <w:rPr>
                <w:sz w:val="24"/>
                <w:szCs w:val="24"/>
                <w:color w:val="auto"/>
              </w:rPr>
            </w:pPr>
          </w:p>
        </w:tc>
        <w:tc>
          <w:tcPr>
            <w:tcW w:w="20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9"/>
              </w:rPr>
              <w:t>EXR</w:t>
            </w:r>
          </w:p>
        </w:tc>
        <w:tc>
          <w:tcPr>
            <w:tcW w:w="8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200" w:lineRule="exact"/>
        <w:rPr>
          <w:sz w:val="24"/>
          <w:szCs w:val="24"/>
          <w:color w:val="auto"/>
        </w:rPr>
      </w:pPr>
    </w:p>
    <w:p>
      <w:pPr>
        <w:spacing w:after="0" w:line="320" w:lineRule="exact"/>
        <w:rPr>
          <w:sz w:val="24"/>
          <w:szCs w:val="24"/>
          <w:color w:val="auto"/>
        </w:rPr>
      </w:pPr>
    </w:p>
    <w:p>
      <w:pPr>
        <w:jc w:val="both"/>
        <w:ind w:right="80"/>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ind w:right="680"/>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Accelerated filer</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23"/>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74"/>
        </w:trPr>
        <w:tc>
          <w:tcPr>
            <w:tcW w:w="20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609"/>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380" w:type="dxa"/>
            <w:vAlign w:val="bottom"/>
          </w:tcPr>
          <w:p>
            <w:pPr>
              <w:jc w:val="right"/>
              <w:ind w:right="4693"/>
              <w:spacing w:after="0"/>
              <w:rPr>
                <w:sz w:val="20"/>
                <w:szCs w:val="20"/>
                <w:color w:val="auto"/>
              </w:rPr>
            </w:pPr>
            <w:r>
              <w:rPr>
                <w:rFonts w:ascii="Times New Roman" w:cs="Times New Roman" w:eastAsia="Times New Roman" w:hAnsi="Times New Roman"/>
                <w:sz w:val="17"/>
                <w:szCs w:val="17"/>
                <w:color w:val="auto"/>
              </w:rPr>
              <w:t>1</w:t>
            </w:r>
          </w:p>
        </w:tc>
        <w:tc>
          <w:tcPr>
            <w:tcW w:w="800" w:type="dxa"/>
            <w:vAlign w:val="bottom"/>
          </w:tcPr>
          <w:p>
            <w:pPr>
              <w:spacing w:after="0"/>
              <w:rPr>
                <w:sz w:val="24"/>
                <w:szCs w:val="24"/>
                <w:color w:val="auto"/>
              </w:rPr>
            </w:pPr>
          </w:p>
        </w:tc>
      </w:tr>
      <w:tr>
        <w:trPr>
          <w:trHeight w:val="112"/>
        </w:trPr>
        <w:tc>
          <w:tcPr>
            <w:tcW w:w="20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63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type w:val="continuous"/>
        </w:sectPr>
      </w:pPr>
    </w:p>
    <w:bookmarkStart w:id="1" w:name="page2"/>
    <w:bookmarkEnd w:id="1"/>
    <w:p>
      <w:pPr>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3" w:lineRule="exact"/>
        <w:rPr>
          <w:sz w:val="20"/>
          <w:szCs w:val="20"/>
          <w:color w:val="auto"/>
        </w:rPr>
      </w:pPr>
    </w:p>
    <w:p>
      <w:pPr>
        <w:spacing w:after="0" w:line="196" w:lineRule="exact"/>
        <w:tabs>
          <w:tab w:leader="none" w:pos="8100" w:val="left"/>
          <w:tab w:leader="none" w:pos="8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outstanding of the registrant’s common stock, par value $0.01 per share, as of August 1, 2022, was 133,912,036.</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436"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102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6"/>
          </w:tcPr>
          <w:p>
            <w:pPr>
              <w:jc w:val="center"/>
              <w:ind w:right="4060"/>
              <w:spacing w:after="0"/>
              <w:rPr>
                <w:sz w:val="20"/>
                <w:szCs w:val="20"/>
                <w:color w:val="auto"/>
              </w:rPr>
            </w:pPr>
            <w:r>
              <w:rPr>
                <w:rFonts w:ascii="Times New Roman" w:cs="Times New Roman" w:eastAsia="Times New Roman" w:hAnsi="Times New Roman"/>
                <w:sz w:val="17"/>
                <w:szCs w:val="17"/>
                <w:b w:val="1"/>
                <w:bCs w:val="1"/>
                <w:color w:val="auto"/>
              </w:rPr>
              <w:t>EXTRA SPACE STORAGE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40" w:type="dxa"/>
            <w:vAlign w:val="bottom"/>
            <w:gridSpan w:val="5"/>
          </w:tcPr>
          <w:p>
            <w:pPr>
              <w:jc w:val="center"/>
              <w:ind w:right="43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FF"/>
              </w:rPr>
              <w:t>STATEMENT ON FORWARD-LOOKING INFORMATION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98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1580" w:type="dxa"/>
            <w:vAlign w:val="bottom"/>
            <w:gridSpan w:val="5"/>
          </w:tcPr>
          <w:p>
            <w:pPr>
              <w:spacing w:after="0"/>
              <w:rPr>
                <w:sz w:val="22"/>
                <w:szCs w:val="22"/>
                <w:color w:val="auto"/>
              </w:rPr>
            </w:pPr>
          </w:p>
        </w:tc>
        <w:tc>
          <w:tcPr>
            <w:tcW w:w="6440" w:type="dxa"/>
            <w:vAlign w:val="bottom"/>
            <w:gridSpan w:val="5"/>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1. FINANCIAL STATEMENTS (unaudited)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color w:val="0000FF"/>
              </w:rPr>
              <w:t>NOTES TO CONDENSED CONSOLIDATED FINANCIAL STATEMENTS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2. MANAGEMENT’S DISCUSSION AND ANALYSIS OF FINANCIAL CONDITION AND RESULTS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1140" w:type="dxa"/>
            <w:vAlign w:val="bottom"/>
            <w:tcBorders>
              <w:top w:val="single" w:sz="8" w:color="0000FF"/>
              <w:bottom w:val="single" w:sz="8" w:color="0000FF"/>
            </w:tcBorders>
            <w:gridSpan w:val="4"/>
          </w:tcPr>
          <w:p>
            <w:pPr>
              <w:spacing w:after="0" w:line="176" w:lineRule="exact"/>
              <w:rPr>
                <w:sz w:val="20"/>
                <w:szCs w:val="20"/>
                <w:color w:val="auto"/>
              </w:rPr>
            </w:pPr>
            <w:r>
              <w:rPr>
                <w:rFonts w:ascii="Times New Roman" w:cs="Times New Roman" w:eastAsia="Times New Roman" w:hAnsi="Times New Roman"/>
                <w:sz w:val="17"/>
                <w:szCs w:val="17"/>
                <w:b w:val="1"/>
                <w:bCs w:val="1"/>
                <w:color w:val="0000FF"/>
                <w:w w:val="99"/>
              </w:rPr>
              <w:t>OPERATIONS</w:t>
            </w:r>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40" w:type="dxa"/>
            <w:vAlign w:val="bottom"/>
            <w:tcBorders>
              <w:top w:val="single" w:sz="8" w:color="0000FF"/>
              <w:bottom w:val="single" w:sz="8" w:color="0000FF"/>
            </w:tcBorders>
          </w:tcPr>
          <w:p>
            <w:pPr>
              <w:spacing w:after="0"/>
              <w:rPr>
                <w:sz w:val="16"/>
                <w:szCs w:val="16"/>
                <w:color w:val="auto"/>
              </w:rPr>
            </w:pPr>
          </w:p>
        </w:tc>
        <w:tc>
          <w:tcPr>
            <w:tcW w:w="500" w:type="dxa"/>
            <w:vAlign w:val="bottom"/>
            <w:tcBorders>
              <w:top w:val="single" w:sz="8" w:color="0000FF"/>
              <w:bottom w:val="single" w:sz="8" w:color="0000FF"/>
            </w:tcBorders>
          </w:tcPr>
          <w:p>
            <w:pPr>
              <w:spacing w:after="0"/>
              <w:rPr>
                <w:sz w:val="16"/>
                <w:szCs w:val="16"/>
                <w:color w:val="auto"/>
              </w:rPr>
            </w:pPr>
          </w:p>
        </w:tc>
        <w:tc>
          <w:tcPr>
            <w:tcW w:w="180" w:type="dxa"/>
            <w:vAlign w:val="bottom"/>
            <w:tcBorders>
              <w:top w:val="single" w:sz="8" w:color="0000FF"/>
              <w:bottom w:val="single" w:sz="8" w:color="0000FF"/>
            </w:tcBorders>
          </w:tcPr>
          <w:p>
            <w:pPr>
              <w:spacing w:after="0"/>
              <w:rPr>
                <w:sz w:val="16"/>
                <w:szCs w:val="16"/>
                <w:color w:val="auto"/>
              </w:rPr>
            </w:pPr>
          </w:p>
        </w:tc>
        <w:tc>
          <w:tcPr>
            <w:tcW w:w="600" w:type="dxa"/>
            <w:vAlign w:val="bottom"/>
            <w:tcBorders>
              <w:top w:val="single" w:sz="8" w:color="0000FF"/>
              <w:bottom w:val="single" w:sz="8" w:color="0000FF"/>
            </w:tcBorders>
            <w:gridSpan w:val="2"/>
          </w:tcPr>
          <w:p>
            <w:pPr>
              <w:spacing w:after="0"/>
              <w:rPr>
                <w:sz w:val="16"/>
                <w:szCs w:val="16"/>
                <w:color w:val="auto"/>
              </w:rPr>
            </w:pPr>
          </w:p>
        </w:tc>
        <w:tc>
          <w:tcPr>
            <w:tcW w:w="2940" w:type="dxa"/>
            <w:vAlign w:val="bottom"/>
            <w:tcBorders>
              <w:top w:val="single" w:sz="8" w:color="0000FF"/>
              <w:bottom w:val="single" w:sz="8" w:color="0000FF"/>
            </w:tcBorders>
            <w:gridSpan w:val="3"/>
          </w:tcPr>
          <w:p>
            <w:pPr>
              <w:spacing w:after="0"/>
              <w:rPr>
                <w:sz w:val="16"/>
                <w:szCs w:val="16"/>
                <w:color w:val="auto"/>
              </w:rPr>
            </w:pPr>
          </w:p>
        </w:tc>
        <w:tc>
          <w:tcPr>
            <w:tcW w:w="80" w:type="dxa"/>
            <w:vAlign w:val="bottom"/>
            <w:tcBorders>
              <w:top w:val="single" w:sz="8" w:color="0000FF"/>
              <w:bottom w:val="single" w:sz="8" w:color="0000FF"/>
            </w:tcBorders>
          </w:tcPr>
          <w:p>
            <w:pPr>
              <w:spacing w:after="0"/>
              <w:rPr>
                <w:sz w:val="16"/>
                <w:szCs w:val="16"/>
                <w:color w:val="auto"/>
              </w:rPr>
            </w:pPr>
          </w:p>
        </w:tc>
        <w:tc>
          <w:tcPr>
            <w:tcW w:w="1560" w:type="dxa"/>
            <w:vAlign w:val="bottom"/>
            <w:tcBorders>
              <w:top w:val="single" w:sz="8" w:color="0000FF"/>
              <w:bottom w:val="single" w:sz="8" w:color="0000FF"/>
            </w:tcBorders>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60" w:type="dxa"/>
            <w:vAlign w:val="bottom"/>
            <w:gridSpan w:val="17"/>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ITEM 3. QUANTITATIVE AND QUALITATIVE DISCLOSURES ABOUT MARKET RISK</w:t>
            </w:r>
          </w:p>
        </w:tc>
        <w:tc>
          <w:tcPr>
            <w:tcW w:w="372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960" w:type="dxa"/>
            <w:vAlign w:val="bottom"/>
            <w:tcBorders>
              <w:bottom w:val="single" w:sz="8" w:color="0000FF"/>
            </w:tcBorders>
            <w:gridSpan w:val="17"/>
            <w:vMerge w:val="continue"/>
          </w:tcPr>
          <w:p>
            <w:pPr>
              <w:spacing w:after="0"/>
              <w:rPr>
                <w:sz w:val="16"/>
                <w:szCs w:val="16"/>
                <w:color w:val="auto"/>
              </w:rPr>
            </w:pPr>
          </w:p>
        </w:tc>
        <w:tc>
          <w:tcPr>
            <w:tcW w:w="3720" w:type="dxa"/>
            <w:vAlign w:val="bottom"/>
            <w:gridSpan w:val="2"/>
            <w:vMerge w:val="continue"/>
          </w:tcPr>
          <w:p>
            <w:pPr>
              <w:spacing w:after="0"/>
              <w:rPr>
                <w:sz w:val="16"/>
                <w:szCs w:val="16"/>
                <w:color w:val="auto"/>
              </w:rPr>
            </w:pPr>
          </w:p>
        </w:tc>
        <w:tc>
          <w:tcPr>
            <w:tcW w:w="16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FF"/>
                <w:w w:val="82"/>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b w:val="1"/>
                <w:bCs w:val="1"/>
                <w:color w:val="0000FF"/>
              </w:rPr>
              <w:t>ITEM 4. CONTROLS AND PROCEDURES</w:t>
            </w:r>
          </w:p>
        </w:tc>
        <w:tc>
          <w:tcPr>
            <w:tcW w:w="7340" w:type="dxa"/>
            <w:vAlign w:val="bottom"/>
            <w:gridSpan w:val="8"/>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b w:val="1"/>
                <w:bCs w:val="1"/>
                <w:color w:val="0000FF"/>
              </w:rPr>
              <w:t>ITEM 1. LEGAL PROCEEDINGS</w:t>
            </w:r>
          </w:p>
        </w:tc>
        <w:tc>
          <w:tcPr>
            <w:tcW w:w="8060" w:type="dxa"/>
            <w:vAlign w:val="bottom"/>
            <w:gridSpan w:val="11"/>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0000FF"/>
              </w:rPr>
              <w:t>ITEM 1A. RISK FACTORS</w:t>
            </w:r>
          </w:p>
        </w:tc>
        <w:tc>
          <w:tcPr>
            <w:tcW w:w="8580" w:type="dxa"/>
            <w:vAlign w:val="bottom"/>
            <w:gridSpan w:val="13"/>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2. UNREGISTERED SALES OF EQUITY SECURITIES AND USE OF PROCEEDS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7"/>
                <w:szCs w:val="17"/>
                <w:b w:val="1"/>
                <w:bCs w:val="1"/>
                <w:color w:val="0000FF"/>
              </w:rPr>
              <w:t>ITEM 3. DEFAULTS UPON SENIOR SECURITIES</w:t>
            </w:r>
          </w:p>
        </w:tc>
        <w:tc>
          <w:tcPr>
            <w:tcW w:w="3800" w:type="dxa"/>
            <w:vAlign w:val="bottom"/>
            <w:gridSpan w:val="3"/>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b w:val="1"/>
                <w:bCs w:val="1"/>
                <w:color w:val="0000FF"/>
              </w:rPr>
              <w:t>ITEM 4. MINE SAFETY DISCLOSURES</w:t>
            </w:r>
          </w:p>
        </w:tc>
        <w:tc>
          <w:tcPr>
            <w:tcW w:w="6740" w:type="dxa"/>
            <w:vAlign w:val="bottom"/>
            <w:gridSpan w:val="6"/>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b w:val="1"/>
                <w:bCs w:val="1"/>
                <w:color w:val="0000FF"/>
              </w:rPr>
              <w:t>ITEM 5. OTHER INFORMATION</w:t>
            </w:r>
          </w:p>
        </w:tc>
        <w:tc>
          <w:tcPr>
            <w:tcW w:w="7520" w:type="dxa"/>
            <w:vAlign w:val="bottom"/>
            <w:gridSpan w:val="9"/>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b w:val="1"/>
                <w:bCs w:val="1"/>
                <w:color w:val="0000FF"/>
              </w:rPr>
              <w:t>ITEM 6. EXHIBITS</w:t>
            </w:r>
          </w:p>
        </w:tc>
        <w:tc>
          <w:tcPr>
            <w:tcW w:w="8020" w:type="dxa"/>
            <w:vAlign w:val="bottom"/>
            <w:gridSpan w:val="10"/>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9160" w:type="dxa"/>
            <w:vAlign w:val="bottom"/>
            <w:gridSpan w:val="15"/>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STATEMENT ON FORWARD-LOOKING INFORMATION</w:t>
      </w:r>
    </w:p>
    <w:p>
      <w:pPr>
        <w:spacing w:after="0" w:line="252"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200"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98"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2" w:lineRule="exact"/>
        <w:rPr>
          <w:sz w:val="20"/>
          <w:szCs w:val="20"/>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general economic conditions, the real estate industry and the markets in which we operate;</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close pending acquisitions and developments on expected terms, or at all;</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competition from new and existing stores or other storage alternatives, which could cause rents and occupancy rates to decline;</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for uninsured losses and environmental contamination;</w:t>
      </w:r>
    </w:p>
    <w:p>
      <w:pPr>
        <w:spacing w:after="0" w:line="66" w:lineRule="exact"/>
        <w:rPr>
          <w:rFonts w:ascii="Times New Roman" w:cs="Times New Roman" w:eastAsia="Times New Roman" w:hAnsi="Times New Roman"/>
          <w:sz w:val="17"/>
          <w:szCs w:val="17"/>
          <w:color w:val="auto"/>
        </w:rPr>
      </w:pPr>
    </w:p>
    <w:p>
      <w:pPr>
        <w:ind w:left="560" w:right="32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Times New Roman" w:cs="Times New Roman" w:eastAsia="Times New Roman" w:hAnsi="Times New Roman"/>
          <w:sz w:val="17"/>
          <w:szCs w:val="17"/>
          <w:color w:val="auto"/>
        </w:rPr>
      </w:pPr>
    </w:p>
    <w:p>
      <w:pPr>
        <w:ind w:left="560" w:right="4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credit and financial markets and resulting difficulties in raising capital or obtaining credit at reasonable rates or at all, which could impede our ability to grow;</w:t>
      </w:r>
    </w:p>
    <w:p>
      <w:pPr>
        <w:spacing w:after="0" w:line="1" w:lineRule="exact"/>
        <w:rPr>
          <w:rFonts w:ascii="Times New Roman" w:cs="Times New Roman" w:eastAsia="Times New Roman" w:hAnsi="Times New Roman"/>
          <w:sz w:val="17"/>
          <w:szCs w:val="17"/>
          <w:color w:val="auto"/>
        </w:rPr>
      </w:pPr>
    </w:p>
    <w:p>
      <w:pPr>
        <w:ind w:left="560" w:right="220" w:hanging="319"/>
        <w:spacing w:after="0" w:line="277"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5" w:lineRule="exact"/>
        <w:rPr>
          <w:rFonts w:ascii="Times New Roman" w:cs="Times New Roman" w:eastAsia="Times New Roman" w:hAnsi="Times New Roman"/>
          <w:sz w:val="17"/>
          <w:szCs w:val="17"/>
          <w:color w:val="auto"/>
        </w:rPr>
      </w:pPr>
    </w:p>
    <w:p>
      <w:pPr>
        <w:ind w:left="56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information technologies, which are vulnerable to, among other things, attack from computer viruses and malware, hacking, cyberattacks and other unauthorized access or misuse, any of which could adversely affect our business and results;</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interest rates;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reductions in asset valuations and related impairment charges;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sole decision-making authority with respect to our joint venture investments;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recent or future changes to U.S. tax laws;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maintain our REIT status for U.S. federal income tax purposes; and</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uncertainty due to the impact of natural disasters, war or terrorism, which could adversely affect our business plan.</w:t>
      </w:r>
    </w:p>
    <w:p>
      <w:pPr>
        <w:spacing w:after="0" w:line="224"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 w:name="page5"/>
    <w:bookmarkEnd w:id="4"/>
    <w:p>
      <w:pPr>
        <w:ind w:firstLine="433"/>
        <w:spacing w:after="0" w:line="297" w:lineRule="auto"/>
        <w:rPr>
          <w:sz w:val="20"/>
          <w:szCs w:val="20"/>
          <w:color w:val="auto"/>
        </w:rPr>
      </w:pPr>
      <w:r>
        <w:rPr>
          <w:rFonts w:ascii="Times New Roman" w:cs="Times New Roman" w:eastAsia="Times New Roman" w:hAnsi="Times New Roman"/>
          <w:sz w:val="17"/>
          <w:szCs w:val="17"/>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869"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71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4"/>
                <w:szCs w:val="24"/>
                <w:color w:val="auto"/>
              </w:rPr>
            </w:pPr>
          </w:p>
        </w:tc>
        <w:tc>
          <w:tcPr>
            <w:tcW w:w="7120" w:type="dxa"/>
            <w:vAlign w:val="bottom"/>
          </w:tcPr>
          <w:p>
            <w:pPr>
              <w:jc w:val="center"/>
              <w:ind w:left="2573"/>
              <w:spacing w:after="0"/>
              <w:rPr>
                <w:sz w:val="20"/>
                <w:szCs w:val="20"/>
                <w:color w:val="auto"/>
              </w:rPr>
            </w:pPr>
            <w:r>
              <w:rPr>
                <w:rFonts w:ascii="Times New Roman" w:cs="Times New Roman" w:eastAsia="Times New Roman" w:hAnsi="Times New Roman"/>
                <w:sz w:val="17"/>
                <w:szCs w:val="17"/>
                <w:b w:val="1"/>
                <w:bCs w:val="1"/>
                <w:color w:val="auto"/>
              </w:rPr>
              <w:t>Extra Space Storage Inc.</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7120" w:type="dxa"/>
            <w:vAlign w:val="bottom"/>
          </w:tcPr>
          <w:p>
            <w:pPr>
              <w:jc w:val="center"/>
              <w:ind w:left="2553"/>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7120" w:type="dxa"/>
            <w:vAlign w:val="bottom"/>
          </w:tcPr>
          <w:p>
            <w:pPr>
              <w:jc w:val="center"/>
              <w:ind w:left="2553"/>
              <w:spacing w:after="0"/>
              <w:rPr>
                <w:sz w:val="20"/>
                <w:szCs w:val="20"/>
                <w:color w:val="auto"/>
              </w:rPr>
            </w:pPr>
            <w:r>
              <w:rPr>
                <w:rFonts w:ascii="Times New Roman" w:cs="Times New Roman" w:eastAsia="Times New Roman" w:hAnsi="Times New Roman"/>
                <w:sz w:val="17"/>
                <w:szCs w:val="17"/>
                <w:color w:val="auto"/>
              </w:rPr>
              <w:t>(amounts in thousands, except share data)</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7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24"/>
                <w:szCs w:val="24"/>
                <w:color w:val="auto"/>
              </w:rPr>
            </w:pPr>
          </w:p>
        </w:tc>
        <w:tc>
          <w:tcPr>
            <w:tcW w:w="14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7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Real estate assets, net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9,135,464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8,834,649</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Real estate assets - operating lease right-of-use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227,949</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Investments in unconsolidated real estate entities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544,771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457,326</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Investments in debt securities and notes receivable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702,354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719,187</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71,126</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Other assets, net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353,967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159,172</w:t>
            </w:r>
          </w:p>
        </w:tc>
        <w:tc>
          <w:tcPr>
            <w:tcW w:w="0" w:type="dxa"/>
            <w:vAlign w:val="bottom"/>
          </w:tcPr>
          <w:p>
            <w:pPr>
              <w:spacing w:after="0"/>
              <w:rPr>
                <w:sz w:val="1"/>
                <w:szCs w:val="1"/>
                <w:color w:val="auto"/>
              </w:rPr>
            </w:pPr>
          </w:p>
        </w:tc>
      </w:tr>
      <w:tr>
        <w:trPr>
          <w:trHeight w:val="241"/>
        </w:trPr>
        <w:tc>
          <w:tcPr>
            <w:tcW w:w="74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11,038,767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10,474,477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Liabilities, Noncontrolling Interests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Notes payable, net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1,320,755</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Unsecured term loans,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1,742,995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1,741,926</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Unsecured senior notes,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2,757,158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2,360,066</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Revolving lines of credit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535,000</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233,356</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Cash distributions in unconsolidated real estate ventures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63,582</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171,918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142,285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282,200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291,531</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7,145,527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6,688,501</w:t>
            </w:r>
          </w:p>
        </w:tc>
        <w:tc>
          <w:tcPr>
            <w:tcW w:w="0" w:type="dxa"/>
            <w:vAlign w:val="bottom"/>
          </w:tcPr>
          <w:p>
            <w:pPr>
              <w:spacing w:after="0"/>
              <w:rPr>
                <w:sz w:val="1"/>
                <w:szCs w:val="1"/>
                <w:color w:val="auto"/>
              </w:rPr>
            </w:pPr>
          </w:p>
        </w:tc>
      </w:tr>
      <w:tr>
        <w:trPr>
          <w:trHeight w:val="20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 and Equity: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Extra Space Storage Inc. stockholders' equity:</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Preferred stock, $0.01 par value, 50,000,000 shares authorized, no shares issued or outstanding</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7860" w:type="dxa"/>
            <w:vAlign w:val="bottom"/>
            <w:gridSpan w:val="2"/>
          </w:tcPr>
          <w:p>
            <w:pPr>
              <w:ind w:left="500"/>
              <w:spacing w:after="0" w:line="171" w:lineRule="exact"/>
              <w:rPr>
                <w:sz w:val="20"/>
                <w:szCs w:val="20"/>
                <w:color w:val="auto"/>
              </w:rPr>
            </w:pPr>
            <w:r>
              <w:rPr>
                <w:rFonts w:ascii="Times New Roman" w:cs="Times New Roman" w:eastAsia="Times New Roman" w:hAnsi="Times New Roman"/>
                <w:sz w:val="17"/>
                <w:szCs w:val="17"/>
                <w:color w:val="auto"/>
              </w:rPr>
              <w:t>Common stock, $0.01 par value, 500,000,000 shares authorized, 133,900,184 and 133,922,305 shares</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8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issued and outstanding at June 30, 2022 and December 31, 2021, respectively</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3,285,948</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(42,546)</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(128,245)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Extra Space Storage Inc. stockholders' equity</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3,202,120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3,116,496</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Noncontrolling interest represented by Preferred Operating Partnership units,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259,110</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Noncontrolling interests in Operating Partnership, net and other noncontrolling interests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429,889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410,370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noncontrolling interests and equity</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3,893,240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3,785,976</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liabilities, noncontrolling interests and equity</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11,038,767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10,474,477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36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rental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408,044</w:t>
            </w:r>
          </w:p>
        </w:tc>
        <w:tc>
          <w:tcPr>
            <w:tcW w:w="14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321,500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787,852</w:t>
            </w:r>
          </w:p>
        </w:tc>
        <w:tc>
          <w:tcPr>
            <w:tcW w:w="16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625,093</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Tenant reinsurance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46,427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81,953</w:t>
            </w:r>
          </w:p>
        </w:tc>
        <w:tc>
          <w:tcPr>
            <w:tcW w:w="0" w:type="dxa"/>
            <w:vAlign w:val="bottom"/>
          </w:tcPr>
          <w:p>
            <w:pPr>
              <w:spacing w:after="0"/>
              <w:rPr>
                <w:sz w:val="1"/>
                <w:szCs w:val="1"/>
                <w:color w:val="auto"/>
              </w:rPr>
            </w:pPr>
          </w:p>
        </w:tc>
      </w:tr>
      <w:tr>
        <w:trPr>
          <w:trHeight w:val="208"/>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20,517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30,441</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474,988</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378,630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918,550</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737,487</w:t>
            </w:r>
          </w:p>
        </w:tc>
        <w:tc>
          <w:tcPr>
            <w:tcW w:w="0" w:type="dxa"/>
            <w:vAlign w:val="bottom"/>
          </w:tcPr>
          <w:p>
            <w:pPr>
              <w:spacing w:after="0"/>
              <w:rPr>
                <w:sz w:val="1"/>
                <w:szCs w:val="1"/>
                <w:color w:val="auto"/>
              </w:rPr>
            </w:pPr>
          </w:p>
        </w:tc>
      </w:tr>
      <w:tr>
        <w:trPr>
          <w:trHeight w:val="188"/>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operations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104,252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181,522</w:t>
            </w:r>
          </w:p>
        </w:tc>
        <w:tc>
          <w:tcPr>
            <w:tcW w:w="0" w:type="dxa"/>
            <w:vAlign w:val="bottom"/>
          </w:tcPr>
          <w:p>
            <w:pPr>
              <w:spacing w:after="0"/>
              <w:rPr>
                <w:sz w:val="1"/>
                <w:szCs w:val="1"/>
                <w:color w:val="auto"/>
              </w:rPr>
            </w:pPr>
          </w:p>
        </w:tc>
      </w:tr>
      <w:tr>
        <w:trPr>
          <w:trHeight w:val="208"/>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Tenant reinsurance</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13,896</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31,251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49,881</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69,067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136,973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118,169</w:t>
            </w:r>
          </w:p>
        </w:tc>
        <w:tc>
          <w:tcPr>
            <w:tcW w:w="0" w:type="dxa"/>
            <w:vAlign w:val="bottom"/>
          </w:tcPr>
          <w:p>
            <w:pPr>
              <w:spacing w:after="0"/>
              <w:rPr>
                <w:sz w:val="1"/>
                <w:szCs w:val="1"/>
                <w:color w:val="auto"/>
              </w:rPr>
            </w:pPr>
          </w:p>
        </w:tc>
      </w:tr>
      <w:tr>
        <w:trPr>
          <w:trHeight w:val="201"/>
        </w:trPr>
        <w:tc>
          <w:tcPr>
            <w:tcW w:w="6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10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213,572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181,801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421,824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363,468</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63,883</w:t>
            </w:r>
          </w:p>
        </w:tc>
        <w:tc>
          <w:tcPr>
            <w:tcW w:w="0" w:type="dxa"/>
            <w:vAlign w:val="bottom"/>
          </w:tcPr>
          <w:p>
            <w:pPr>
              <w:spacing w:after="0"/>
              <w:rPr>
                <w:sz w:val="1"/>
                <w:szCs w:val="1"/>
                <w:color w:val="auto"/>
              </w:rPr>
            </w:pPr>
          </w:p>
        </w:tc>
      </w:tr>
      <w:tr>
        <w:trPr>
          <w:trHeight w:val="201"/>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275,665</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196,829</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510,975</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437,902</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(80,935)</w:t>
            </w:r>
          </w:p>
        </w:tc>
        <w:tc>
          <w:tcPr>
            <w:tcW w:w="0" w:type="dxa"/>
            <w:vAlign w:val="bottom"/>
          </w:tcPr>
          <w:p>
            <w:pPr>
              <w:spacing w:after="0"/>
              <w:rPr>
                <w:sz w:val="1"/>
                <w:szCs w:val="1"/>
                <w:color w:val="auto"/>
              </w:rPr>
            </w:pPr>
          </w:p>
        </w:tc>
      </w:tr>
      <w:tr>
        <w:trPr>
          <w:trHeight w:val="208"/>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15,060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34,049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25,142</w:t>
            </w:r>
          </w:p>
        </w:tc>
        <w:tc>
          <w:tcPr>
            <w:tcW w:w="0" w:type="dxa"/>
            <w:vAlign w:val="bottom"/>
          </w:tcPr>
          <w:p>
            <w:pPr>
              <w:spacing w:after="0"/>
              <w:rPr>
                <w:sz w:val="1"/>
                <w:szCs w:val="1"/>
                <w:color w:val="auto"/>
              </w:rPr>
            </w:pPr>
          </w:p>
        </w:tc>
      </w:tr>
      <w:tr>
        <w:trPr>
          <w:trHeight w:val="139"/>
        </w:trPr>
        <w:tc>
          <w:tcPr>
            <w:tcW w:w="6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color w:val="auto"/>
              </w:rPr>
              <w:t>Income before equity in earnings and dividend income from unconsolidated real estate</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243,259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169,427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455,020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382,109</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 and income tax expense</w:t>
            </w: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and dividend income from unconsolidated real estate entities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15,278</w:t>
            </w:r>
          </w:p>
        </w:tc>
        <w:tc>
          <w:tcPr>
            <w:tcW w:w="0" w:type="dxa"/>
            <w:vAlign w:val="bottom"/>
          </w:tcPr>
          <w:p>
            <w:pPr>
              <w:spacing w:after="0"/>
              <w:rPr>
                <w:sz w:val="1"/>
                <w:szCs w:val="1"/>
                <w:color w:val="auto"/>
              </w:rPr>
            </w:pPr>
          </w:p>
        </w:tc>
      </w:tr>
      <w:tr>
        <w:trPr>
          <w:trHeight w:val="159"/>
        </w:trPr>
        <w:tc>
          <w:tcPr>
            <w:tcW w:w="60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Equity in earnings of unconsolidated real estate ventures - gain on sale of real estate assets and</w:t>
            </w:r>
          </w:p>
        </w:tc>
        <w:tc>
          <w:tcPr>
            <w:tcW w:w="1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joint venture partner's interest</w:t>
            </w: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(9,558)</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247,834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178,579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465,551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394,080</w:t>
            </w:r>
          </w:p>
        </w:tc>
        <w:tc>
          <w:tcPr>
            <w:tcW w:w="0" w:type="dxa"/>
            <w:vAlign w:val="bottom"/>
          </w:tcPr>
          <w:p>
            <w:pPr>
              <w:spacing w:after="0"/>
              <w:rPr>
                <w:sz w:val="1"/>
                <w:szCs w:val="1"/>
                <w:color w:val="auto"/>
              </w:rPr>
            </w:pPr>
          </w:p>
        </w:tc>
      </w:tr>
      <w:tr>
        <w:trPr>
          <w:trHeight w:val="208"/>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allocated to Preferred Operating Partnership noncontrolling interests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(7,118)</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allocated to Operating Partnership and other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(16,016)</w:t>
            </w:r>
          </w:p>
        </w:tc>
        <w:tc>
          <w:tcPr>
            <w:tcW w:w="0" w:type="dxa"/>
            <w:vAlign w:val="bottom"/>
          </w:tcPr>
          <w:p>
            <w:pPr>
              <w:spacing w:after="0"/>
              <w:rPr>
                <w:sz w:val="1"/>
                <w:szCs w:val="1"/>
                <w:color w:val="auto"/>
              </w:rPr>
            </w:pPr>
          </w:p>
        </w:tc>
      </w:tr>
      <w:tr>
        <w:trPr>
          <w:trHeight w:val="20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232,130</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167,948</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435,709</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370,946</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Earnings per common share</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134,192,540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133,756,610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134,186,426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132,886,933</w:t>
            </w:r>
          </w:p>
        </w:tc>
        <w:tc>
          <w:tcPr>
            <w:tcW w:w="0" w:type="dxa"/>
            <w:vAlign w:val="bottom"/>
          </w:tcPr>
          <w:p>
            <w:pPr>
              <w:spacing w:after="0"/>
              <w:rPr>
                <w:sz w:val="1"/>
                <w:szCs w:val="1"/>
                <w:color w:val="auto"/>
              </w:rPr>
            </w:pPr>
          </w:p>
        </w:tc>
      </w:tr>
      <w:tr>
        <w:trPr>
          <w:trHeight w:val="208"/>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142,737,909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140,407,195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141,600,206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140,428,558</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36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6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6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247,834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465,551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394,080</w:t>
            </w:r>
          </w:p>
        </w:tc>
      </w:tr>
      <w:tr>
        <w:trPr>
          <w:trHeight w:val="208"/>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6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 in fair value of interest rate swaps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71,762</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28,630</w:t>
            </w:r>
          </w:p>
        </w:tc>
      </w:tr>
      <w:tr>
        <w:trPr>
          <w:trHeight w:val="201"/>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267,947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184,196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537,313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422,710</w:t>
            </w:r>
          </w:p>
        </w:tc>
      </w:tr>
      <w:tr>
        <w:trPr>
          <w:trHeight w:val="210"/>
        </w:trPr>
        <w:tc>
          <w:tcPr>
            <w:tcW w:w="6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24,501</w:t>
            </w:r>
          </w:p>
        </w:tc>
      </w:tr>
      <w:tr>
        <w:trPr>
          <w:trHeight w:val="205"/>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251,228</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173,298</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503,810</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398,209</w:t>
            </w:r>
          </w:p>
        </w:tc>
      </w:tr>
      <w:tr>
        <w:trPr>
          <w:trHeight w:val="20"/>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3660" w:type="dxa"/>
            <w:vAlign w:val="bottom"/>
            <w:gridSpan w:val="10"/>
          </w:tcPr>
          <w:p>
            <w:pPr>
              <w:ind w:left="80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6"/>
        </w:trPr>
        <w:tc>
          <w:tcPr>
            <w:tcW w:w="3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1"/>
              </w:rPr>
              <w:t>Par</w:t>
            </w: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vMerge w:val="continue"/>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vMerge w:val="continue"/>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vMerge w:val="continue"/>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Interests and</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5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7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8"/>
        </w:trPr>
        <w:tc>
          <w:tcPr>
            <w:tcW w:w="3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2020</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172,052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215,892</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$ 401</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131,357,961</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$1,314</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$3,000,458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(99,093)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(354,900)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2,936,124</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the exercise of options</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56,722</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0" w:type="dxa"/>
            <w:vAlign w:val="bottom"/>
          </w:tcPr>
          <w:p>
            <w:pPr>
              <w:spacing w:after="0"/>
              <w:rPr>
                <w:sz w:val="1"/>
                <w:szCs w:val="1"/>
                <w:color w:val="auto"/>
              </w:rPr>
            </w:pPr>
          </w:p>
        </w:tc>
      </w:tr>
      <w:tr>
        <w:trPr>
          <w:trHeight w:val="159"/>
        </w:trPr>
        <w:tc>
          <w:tcPr>
            <w:tcW w:w="3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common stock in connection with share</w:t>
            </w:r>
          </w:p>
        </w:tc>
        <w:tc>
          <w:tcPr>
            <w:tcW w:w="14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89,793</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2,185,685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273,720</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for stock</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 in consolidated joint venture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8,828</w:t>
            </w: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215,501</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956</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23,013</w:t>
            </w:r>
          </w:p>
        </w:tc>
        <w:tc>
          <w:tcPr>
            <w:tcW w:w="0" w:type="dxa"/>
            <w:vAlign w:val="bottom"/>
          </w:tcPr>
          <w:p>
            <w:pPr>
              <w:spacing w:after="0"/>
              <w:rPr>
                <w:sz w:val="1"/>
                <w:szCs w:val="1"/>
                <w:color w:val="auto"/>
              </w:rPr>
            </w:pPr>
          </w:p>
        </w:tc>
      </w:tr>
      <w:tr>
        <w:trPr>
          <w:trHeight w:val="157"/>
        </w:trPr>
        <w:tc>
          <w:tcPr>
            <w:tcW w:w="36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Distributions to Operating Partnership units held by</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(5,801)</w:t>
            </w:r>
          </w:p>
        </w:tc>
        <w:tc>
          <w:tcPr>
            <w:tcW w:w="60" w:type="dxa"/>
            <w:vAlign w:val="bottom"/>
          </w:tcPr>
          <w:p>
            <w:pPr>
              <w:spacing w:after="0"/>
              <w:rPr>
                <w:sz w:val="13"/>
                <w:szCs w:val="13"/>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(9,025)</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on common stock at $1.00 per share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(132,540)</w:t>
            </w:r>
          </w:p>
        </w:tc>
        <w:tc>
          <w:tcPr>
            <w:tcW w:w="0" w:type="dxa"/>
            <w:vAlign w:val="bottom"/>
          </w:tcPr>
          <w:p>
            <w:pPr>
              <w:spacing w:after="0"/>
              <w:rPr>
                <w:sz w:val="1"/>
                <w:szCs w:val="1"/>
                <w:color w:val="auto"/>
              </w:rPr>
            </w:pPr>
          </w:p>
        </w:tc>
      </w:tr>
      <w:tr>
        <w:trPr>
          <w:trHeight w:val="202"/>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March 31, 2021</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172,652</w:t>
            </w:r>
          </w:p>
        </w:tc>
        <w:tc>
          <w:tcPr>
            <w:tcW w:w="6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219,682</w:t>
            </w:r>
          </w:p>
        </w:tc>
        <w:tc>
          <w:tcPr>
            <w:tcW w:w="60" w:type="dxa"/>
            <w:vAlign w:val="bottom"/>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$ 346</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133,692,662</w:t>
            </w:r>
          </w:p>
        </w:tc>
        <w:tc>
          <w:tcPr>
            <w:tcW w:w="8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$1,336</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$3,282,255</w:t>
            </w:r>
          </w:p>
        </w:tc>
        <w:tc>
          <w:tcPr>
            <w:tcW w:w="8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(77,180)</w:t>
            </w:r>
          </w:p>
        </w:tc>
        <w:tc>
          <w:tcPr>
            <w:tcW w:w="8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(284,442)</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3,314,649</w:t>
            </w:r>
          </w:p>
        </w:tc>
        <w:tc>
          <w:tcPr>
            <w:tcW w:w="0" w:type="dxa"/>
            <w:vAlign w:val="bottom"/>
          </w:tcPr>
          <w:p>
            <w:pPr>
              <w:spacing w:after="0"/>
              <w:rPr>
                <w:sz w:val="1"/>
                <w:szCs w:val="1"/>
                <w:color w:val="auto"/>
              </w:rPr>
            </w:pPr>
          </w:p>
        </w:tc>
      </w:tr>
      <w:tr>
        <w:trPr>
          <w:trHeight w:val="211"/>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the exercise of options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36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in connection with share</w:t>
            </w:r>
          </w:p>
        </w:tc>
        <w:tc>
          <w:tcPr>
            <w:tcW w:w="14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44,990</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Offering costs associated with previous stock issuance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for stock</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for cash</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159"/>
        </w:trPr>
        <w:tc>
          <w:tcPr>
            <w:tcW w:w="3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Repayment of receivable with Operating Partnership</w:t>
            </w:r>
          </w:p>
        </w:tc>
        <w:tc>
          <w:tcPr>
            <w:tcW w:w="14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411</w:t>
            </w:r>
          </w:p>
        </w:tc>
        <w:tc>
          <w:tcPr>
            <w:tcW w:w="6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 pledged as collateral</w:t>
            </w: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 in consolidated joint venture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7,190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178,579</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232</w:t>
            </w:r>
          </w:p>
        </w:tc>
        <w:tc>
          <w:tcPr>
            <w:tcW w:w="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0" w:type="dxa"/>
            <w:vAlign w:val="bottom"/>
          </w:tcPr>
          <w:p>
            <w:pPr>
              <w:spacing w:after="0"/>
              <w:rPr>
                <w:sz w:val="1"/>
                <w:szCs w:val="1"/>
                <w:color w:val="auto"/>
              </w:rPr>
            </w:pPr>
          </w:p>
        </w:tc>
      </w:tr>
      <w:tr>
        <w:trPr>
          <w:trHeight w:val="159"/>
        </w:trPr>
        <w:tc>
          <w:tcPr>
            <w:tcW w:w="3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Distributions to Operating Partnership units held by</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6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paid on common stock at $1.00 per share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(133,777)</w:t>
            </w:r>
          </w:p>
        </w:tc>
        <w:tc>
          <w:tcPr>
            <w:tcW w:w="0" w:type="dxa"/>
            <w:vAlign w:val="bottom"/>
          </w:tcPr>
          <w:p>
            <w:pPr>
              <w:spacing w:after="0"/>
              <w:rPr>
                <w:sz w:val="1"/>
                <w:szCs w:val="1"/>
                <w:color w:val="auto"/>
              </w:rPr>
            </w:pPr>
          </w:p>
        </w:tc>
      </w:tr>
      <w:tr>
        <w:trPr>
          <w:trHeight w:val="204"/>
        </w:trPr>
        <w:tc>
          <w:tcPr>
            <w:tcW w:w="3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2021</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172,902</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219,466</w:t>
            </w: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$ 499</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133,791,109</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1,337</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3,288,852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(71,830)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(250,271)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3,360,955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3660" w:type="dxa"/>
            <w:vAlign w:val="bottom"/>
            <w:gridSpan w:val="10"/>
          </w:tcPr>
          <w:p>
            <w:pPr>
              <w:ind w:left="80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6"/>
        </w:trPr>
        <w:tc>
          <w:tcPr>
            <w:tcW w:w="3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1"/>
              </w:rPr>
              <w:t>Par</w:t>
            </w: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vMerge w:val="continue"/>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vMerge w:val="continue"/>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vMerge w:val="continue"/>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Interests and</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5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7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2021</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259,110</w:t>
            </w:r>
          </w:p>
        </w:tc>
        <w:tc>
          <w:tcPr>
            <w:tcW w:w="6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410,053</w:t>
            </w:r>
          </w:p>
        </w:tc>
        <w:tc>
          <w:tcPr>
            <w:tcW w:w="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$ 317</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133,922,305</w:t>
            </w: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$1,339</w:t>
            </w: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$3,285,948</w:t>
            </w:r>
          </w:p>
        </w:tc>
        <w:tc>
          <w:tcPr>
            <w:tcW w:w="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(42,546)</w:t>
            </w:r>
          </w:p>
        </w:tc>
        <w:tc>
          <w:tcPr>
            <w:tcW w:w="8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(128,245)</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3,785,976</w:t>
            </w:r>
          </w:p>
        </w:tc>
        <w:tc>
          <w:tcPr>
            <w:tcW w:w="0" w:type="dxa"/>
            <w:vAlign w:val="bottom"/>
          </w:tcPr>
          <w:p>
            <w:pPr>
              <w:spacing w:after="0"/>
              <w:rPr>
                <w:sz w:val="1"/>
                <w:szCs w:val="1"/>
                <w:color w:val="auto"/>
              </w:rPr>
            </w:pPr>
          </w:p>
        </w:tc>
      </w:tr>
      <w:tr>
        <w:trPr>
          <w:trHeight w:val="158"/>
        </w:trPr>
        <w:tc>
          <w:tcPr>
            <w:tcW w:w="366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in connection with share</w:t>
            </w:r>
          </w:p>
        </w:tc>
        <w:tc>
          <w:tcPr>
            <w:tcW w:w="14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142,784</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for cash</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0" w:type="dxa"/>
            <w:vAlign w:val="bottom"/>
          </w:tcPr>
          <w:p>
            <w:pPr>
              <w:spacing w:after="0"/>
              <w:rPr>
                <w:sz w:val="1"/>
                <w:szCs w:val="1"/>
                <w:color w:val="auto"/>
              </w:rPr>
            </w:pPr>
          </w:p>
        </w:tc>
      </w:tr>
      <w:tr>
        <w:trPr>
          <w:trHeight w:val="157"/>
        </w:trPr>
        <w:tc>
          <w:tcPr>
            <w:tcW w:w="36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Redemption of Preferred B Units in the Operating</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Partnership for cash</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common stock in conjunction with</w:t>
            </w:r>
          </w:p>
        </w:tc>
        <w:tc>
          <w:tcPr>
            <w:tcW w:w="14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186,766</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9,805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217,717</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2,333</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51,649</w:t>
            </w:r>
          </w:p>
        </w:tc>
        <w:tc>
          <w:tcPr>
            <w:tcW w:w="0" w:type="dxa"/>
            <w:vAlign w:val="bottom"/>
          </w:tcPr>
          <w:p>
            <w:pPr>
              <w:spacing w:after="0"/>
              <w:rPr>
                <w:sz w:val="1"/>
                <w:szCs w:val="1"/>
                <w:color w:val="auto"/>
              </w:rPr>
            </w:pPr>
          </w:p>
        </w:tc>
      </w:tr>
      <w:tr>
        <w:trPr>
          <w:trHeight w:val="157"/>
        </w:trPr>
        <w:tc>
          <w:tcPr>
            <w:tcW w:w="36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Distributions to Operating Partnership units held by</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(9,781)</w:t>
            </w:r>
          </w:p>
        </w:tc>
        <w:tc>
          <w:tcPr>
            <w:tcW w:w="60" w:type="dxa"/>
            <w:vAlign w:val="bottom"/>
          </w:tcPr>
          <w:p>
            <w:pPr>
              <w:spacing w:after="0"/>
              <w:rPr>
                <w:sz w:val="13"/>
                <w:szCs w:val="13"/>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(14,111)</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on common stock at $1.50 per share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(202,527)</w:t>
            </w:r>
          </w:p>
        </w:tc>
        <w:tc>
          <w:tcPr>
            <w:tcW w:w="0" w:type="dxa"/>
            <w:vAlign w:val="bottom"/>
          </w:tcPr>
          <w:p>
            <w:pPr>
              <w:spacing w:after="0"/>
              <w:rPr>
                <w:sz w:val="1"/>
                <w:szCs w:val="1"/>
                <w:color w:val="auto"/>
              </w:rPr>
            </w:pPr>
          </w:p>
        </w:tc>
      </w:tr>
      <w:tr>
        <w:trPr>
          <w:trHeight w:val="177"/>
        </w:trPr>
        <w:tc>
          <w:tcPr>
            <w:tcW w:w="36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Balances at March 31, 2022</w:t>
            </w:r>
          </w:p>
        </w:tc>
        <w:tc>
          <w:tcPr>
            <w:tcW w:w="140" w:type="dxa"/>
            <w:vAlign w:val="bottom"/>
            <w:tcBorders>
              <w:top w:val="single" w:sz="8" w:color="auto"/>
              <w:bottom w:val="single" w:sz="8" w:color="auto"/>
            </w:tcBorders>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ind w:right="2"/>
              <w:spacing w:after="0" w:line="177" w:lineRule="exact"/>
              <w:rPr>
                <w:sz w:val="20"/>
                <w:szCs w:val="20"/>
                <w:color w:val="auto"/>
              </w:rPr>
            </w:pPr>
            <w:r>
              <w:rPr>
                <w:rFonts w:ascii="Times New Roman" w:cs="Times New Roman" w:eastAsia="Times New Roman" w:hAnsi="Times New Roman"/>
                <w:sz w:val="16"/>
                <w:szCs w:val="16"/>
                <w:b w:val="1"/>
                <w:bCs w:val="1"/>
                <w:color w:val="auto"/>
                <w:w w:val="99"/>
              </w:rPr>
              <w:t>256,051</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tcPr>
          <w:p>
            <w:pPr>
              <w:jc w:val="right"/>
              <w:ind w:right="1"/>
              <w:spacing w:after="0" w:line="177" w:lineRule="exact"/>
              <w:rPr>
                <w:sz w:val="20"/>
                <w:szCs w:val="20"/>
                <w:color w:val="auto"/>
              </w:rPr>
            </w:pPr>
            <w:r>
              <w:rPr>
                <w:rFonts w:ascii="Times New Roman" w:cs="Times New Roman" w:eastAsia="Times New Roman" w:hAnsi="Times New Roman"/>
                <w:sz w:val="16"/>
                <w:szCs w:val="16"/>
                <w:b w:val="1"/>
                <w:bCs w:val="1"/>
                <w:color w:val="auto"/>
              </w:rPr>
              <w:t>411,581</w:t>
            </w:r>
          </w:p>
        </w:tc>
        <w:tc>
          <w:tcPr>
            <w:tcW w:w="6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$ 317</w:t>
            </w:r>
          </w:p>
        </w:tc>
        <w:tc>
          <w:tcPr>
            <w:tcW w:w="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134,251,076</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1,343</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3,329,608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6,457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(127,193)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3,878,164</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6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3"/>
                <w:szCs w:val="13"/>
                <w:color w:val="auto"/>
              </w:rPr>
              <w:t>Issuance of common stock in connection with share</w:t>
            </w:r>
          </w:p>
        </w:tc>
        <w:tc>
          <w:tcPr>
            <w:tcW w:w="1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38,016</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(7,122)</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for cash</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0" w:type="dxa"/>
            <w:vAlign w:val="bottom"/>
          </w:tcPr>
          <w:p>
            <w:pPr>
              <w:spacing w:after="0"/>
              <w:rPr>
                <w:sz w:val="1"/>
                <w:szCs w:val="1"/>
                <w:color w:val="auto"/>
              </w:rPr>
            </w:pPr>
          </w:p>
        </w:tc>
      </w:tr>
      <w:tr>
        <w:trPr>
          <w:trHeight w:val="157"/>
        </w:trPr>
        <w:tc>
          <w:tcPr>
            <w:tcW w:w="36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Redemption of Preferred B Units in the Operating</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Partnership for cash</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Operating Partnership units in conjunction</w:t>
            </w:r>
          </w:p>
        </w:tc>
        <w:tc>
          <w:tcPr>
            <w:tcW w:w="14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16,000</w:t>
            </w:r>
          </w:p>
        </w:tc>
        <w:tc>
          <w:tcPr>
            <w:tcW w:w="6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 business combinations</w:t>
            </w: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Preferred D units in the Operating</w:t>
            </w:r>
          </w:p>
        </w:tc>
        <w:tc>
          <w:tcPr>
            <w:tcW w:w="140" w:type="dxa"/>
            <w:vAlign w:val="bottom"/>
          </w:tcPr>
          <w:p>
            <w:pPr>
              <w:spacing w:after="0"/>
              <w:rPr>
                <w:sz w:val="13"/>
                <w:szCs w:val="13"/>
                <w:color w:val="auto"/>
              </w:rPr>
            </w:pP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6,000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Partnership in conjunction with business combinations</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Buyback of common stock, net of offering costs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(381,786)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(63,008)</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11,213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247,834</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895</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20,113</w:t>
            </w:r>
          </w:p>
        </w:tc>
        <w:tc>
          <w:tcPr>
            <w:tcW w:w="0" w:type="dxa"/>
            <w:vAlign w:val="bottom"/>
          </w:tcPr>
          <w:p>
            <w:pPr>
              <w:spacing w:after="0"/>
              <w:rPr>
                <w:sz w:val="1"/>
                <w:szCs w:val="1"/>
                <w:color w:val="auto"/>
              </w:rPr>
            </w:pPr>
          </w:p>
        </w:tc>
      </w:tr>
      <w:tr>
        <w:trPr>
          <w:trHeight w:val="157"/>
        </w:trPr>
        <w:tc>
          <w:tcPr>
            <w:tcW w:w="36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Distributions to Operating Partnership units held by</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(9,821)</w:t>
            </w:r>
          </w:p>
        </w:tc>
        <w:tc>
          <w:tcPr>
            <w:tcW w:w="60" w:type="dxa"/>
            <w:vAlign w:val="bottom"/>
          </w:tcPr>
          <w:p>
            <w:pPr>
              <w:spacing w:after="0"/>
              <w:rPr>
                <w:sz w:val="13"/>
                <w:szCs w:val="13"/>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(14,127)</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on common stock at $1.50 per share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(201,024)</w:t>
            </w:r>
          </w:p>
        </w:tc>
        <w:tc>
          <w:tcPr>
            <w:tcW w:w="0" w:type="dxa"/>
            <w:vAlign w:val="bottom"/>
          </w:tcPr>
          <w:p>
            <w:pPr>
              <w:spacing w:after="0"/>
              <w:rPr>
                <w:sz w:val="1"/>
                <w:szCs w:val="1"/>
                <w:color w:val="auto"/>
              </w:rPr>
            </w:pPr>
          </w:p>
        </w:tc>
      </w:tr>
      <w:tr>
        <w:trPr>
          <w:trHeight w:val="202"/>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2022</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261,231</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429,572</w:t>
            </w:r>
          </w:p>
        </w:tc>
        <w:tc>
          <w:tcPr>
            <w:tcW w:w="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$ 317</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133,900,184</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1,339</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3,334,317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25,555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(159,091)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3,893,240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465,551</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394,080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118,169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lease expense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Compensation expense related to stock-based awards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8,635</w:t>
            </w: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Accrual of interest income added to principal of debt securities and notes receivable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(17,312)</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(63,883)</w:t>
            </w:r>
          </w:p>
        </w:tc>
        <w:tc>
          <w:tcPr>
            <w:tcW w:w="0" w:type="dxa"/>
            <w:vAlign w:val="bottom"/>
          </w:tcPr>
          <w:p>
            <w:pPr>
              <w:spacing w:after="0"/>
              <w:rPr>
                <w:sz w:val="1"/>
                <w:szCs w:val="1"/>
                <w:color w:val="auto"/>
              </w:rPr>
            </w:pPr>
          </w:p>
        </w:tc>
      </w:tr>
      <w:tr>
        <w:trPr>
          <w:trHeight w:val="157"/>
        </w:trPr>
        <w:tc>
          <w:tcPr>
            <w:tcW w:w="7860" w:type="dxa"/>
            <w:vAlign w:val="bottom"/>
          </w:tcPr>
          <w:p>
            <w:pPr>
              <w:ind w:left="660"/>
              <w:spacing w:after="0" w:line="158" w:lineRule="exact"/>
              <w:rPr>
                <w:sz w:val="20"/>
                <w:szCs w:val="20"/>
                <w:color w:val="auto"/>
              </w:rPr>
            </w:pPr>
            <w:r>
              <w:rPr>
                <w:rFonts w:ascii="Times New Roman" w:cs="Times New Roman" w:eastAsia="Times New Roman" w:hAnsi="Times New Roman"/>
                <w:sz w:val="16"/>
                <w:szCs w:val="16"/>
                <w:color w:val="auto"/>
              </w:rPr>
              <w:t>Equity in earnings of unconsolidated real estate ventures - gain on sale of real estate assets and purchase of joint</w:t>
            </w:r>
          </w:p>
        </w:tc>
        <w:tc>
          <w:tcPr>
            <w:tcW w:w="36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venture partner's interest</w:t>
            </w:r>
          </w:p>
        </w:tc>
        <w:tc>
          <w:tcPr>
            <w:tcW w:w="3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Distributions from unconsolidated real estate ventures in excess of earnings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0" w:type="dxa"/>
            <w:vAlign w:val="bottom"/>
          </w:tcPr>
          <w:p>
            <w:pPr>
              <w:spacing w:after="0"/>
              <w:rPr>
                <w:sz w:val="1"/>
                <w:szCs w:val="1"/>
                <w:color w:val="auto"/>
              </w:rPr>
            </w:pPr>
          </w:p>
        </w:tc>
      </w:tr>
      <w:tr>
        <w:trPr>
          <w:trHeight w:val="208"/>
        </w:trPr>
        <w:tc>
          <w:tcPr>
            <w:tcW w:w="78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19,063</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0" w:type="dxa"/>
            <w:vAlign w:val="bottom"/>
          </w:tcPr>
          <w:p>
            <w:pPr>
              <w:spacing w:after="0"/>
              <w:rPr>
                <w:sz w:val="1"/>
                <w:szCs w:val="1"/>
                <w:color w:val="auto"/>
              </w:rPr>
            </w:pPr>
          </w:p>
        </w:tc>
      </w:tr>
      <w:tr>
        <w:trPr>
          <w:trHeight w:val="201"/>
        </w:trPr>
        <w:tc>
          <w:tcPr>
            <w:tcW w:w="78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640,387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463,688</w:t>
            </w: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real estate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(375,209)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business combination</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Development and redevelopment of real estate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(25,782)</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real estate assets and investments in real estate ventures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194,205</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in unconsolidated real estate entities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Return of investment in unconsolidated real estate ventures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31,534</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and purchase of notes receivable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(68,523)</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payments received from notes receivable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20,426</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notes receivable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87,298</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equipment and fixtures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0" w:type="dxa"/>
            <w:vAlign w:val="bottom"/>
          </w:tcPr>
          <w:p>
            <w:pPr>
              <w:spacing w:after="0"/>
              <w:rPr>
                <w:sz w:val="1"/>
                <w:szCs w:val="1"/>
                <w:color w:val="auto"/>
              </w:rPr>
            </w:pPr>
          </w:p>
        </w:tc>
      </w:tr>
      <w:tr>
        <w:trPr>
          <w:trHeight w:val="201"/>
        </w:trPr>
        <w:tc>
          <w:tcPr>
            <w:tcW w:w="78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(570,028)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(145,302)</w:t>
            </w: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the sale of common stock, net of offering costs</w:t>
            </w:r>
          </w:p>
        </w:tc>
        <w:tc>
          <w:tcPr>
            <w:tcW w:w="3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273,509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notes payable and revolving lines of credit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1,948,657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2,372,000</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payments on notes payable and revolving lines of credit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(1,915,531)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(3,193,025)</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public bonds,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446,396</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(5,403)</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proceeds from exercise of stock options</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Redemption of Operating Partnership units held by noncontrolling interests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Redemption of Preferred B Units for cash</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principal payments on note receivable collateralized by OP Units</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(266,317)</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(17,999)</w:t>
            </w:r>
          </w:p>
        </w:tc>
        <w:tc>
          <w:tcPr>
            <w:tcW w:w="0" w:type="dxa"/>
            <w:vAlign w:val="bottom"/>
          </w:tcPr>
          <w:p>
            <w:pPr>
              <w:spacing w:after="0"/>
              <w:rPr>
                <w:sz w:val="1"/>
                <w:szCs w:val="1"/>
                <w:color w:val="auto"/>
              </w:rPr>
            </w:pPr>
          </w:p>
        </w:tc>
      </w:tr>
      <w:tr>
        <w:trPr>
          <w:trHeight w:val="201"/>
        </w:trPr>
        <w:tc>
          <w:tcPr>
            <w:tcW w:w="78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(76,387)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(386,646)</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(68,260)</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76,194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128,009</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70,166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78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76,289</w:t>
            </w: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held by noncontrolling interests for common stock</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and paid-in capital</w:t>
            </w: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and establishment of operating lease right of use assets and lease liabilities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 estate assets - operating lease right-of-use assets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real estate assets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Real estate assets, net</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43,666</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Value of equity issued</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in unconsolidated real estate ventures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Finance lease liability</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(40,993)</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construction costs and capital expenditures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real estate assets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OP and Preferred OP units in conjunction with business combinations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Preferred OP Units issued</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 Units Issued</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unconsolidated real estate ventures received on sale of stores to joint venture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in unconsolidated real estate ventures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33,878</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Real estate assets</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(33,878)</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1.</w:t>
        <w:tab/>
        <w:t>ORGANIZATION</w:t>
      </w:r>
    </w:p>
    <w:p>
      <w:pPr>
        <w:spacing w:after="0" w:line="121"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Extra Space Storage Inc. (the “Company”) is a fully integrated, self-administered and self-managed real estate investment trust (“REIT”), formed as a Maryland corporation on April 30, 2004, to own, operate, manage, acquire, develop and redevelop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200"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The Company invests in stores by acquiring wholly-owned stores or by acquiring an equity interest in real estate entities. At June 30, 2022, the Company had direct and indirect equity interests in 1,313 stores. In addition, the Company managed 864 stores for third parties, bringing the total number of stores which it owns and/or manages to 2,177. These stores are located in 41 states and Washington, D.C. The Company also offers tenant reinsurance at its owned and managed stores that insures the value of goods in the storage units.</w:t>
      </w:r>
    </w:p>
    <w:p>
      <w:pPr>
        <w:spacing w:after="0" w:line="2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2.</w:t>
        <w:tab/>
        <w:t>BASIS OF PRESENTATION</w:t>
      </w:r>
    </w:p>
    <w:p>
      <w:pPr>
        <w:spacing w:after="0" w:line="252" w:lineRule="exact"/>
        <w:rPr>
          <w:sz w:val="20"/>
          <w:szCs w:val="20"/>
          <w:color w:val="auto"/>
        </w:rPr>
      </w:pPr>
    </w:p>
    <w:p>
      <w:pPr>
        <w:ind w:right="20" w:firstLine="433"/>
        <w:spacing w:after="0" w:line="262"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six months ended June 30, 2022 are not necessarily indicative of results that may be expected for the year ending December 31, 2022. The condensed consolidated balance sheet as of December 31, 2021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2021, as filed with the Securities and Exchange Commission.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w:t>
      </w:r>
    </w:p>
    <w:p>
      <w:pPr>
        <w:spacing w:after="0" w:line="250" w:lineRule="exact"/>
        <w:rPr>
          <w:sz w:val="20"/>
          <w:szCs w:val="20"/>
          <w:color w:val="auto"/>
        </w:rPr>
      </w:pPr>
    </w:p>
    <w:p>
      <w:pPr>
        <w:ind w:right="40" w:firstLine="433"/>
        <w:spacing w:after="0" w:line="252" w:lineRule="auto"/>
        <w:rPr>
          <w:sz w:val="20"/>
          <w:szCs w:val="20"/>
          <w:color w:val="auto"/>
        </w:rPr>
      </w:pPr>
      <w:r>
        <w:rPr>
          <w:rFonts w:ascii="Times New Roman" w:cs="Times New Roman" w:eastAsia="Times New Roman" w:hAnsi="Times New Roman"/>
          <w:sz w:val="17"/>
          <w:szCs w:val="17"/>
          <w:color w:val="auto"/>
        </w:rPr>
        <w:t>In March 2020, the Financial Accounting Standards Board ("FASB") issued ASU 2020-04, "</w:t>
      </w:r>
      <w:r>
        <w:rPr>
          <w:rFonts w:ascii="Times New Roman" w:cs="Times New Roman" w:eastAsia="Times New Roman" w:hAnsi="Times New Roman"/>
          <w:sz w:val="17"/>
          <w:szCs w:val="17"/>
          <w:i w:val="1"/>
          <w:iCs w:val="1"/>
          <w:color w:val="auto"/>
        </w:rPr>
        <w:t>Reference Rate Reform (Topic 848): Facilitation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Effects of Reference Rate Reform on Financial Reporting" </w:t>
      </w:r>
      <w:r>
        <w:rPr>
          <w:rFonts w:ascii="Times New Roman" w:cs="Times New Roman" w:eastAsia="Times New Roman" w:hAnsi="Times New Roman"/>
          <w:sz w:val="17"/>
          <w:szCs w:val="17"/>
          <w:color w:val="auto"/>
        </w:rPr>
        <w:t>(“ASU 2020-04”). ASU 2020-04 provides temporary optional guidance that provides transition relief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reference rate reform, including optional expedients and exceptions for applying GAAP to contract modifications, hedging relationships and other transactions that reference LIBOR or a reference rate that is expected to be discontinued as a result of reference rate reform if certain criteria are met. ASU</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2020-04 is effective upon issuance, and the provisions generally can be applied prospectively as of January 1, 2020 through December 31, 2024.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The Company also elected to apply additional expedients related to contract modifications, changes in critical terms, and updates to the designated hedged risks as qualifying changes are made to applicable debt and derivative contracts. Application of these expedients preserves the presentation of derivatives and debt contracts consistent with past presentation. In January 2021, the FASB issued ASU 2021-01, "</w:t>
      </w:r>
      <w:r>
        <w:rPr>
          <w:rFonts w:ascii="Times New Roman" w:cs="Times New Roman" w:eastAsia="Times New Roman" w:hAnsi="Times New Roman"/>
          <w:sz w:val="17"/>
          <w:szCs w:val="17"/>
          <w:i w:val="1"/>
          <w:iCs w:val="1"/>
          <w:color w:val="auto"/>
        </w:rPr>
        <w:t>Reference Rate Reform (Topic 848): Scope</w:t>
      </w:r>
      <w:r>
        <w:rPr>
          <w:rFonts w:ascii="Times New Roman" w:cs="Times New Roman" w:eastAsia="Times New Roman" w:hAnsi="Times New Roman"/>
          <w:sz w:val="17"/>
          <w:szCs w:val="17"/>
          <w:color w:val="auto"/>
        </w:rPr>
        <w:t>", which refines the scope of Topic 848 and clarifies some of its guidance. The Company continues to evaluate the impact of the guidance and may apply other elections as applicable as additional changes in the market occur. The Company has begun transitioning debt over to SOFR as part of the reference rate reform.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3.</w:t>
        <w:tab/>
        <w:t>FAIR VALUE DISCLOSURES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 Financial Instruments</w:t>
      </w:r>
    </w:p>
    <w:p>
      <w:pPr>
        <w:spacing w:after="0" w:line="121"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98"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198"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June 30, 2022,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198" w:lineRule="exact"/>
        <w:rPr>
          <w:sz w:val="20"/>
          <w:szCs w:val="20"/>
          <w:color w:val="auto"/>
        </w:rPr>
      </w:pPr>
    </w:p>
    <w:p>
      <w:pPr>
        <w:ind w:right="220" w:firstLine="433"/>
        <w:spacing w:after="0" w:line="277" w:lineRule="auto"/>
        <w:rPr>
          <w:sz w:val="20"/>
          <w:szCs w:val="20"/>
          <w:color w:val="auto"/>
        </w:rPr>
      </w:pPr>
      <w:r>
        <w:rPr>
          <w:rFonts w:ascii="Times New Roman" w:cs="Times New Roman" w:eastAsia="Times New Roman" w:hAnsi="Times New Roman"/>
          <w:sz w:val="17"/>
          <w:szCs w:val="17"/>
          <w:color w:val="auto"/>
        </w:rPr>
        <w:t>The table below presents the Company’s assets and liabilities measured at fair value on a recurring basis as of June 30, 2022, aggregated by the level in the fair value hierarchy within which those measurements fall.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40" w:type="dxa"/>
            <w:vAlign w:val="bottom"/>
            <w:gridSpan w:val="6"/>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 Reporting Date Using</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00" w:type="dxa"/>
            <w:vAlign w:val="bottom"/>
            <w:vMerge w:val="restart"/>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5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1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 Cash flow hedge swap agreements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31,336</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 - Cash flow hedge swap agreements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580" w:firstLine="433"/>
        <w:spacing w:after="0" w:line="297" w:lineRule="auto"/>
        <w:rPr>
          <w:sz w:val="20"/>
          <w:szCs w:val="20"/>
          <w:color w:val="auto"/>
        </w:rPr>
      </w:pPr>
      <w:r>
        <w:rPr>
          <w:rFonts w:ascii="Times New Roman" w:cs="Times New Roman" w:eastAsia="Times New Roman" w:hAnsi="Times New Roman"/>
          <w:sz w:val="17"/>
          <w:szCs w:val="17"/>
          <w:color w:val="auto"/>
        </w:rPr>
        <w:t>The Company did not have any significant assets or liabilities that are re-measured on a recurring basis using significant unobservable inputs as of June 30, 2022 or December 31,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and Liabilities Measured at Fair Value on a Nonrecurring Basis</w:t>
      </w:r>
    </w:p>
    <w:p>
      <w:pPr>
        <w:spacing w:after="0" w:line="121" w:lineRule="exact"/>
        <w:rPr>
          <w:sz w:val="20"/>
          <w:szCs w:val="20"/>
          <w:color w:val="auto"/>
        </w:rPr>
      </w:pPr>
    </w:p>
    <w:p>
      <w:pPr>
        <w:ind w:right="80" w:firstLine="433"/>
        <w:spacing w:after="0" w:line="267" w:lineRule="auto"/>
        <w:rPr>
          <w:sz w:val="20"/>
          <w:szCs w:val="20"/>
          <w:color w:val="auto"/>
        </w:rPr>
      </w:pPr>
      <w:r>
        <w:rPr>
          <w:rFonts w:ascii="Times New Roman" w:cs="Times New Roman" w:eastAsia="Times New Roman" w:hAnsi="Times New Roman"/>
          <w:sz w:val="17"/>
          <w:szCs w:val="17"/>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198"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90"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is presented as part of normal operations for all periods presented. As of June 30, 2022, the Company had no operating stores classified as held for sale which are included in real estate assets, net.</w:t>
      </w:r>
    </w:p>
    <w:p>
      <w:pPr>
        <w:spacing w:after="0" w:line="198" w:lineRule="exact"/>
        <w:rPr>
          <w:sz w:val="20"/>
          <w:szCs w:val="20"/>
          <w:color w:val="auto"/>
        </w:rPr>
      </w:pPr>
    </w:p>
    <w:p>
      <w:pPr>
        <w:jc w:val="both"/>
        <w:ind w:right="80" w:firstLine="433"/>
        <w:spacing w:after="0" w:line="270" w:lineRule="auto"/>
        <w:rPr>
          <w:sz w:val="20"/>
          <w:szCs w:val="20"/>
          <w:color w:val="auto"/>
        </w:rPr>
      </w:pPr>
      <w:r>
        <w:rPr>
          <w:rFonts w:ascii="Times New Roman" w:cs="Times New Roman" w:eastAsia="Times New Roman" w:hAnsi="Times New Roman"/>
          <w:sz w:val="17"/>
          <w:szCs w:val="17"/>
          <w:color w:val="auto"/>
        </w:rPr>
        <w:t>The Company assesses annually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96" w:lineRule="exact"/>
        <w:rPr>
          <w:sz w:val="20"/>
          <w:szCs w:val="20"/>
          <w:color w:val="auto"/>
        </w:rPr>
      </w:pPr>
    </w:p>
    <w:p>
      <w:pPr>
        <w:ind w:firstLine="433"/>
        <w:spacing w:after="0" w:line="261" w:lineRule="auto"/>
        <w:rPr>
          <w:sz w:val="20"/>
          <w:szCs w:val="20"/>
          <w:color w:val="auto"/>
        </w:rPr>
      </w:pPr>
      <w:r>
        <w:rPr>
          <w:rFonts w:ascii="Times New Roman" w:cs="Times New Roman" w:eastAsia="Times New Roman" w:hAnsi="Times New Roman"/>
          <w:sz w:val="17"/>
          <w:szCs w:val="17"/>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 For acquisitions that meet the definition of a business, the Company estimates the fair value of the identifiable assets and liabilities of the acquired entity on the acquisition date. We measure goodwill as the excess of consideration transferred over the net of the acquisition date fair values of the identifiable assets acquired and liabilities assumed. Acquisition-related expenses arising from the transaction are expensed as incurred. The Company includes the results of operations of the businesses that it acquires beginning on the acquisition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121" w:lineRule="exact"/>
        <w:rPr>
          <w:sz w:val="20"/>
          <w:szCs w:val="20"/>
          <w:color w:val="auto"/>
        </w:rPr>
      </w:pPr>
    </w:p>
    <w:p>
      <w:pPr>
        <w:ind w:right="200" w:firstLine="433"/>
        <w:spacing w:after="0" w:line="270" w:lineRule="auto"/>
        <w:rPr>
          <w:sz w:val="20"/>
          <w:szCs w:val="20"/>
          <w:color w:val="auto"/>
        </w:rPr>
      </w:pPr>
      <w:r>
        <w:rPr>
          <w:rFonts w:ascii="Times New Roman" w:cs="Times New Roman" w:eastAsia="Times New Roman" w:hAnsi="Times New Roman"/>
          <w:sz w:val="17"/>
          <w:szCs w:val="17"/>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June 30, 2022 and December 31, 2021 approximate fair value. Restricted cash is comprised of funds deposited with financial institutions located throughout the United States primarily relating to earnest money deposits on potential acquisitions.</w:t>
      </w:r>
    </w:p>
    <w:p>
      <w:pPr>
        <w:spacing w:after="0" w:line="196" w:lineRule="exact"/>
        <w:rPr>
          <w:sz w:val="20"/>
          <w:szCs w:val="20"/>
          <w:color w:val="auto"/>
        </w:rPr>
      </w:pPr>
    </w:p>
    <w:p>
      <w:pPr>
        <w:ind w:right="180" w:firstLine="433"/>
        <w:spacing w:after="0" w:line="267" w:lineRule="auto"/>
        <w:rPr>
          <w:sz w:val="20"/>
          <w:szCs w:val="20"/>
          <w:color w:val="auto"/>
        </w:rPr>
      </w:pPr>
      <w:r>
        <w:rPr>
          <w:rFonts w:ascii="Times New Roman" w:cs="Times New Roman" w:eastAsia="Times New Roman" w:hAnsi="Times New Roman"/>
          <w:sz w:val="17"/>
          <w:szCs w:val="17"/>
          <w:color w:val="auto"/>
        </w:rPr>
        <w:t>The fair values of the Company’s notes receivable from Preferred and Common Operating Partnership unit holders and other fixed rate notes receivable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fair values of the Company’s fixed-rate assets and liabilities were as follows for the periods indicated:</w:t>
      </w:r>
    </w:p>
    <w:p>
      <w:pPr>
        <w:spacing w:after="0" w:line="56" w:lineRule="exact"/>
        <w:rPr>
          <w:sz w:val="20"/>
          <w:szCs w:val="20"/>
          <w:color w:val="auto"/>
        </w:rPr>
      </w:pPr>
    </w:p>
    <w:p>
      <w:pPr>
        <w:ind w:left="6240"/>
        <w:spacing w:after="0"/>
        <w:tabs>
          <w:tab w:leader="none" w:pos="9100" w:val="left"/>
        </w:tabs>
        <w:rPr>
          <w:sz w:val="20"/>
          <w:szCs w:val="20"/>
          <w:color w:val="auto"/>
        </w:rPr>
      </w:pPr>
      <w:r>
        <w:rPr>
          <w:rFonts w:ascii="Times New Roman" w:cs="Times New Roman" w:eastAsia="Times New Roman" w:hAnsi="Times New Roman"/>
          <w:sz w:val="16"/>
          <w:szCs w:val="16"/>
          <w:b w:val="1"/>
          <w:bCs w:val="1"/>
          <w:color w:val="auto"/>
        </w:rPr>
        <w:t>June 30, 2022</w:t>
      </w:r>
      <w:r>
        <w:rPr>
          <w:sz w:val="20"/>
          <w:szCs w:val="20"/>
          <w:color w:val="auto"/>
        </w:rPr>
        <w:tab/>
      </w:r>
      <w:r>
        <w:rPr>
          <w:rFonts w:ascii="Times New Roman" w:cs="Times New Roman" w:eastAsia="Times New Roman" w:hAnsi="Times New Roman"/>
          <w:sz w:val="15"/>
          <w:szCs w:val="15"/>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18415</wp:posOffset>
            </wp:positionV>
            <wp:extent cx="1882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receivable from Preferred and Common Operating Partnership unit</w:t>
      </w:r>
    </w:p>
    <w:p>
      <w:pPr>
        <w:ind w:left="20"/>
        <w:spacing w:after="0"/>
        <w:tabs>
          <w:tab w:leader="none" w:pos="5200" w:val="left"/>
        </w:tabs>
        <w:rPr>
          <w:sz w:val="20"/>
          <w:szCs w:val="20"/>
          <w:color w:val="auto"/>
        </w:rPr>
      </w:pPr>
      <w:r>
        <w:rPr>
          <w:rFonts w:ascii="Times New Roman" w:cs="Times New Roman" w:eastAsia="Times New Roman" w:hAnsi="Times New Roman"/>
          <w:sz w:val="17"/>
          <w:szCs w:val="17"/>
          <w:color w:val="auto"/>
        </w:rPr>
        <w:t>holders</w:t>
      </w:r>
      <w:r>
        <w:rPr>
          <w:sz w:val="20"/>
          <w:szCs w:val="20"/>
          <w:color w:val="auto"/>
        </w:rPr>
        <w:tab/>
      </w:r>
      <w:r>
        <w:rPr>
          <w:rFonts w:ascii="Times New Roman" w:cs="Times New Roman" w:eastAsia="Times New Roman" w:hAnsi="Times New Roman"/>
          <w:sz w:val="17"/>
          <w:szCs w:val="17"/>
          <w:color w:val="auto"/>
        </w:rPr>
        <w:t>$</w:t>
      </w:r>
    </w:p>
    <w:p>
      <w:pPr>
        <w:spacing w:after="0" w:line="25"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7"/>
          <w:szCs w:val="17"/>
          <w:color w:val="auto"/>
        </w:rPr>
        <w:t>Fixed rate notes receivable</w:t>
      </w:r>
      <w:r>
        <w:rPr>
          <w:sz w:val="20"/>
          <w:szCs w:val="20"/>
          <w:color w:val="auto"/>
        </w:rPr>
        <w:tab/>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7"/>
          <w:szCs w:val="17"/>
          <w:color w:val="auto"/>
        </w:rPr>
        <w:t>Fixed rate debt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020" w:type="dxa"/>
            <w:vAlign w:val="bottom"/>
          </w:tcPr>
          <w:p>
            <w:pPr>
              <w:jc w:val="right"/>
              <w:ind w:right="593"/>
              <w:spacing w:after="0" w:line="168" w:lineRule="exact"/>
              <w:rPr>
                <w:sz w:val="20"/>
                <w:szCs w:val="20"/>
                <w:color w:val="auto"/>
              </w:rPr>
            </w:pPr>
            <w:r>
              <w:rPr>
                <w:rFonts w:ascii="Times New Roman" w:cs="Times New Roman" w:eastAsia="Times New Roman" w:hAnsi="Times New Roman"/>
                <w:sz w:val="17"/>
                <w:szCs w:val="17"/>
                <w:b w:val="1"/>
                <w:bCs w:val="1"/>
                <w:color w:val="auto"/>
              </w:rPr>
              <w:t>Fair</w:t>
            </w:r>
          </w:p>
        </w:tc>
        <w:tc>
          <w:tcPr>
            <w:tcW w:w="240" w:type="dxa"/>
            <w:vAlign w:val="bottom"/>
          </w:tcPr>
          <w:p>
            <w:pPr>
              <w:spacing w:after="0"/>
              <w:rPr>
                <w:sz w:val="14"/>
                <w:szCs w:val="14"/>
                <w:color w:val="auto"/>
              </w:rPr>
            </w:pPr>
          </w:p>
        </w:tc>
        <w:tc>
          <w:tcPr>
            <w:tcW w:w="1300" w:type="dxa"/>
            <w:vAlign w:val="bottom"/>
            <w:gridSpan w:val="2"/>
          </w:tcPr>
          <w:p>
            <w:pPr>
              <w:ind w:left="120"/>
              <w:spacing w:after="0" w:line="168"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240"/>
              <w:spacing w:after="0" w:line="168" w:lineRule="exact"/>
              <w:rPr>
                <w:sz w:val="20"/>
                <w:szCs w:val="20"/>
                <w:color w:val="auto"/>
              </w:rPr>
            </w:pPr>
            <w:r>
              <w:rPr>
                <w:rFonts w:ascii="Times New Roman" w:cs="Times New Roman" w:eastAsia="Times New Roman" w:hAnsi="Times New Roman"/>
                <w:sz w:val="17"/>
                <w:szCs w:val="17"/>
                <w:b w:val="1"/>
                <w:bCs w:val="1"/>
                <w:color w:val="auto"/>
              </w:rPr>
              <w:t>Fair</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3"/>
              <w:spacing w:after="0" w:line="168" w:lineRule="exact"/>
              <w:rPr>
                <w:sz w:val="20"/>
                <w:szCs w:val="20"/>
                <w:color w:val="auto"/>
              </w:rPr>
            </w:pPr>
            <w:r>
              <w:rPr>
                <w:rFonts w:ascii="Times New Roman" w:cs="Times New Roman" w:eastAsia="Times New Roman" w:hAnsi="Times New Roman"/>
                <w:sz w:val="17"/>
                <w:szCs w:val="17"/>
                <w:b w:val="1"/>
                <w:bCs w:val="1"/>
                <w:color w:val="auto"/>
              </w:rPr>
              <w:t>Carrying</w:t>
            </w:r>
          </w:p>
        </w:tc>
      </w:tr>
      <w:tr>
        <w:trPr>
          <w:trHeight w:val="233"/>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2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20" w:type="dxa"/>
            <w:vAlign w:val="bottom"/>
          </w:tcPr>
          <w:p>
            <w:pPr>
              <w:spacing w:after="0"/>
              <w:rPr>
                <w:sz w:val="20"/>
                <w:szCs w:val="20"/>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384"/>
        </w:trPr>
        <w:tc>
          <w:tcPr>
            <w:tcW w:w="10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97,212</w:t>
            </w:r>
          </w:p>
        </w:tc>
        <w:tc>
          <w:tcPr>
            <w:tcW w:w="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101,900</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101,824</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101,900</w:t>
            </w:r>
          </w:p>
        </w:tc>
      </w:tr>
      <w:tr>
        <w:trPr>
          <w:trHeight w:val="223"/>
        </w:trPr>
        <w:tc>
          <w:tcPr>
            <w:tcW w:w="10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4,265</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4,298</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105,954</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104,251</w:t>
            </w:r>
          </w:p>
        </w:tc>
      </w:tr>
      <w:tr>
        <w:trPr>
          <w:trHeight w:val="228"/>
        </w:trPr>
        <w:tc>
          <w:tcPr>
            <w:tcW w:w="10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4,516,854</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4,799,288</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4,643,072</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4,506,435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-140335</wp:posOffset>
            </wp:positionV>
            <wp:extent cx="7136130" cy="141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-540385</wp:posOffset>
            </wp:positionV>
            <wp:extent cx="7136130" cy="258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58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00"/>
            <w:col w:w="5520"/>
          </w:cols>
          <w:pgMar w:left="320" w:top="3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4.  REAL ESTATE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7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components of real estate assets are summarized as follows: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2,223,174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2,151,319</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improvements and other intangibles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8,560,995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8,227,094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 of use asset - finance lease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117,718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 tenant relationships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134,577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lease rights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12,443</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11,072,315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10,643,151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(1,992,922)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(1,867,750)</w:t>
            </w:r>
          </w:p>
        </w:tc>
        <w:tc>
          <w:tcPr>
            <w:tcW w:w="0" w:type="dxa"/>
            <w:vAlign w:val="bottom"/>
          </w:tcPr>
          <w:p>
            <w:pPr>
              <w:spacing w:after="0"/>
              <w:rPr>
                <w:sz w:val="1"/>
                <w:szCs w:val="1"/>
                <w:color w:val="auto"/>
              </w:rPr>
            </w:pP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operating real estate assets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9,079,393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8,775,401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under development/redevelopment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59,248</w:t>
            </w:r>
          </w:p>
        </w:tc>
        <w:tc>
          <w:tcPr>
            <w:tcW w:w="0" w:type="dxa"/>
            <w:vAlign w:val="bottom"/>
          </w:tcPr>
          <w:p>
            <w:pPr>
              <w:spacing w:after="0"/>
              <w:rPr>
                <w:sz w:val="1"/>
                <w:szCs w:val="1"/>
                <w:color w:val="auto"/>
              </w:rPr>
            </w:pP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Real estate assets,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9,135,464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8,834,649</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assets held for sale included in real estate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7"/>
                <w:szCs w:val="17"/>
                <w:color w:val="auto"/>
              </w:rPr>
              <w:t>As of June 30, 2022, the Company had no assets classified as held for sale.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7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5.</w:t>
        <w:tab/>
        <w:t>OTHER ASSETS</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other assets are summarized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18"/>
                <w:szCs w:val="18"/>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8"/>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and fixtures, net</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29,060</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line of credit financing costs,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7,408</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 and deposits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39,384</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83,050</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Fair value of interest rate swaps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31,336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41"/>
        </w:trPr>
        <w:tc>
          <w:tcPr>
            <w:tcW w:w="7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353,967</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159,172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ind w:right="60" w:firstLine="433"/>
        <w:spacing w:after="0" w:line="270" w:lineRule="auto"/>
        <w:rPr>
          <w:sz w:val="20"/>
          <w:szCs w:val="20"/>
          <w:color w:val="auto"/>
        </w:rPr>
      </w:pPr>
      <w:r>
        <w:rPr>
          <w:rFonts w:ascii="Times New Roman" w:cs="Times New Roman" w:eastAsia="Times New Roman" w:hAnsi="Times New Roman"/>
          <w:sz w:val="17"/>
          <w:szCs w:val="17"/>
          <w:color w:val="auto"/>
        </w:rPr>
        <w:t>We evaluate goodwill for impairment annually in the fourth quarter and whenever events, circumstances, and other related factors indicate that fair value of the related reporting unit may be less than the carrying value. If we determine that the fair value of the reporting unit exceeds the aggregate carrying amount, no impairment charge is recorded. Otherwise, we record an impairment charge to the extent the carrying amount of the goodwill exceeds the amount that would be allocated to goodwill if the reporting unit were acquired for estimated fair value.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6.</w:t>
        <w:tab/>
        <w:t>EARNINGS PER COMMON SHARE</w:t>
      </w:r>
    </w:p>
    <w:p>
      <w:pPr>
        <w:spacing w:after="0" w:line="252" w:lineRule="exact"/>
        <w:rPr>
          <w:sz w:val="20"/>
          <w:szCs w:val="20"/>
          <w:color w:val="auto"/>
        </w:rPr>
      </w:pPr>
    </w:p>
    <w:p>
      <w:pPr>
        <w:ind w:right="20" w:firstLine="433"/>
        <w:spacing w:after="0" w:line="261" w:lineRule="auto"/>
        <w:rPr>
          <w:sz w:val="20"/>
          <w:szCs w:val="20"/>
          <w:color w:val="auto"/>
        </w:rPr>
      </w:pPr>
      <w:r>
        <w:rPr>
          <w:rFonts w:ascii="Times New Roman" w:cs="Times New Roman" w:eastAsia="Times New Roman" w:hAnsi="Times New Roman"/>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208"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w:t>
      </w:r>
    </w:p>
    <w:p>
      <w:pPr>
        <w:spacing w:after="0" w:line="196" w:lineRule="exact"/>
        <w:rPr>
          <w:sz w:val="20"/>
          <w:szCs w:val="20"/>
          <w:color w:val="auto"/>
        </w:rPr>
      </w:pPr>
    </w:p>
    <w:p>
      <w:pPr>
        <w:ind w:right="140" w:firstLine="433"/>
        <w:spacing w:after="0" w:line="270" w:lineRule="auto"/>
        <w:rPr>
          <w:sz w:val="20"/>
          <w:szCs w:val="20"/>
          <w:color w:val="auto"/>
        </w:rPr>
      </w:pPr>
      <w:r>
        <w:rPr>
          <w:rFonts w:ascii="Times New Roman" w:cs="Times New Roman" w:eastAsia="Times New Roman" w:hAnsi="Times New Roman"/>
          <w:sz w:val="17"/>
          <w:szCs w:val="17"/>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June 30, 2022 and 2021 was $185.25 and $149.81, respectively.</w:t>
      </w:r>
    </w:p>
    <w:p>
      <w:pPr>
        <w:spacing w:after="0" w:line="196" w:lineRule="exact"/>
        <w:rPr>
          <w:sz w:val="20"/>
          <w:szCs w:val="20"/>
          <w:color w:val="auto"/>
        </w:rPr>
      </w:pPr>
    </w:p>
    <w:p>
      <w:pPr>
        <w:ind w:right="680"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presents the number of Preferred Operating Partnership units, and the potential common shares, that were excluded from the computation of earnings per share as their effect would have been anti-dilutive.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6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480" w:type="dxa"/>
            <w:vAlign w:val="bottom"/>
            <w:gridSpan w:val="3"/>
          </w:tcPr>
          <w:p>
            <w:pPr>
              <w:jc w:val="right"/>
              <w:ind w:right="60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1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4"/>
        </w:trPr>
        <w:tc>
          <w:tcPr>
            <w:tcW w:w="414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32"/>
        </w:trPr>
        <w:tc>
          <w:tcPr>
            <w:tcW w:w="4140" w:type="dxa"/>
            <w:vAlign w:val="bottom"/>
          </w:tcPr>
          <w:p>
            <w:pPr>
              <w:spacing w:after="0"/>
              <w:rPr>
                <w:sz w:val="11"/>
                <w:szCs w:val="11"/>
                <w:color w:val="auto"/>
              </w:rPr>
            </w:pPr>
          </w:p>
        </w:tc>
        <w:tc>
          <w:tcPr>
            <w:tcW w:w="162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Equivalent Shares (if</w:t>
            </w:r>
          </w:p>
        </w:tc>
        <w:tc>
          <w:tcPr>
            <w:tcW w:w="100" w:type="dxa"/>
            <w:vAlign w:val="bottom"/>
          </w:tcPr>
          <w:p>
            <w:pPr>
              <w:spacing w:after="0"/>
              <w:rPr>
                <w:sz w:val="11"/>
                <w:szCs w:val="11"/>
                <w:color w:val="auto"/>
              </w:rPr>
            </w:pPr>
          </w:p>
        </w:tc>
        <w:tc>
          <w:tcPr>
            <w:tcW w:w="172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Equivalent Shares (if</w:t>
            </w:r>
          </w:p>
        </w:tc>
        <w:tc>
          <w:tcPr>
            <w:tcW w:w="180" w:type="dxa"/>
            <w:vAlign w:val="bottom"/>
          </w:tcPr>
          <w:p>
            <w:pPr>
              <w:spacing w:after="0"/>
              <w:rPr>
                <w:sz w:val="11"/>
                <w:szCs w:val="11"/>
                <w:color w:val="auto"/>
              </w:rPr>
            </w:pPr>
          </w:p>
        </w:tc>
        <w:tc>
          <w:tcPr>
            <w:tcW w:w="16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8"/>
              </w:rPr>
              <w:t>Equivalent Shares (if</w:t>
            </w:r>
          </w:p>
        </w:tc>
        <w:tc>
          <w:tcPr>
            <w:tcW w:w="120" w:type="dxa"/>
            <w:vAlign w:val="bottom"/>
          </w:tcPr>
          <w:p>
            <w:pPr>
              <w:spacing w:after="0"/>
              <w:rPr>
                <w:sz w:val="11"/>
                <w:szCs w:val="11"/>
                <w:color w:val="auto"/>
              </w:rPr>
            </w:pPr>
          </w:p>
        </w:tc>
        <w:tc>
          <w:tcPr>
            <w:tcW w:w="16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Equivalent Shares (if</w:t>
            </w:r>
          </w:p>
        </w:tc>
      </w:tr>
      <w:tr>
        <w:trPr>
          <w:trHeight w:val="190"/>
        </w:trPr>
        <w:tc>
          <w:tcPr>
            <w:tcW w:w="414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converted)</w:t>
            </w: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converted)</w:t>
            </w:r>
          </w:p>
        </w:tc>
      </w:tr>
      <w:tr>
        <w:trPr>
          <w:trHeight w:val="21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B Units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183,807</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273,027</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183,342</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301,483</w:t>
            </w:r>
          </w:p>
        </w:tc>
      </w:tr>
      <w:tr>
        <w:trPr>
          <w:trHeight w:val="208"/>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D Units</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783,406</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1,074,933</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414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1,056,433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1,258,275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301,483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fixed $101,700 amount.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computation of earnings per common share is as follows for the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30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167,948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370,946</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Earnings and dividends allocated to participating securities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for basic computations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167,716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370,405</w:t>
            </w:r>
          </w:p>
        </w:tc>
        <w:tc>
          <w:tcPr>
            <w:tcW w:w="0" w:type="dxa"/>
            <w:vAlign w:val="bottom"/>
          </w:tcPr>
          <w:p>
            <w:pPr>
              <w:spacing w:after="0"/>
              <w:rPr>
                <w:sz w:val="1"/>
                <w:szCs w:val="1"/>
                <w:color w:val="auto"/>
              </w:rPr>
            </w:pPr>
          </w:p>
        </w:tc>
      </w:tr>
      <w:tr>
        <w:trPr>
          <w:trHeight w:val="157"/>
        </w:trPr>
        <w:tc>
          <w:tcPr>
            <w:tcW w:w="612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Income allocated to noncontrolling interest - Preferred Operating Partnership Units and</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15,201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8,833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24,978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21,889</w:t>
            </w:r>
          </w:p>
        </w:tc>
        <w:tc>
          <w:tcPr>
            <w:tcW w:w="0" w:type="dxa"/>
            <w:vAlign w:val="bottom"/>
          </w:tcPr>
          <w:p>
            <w:pPr>
              <w:spacing w:after="0"/>
              <w:rPr>
                <w:sz w:val="1"/>
                <w:szCs w:val="1"/>
                <w:color w:val="auto"/>
              </w:rPr>
            </w:pPr>
          </w:p>
        </w:tc>
      </w:tr>
      <w:tr>
        <w:trPr>
          <w:trHeight w:val="208"/>
        </w:trPr>
        <w:tc>
          <w:tcPr>
            <w:tcW w:w="6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Operating Partnership Units</w:t>
            </w: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120" w:type="dxa"/>
            <w:vAlign w:val="bottom"/>
            <w:shd w:val="clear" w:color="auto" w:fill="CCEEFF"/>
          </w:tcPr>
          <w:p>
            <w:pPr>
              <w:ind w:left="500"/>
              <w:spacing w:after="0" w:line="159" w:lineRule="exact"/>
              <w:rPr>
                <w:sz w:val="20"/>
                <w:szCs w:val="20"/>
                <w:color w:val="auto"/>
              </w:rPr>
            </w:pPr>
            <w:r>
              <w:rPr>
                <w:rFonts w:ascii="Times New Roman" w:cs="Times New Roman" w:eastAsia="Times New Roman" w:hAnsi="Times New Roman"/>
                <w:sz w:val="16"/>
                <w:szCs w:val="16"/>
                <w:color w:val="auto"/>
              </w:rPr>
              <w:t>Fixed component of income allocated to noncontrolling interest - Preferred Operating</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Partnership (Series A Units)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for diluted computations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246,446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175,977</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458,942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391,150</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Average number of common shares outstanding - basic</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134,192,540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133,756,610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134,186,426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132,886,933</w:t>
            </w:r>
          </w:p>
        </w:tc>
        <w:tc>
          <w:tcPr>
            <w:tcW w:w="0" w:type="dxa"/>
            <w:vAlign w:val="bottom"/>
          </w:tcPr>
          <w:p>
            <w:pPr>
              <w:spacing w:after="0"/>
              <w:rPr>
                <w:sz w:val="1"/>
                <w:szCs w:val="1"/>
                <w:color w:val="auto"/>
              </w:rPr>
            </w:pPr>
          </w:p>
        </w:tc>
      </w:tr>
      <w:tr>
        <w:trPr>
          <w:trHeight w:val="208"/>
        </w:trPr>
        <w:tc>
          <w:tcPr>
            <w:tcW w:w="6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OP Units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6,545,104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5,767,460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6,533,010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5,784,003</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Series A Units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875,480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875,480</w:t>
            </w:r>
          </w:p>
        </w:tc>
        <w:tc>
          <w:tcPr>
            <w:tcW w:w="0" w:type="dxa"/>
            <w:vAlign w:val="bottom"/>
          </w:tcPr>
          <w:p>
            <w:pPr>
              <w:spacing w:after="0"/>
              <w:rPr>
                <w:sz w:val="1"/>
                <w:szCs w:val="1"/>
                <w:color w:val="auto"/>
              </w:rPr>
            </w:pPr>
          </w:p>
        </w:tc>
      </w:tr>
      <w:tr>
        <w:trPr>
          <w:trHeight w:val="208"/>
        </w:trPr>
        <w:tc>
          <w:tcPr>
            <w:tcW w:w="6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Series D Units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865,056</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Shares related to dilutive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7,645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17,086</w:t>
            </w:r>
          </w:p>
        </w:tc>
        <w:tc>
          <w:tcPr>
            <w:tcW w:w="0" w:type="dxa"/>
            <w:vAlign w:val="bottom"/>
          </w:tcPr>
          <w:p>
            <w:pPr>
              <w:spacing w:after="0"/>
              <w:rPr>
                <w:sz w:val="1"/>
                <w:szCs w:val="1"/>
                <w:color w:val="auto"/>
              </w:rPr>
            </w:pPr>
          </w:p>
        </w:tc>
      </w:tr>
      <w:tr>
        <w:trPr>
          <w:trHeight w:val="201"/>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number of common shares outstanding - diluted</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142,737,909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140,407,195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141,600,206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140,428,558</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120" w:type="dxa"/>
            <w:vAlign w:val="bottom"/>
            <w:shd w:val="clear" w:color="auto" w:fill="CCEEFF"/>
          </w:tcPr>
          <w:p>
            <w:pPr>
              <w:ind w:left="500"/>
              <w:spacing w:after="0" w:line="178" w:lineRule="exact"/>
              <w:rPr>
                <w:sz w:val="20"/>
                <w:szCs w:val="20"/>
                <w:color w:val="auto"/>
              </w:rPr>
            </w:pPr>
            <w:r>
              <w:rPr>
                <w:rFonts w:ascii="Times New Roman" w:cs="Times New Roman" w:eastAsia="Times New Roman" w:hAnsi="Times New Roman"/>
                <w:sz w:val="16"/>
                <w:szCs w:val="16"/>
                <w:color w:val="auto"/>
              </w:rPr>
              <w:t>Earnings per common share</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ACQUISITIONS AND DISPOSITIONS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Store Acquisitions</w:t>
      </w:r>
    </w:p>
    <w:p>
      <w:pPr>
        <w:spacing w:after="0" w:line="252" w:lineRule="exact"/>
        <w:rPr>
          <w:sz w:val="20"/>
          <w:szCs w:val="20"/>
          <w:color w:val="auto"/>
        </w:rPr>
      </w:pPr>
    </w:p>
    <w:p>
      <w:pPr>
        <w:ind w:right="20" w:firstLine="433"/>
        <w:spacing w:after="0" w:line="271" w:lineRule="auto"/>
        <w:rPr>
          <w:sz w:val="20"/>
          <w:szCs w:val="20"/>
          <w:color w:val="auto"/>
        </w:rPr>
      </w:pPr>
      <w:r>
        <w:rPr>
          <w:rFonts w:ascii="Times New Roman" w:cs="Times New Roman" w:eastAsia="Times New Roman" w:hAnsi="Times New Roman"/>
          <w:sz w:val="17"/>
          <w:szCs w:val="17"/>
          <w:color w:val="auto"/>
        </w:rPr>
        <w:t>The following table shows the Company’s acquisitions of stores for the three and six months ended June 30, 2022 and 2021. The table excludes purchases of raw land and improvements made to existing assets. All store acquisitions are considered asset acquisitions under ASU 2017-01,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805): Clarifying the Definition of a Business</w:t>
      </w:r>
      <w:r>
        <w:rPr>
          <w:rFonts w:ascii="Times New Roman" w:cs="Times New Roman" w:eastAsia="Times New Roman" w:hAnsi="Times New Roman"/>
          <w:sz w:val="17"/>
          <w:szCs w:val="17"/>
          <w:color w:val="auto"/>
        </w:rPr>
        <w:t>."</w:t>
      </w:r>
    </w:p>
    <w:tbl>
      <w:tblPr>
        <w:tblLayout w:type="fixed"/>
        <w:tblInd w:w="0" w:type="dxa"/>
        <w:tblCellMar>
          <w:top w:w="0" w:type="dxa"/>
          <w:left w:w="0" w:type="dxa"/>
          <w:bottom w:w="0" w:type="dxa"/>
          <w:right w:w="0" w:type="dxa"/>
        </w:tblCellMar>
      </w:tblPr>
      <w:tr>
        <w:trPr>
          <w:trHeight w:val="185"/>
        </w:trPr>
        <w:tc>
          <w:tcPr>
            <w:tcW w:w="2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9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Finance Lease</w:t>
            </w:r>
          </w:p>
        </w:tc>
        <w:tc>
          <w:tcPr>
            <w:tcW w:w="140" w:type="dxa"/>
            <w:vAlign w:val="bottom"/>
          </w:tcPr>
          <w:p>
            <w:pPr>
              <w:spacing w:after="0"/>
              <w:rPr>
                <w:sz w:val="10"/>
                <w:szCs w:val="10"/>
                <w:color w:val="auto"/>
              </w:rPr>
            </w:pPr>
          </w:p>
        </w:tc>
        <w:tc>
          <w:tcPr>
            <w:tcW w:w="1300" w:type="dxa"/>
            <w:vAlign w:val="bottom"/>
          </w:tcPr>
          <w:p>
            <w:pPr>
              <w:jc w:val="right"/>
              <w:ind w:right="24"/>
              <w:spacing w:after="0" w:line="125" w:lineRule="exact"/>
              <w:rPr>
                <w:sz w:val="20"/>
                <w:szCs w:val="20"/>
                <w:color w:val="auto"/>
              </w:rPr>
            </w:pPr>
            <w:r>
              <w:rPr>
                <w:rFonts w:ascii="Times New Roman" w:cs="Times New Roman" w:eastAsia="Times New Roman" w:hAnsi="Times New Roman"/>
                <w:sz w:val="14"/>
                <w:szCs w:val="14"/>
                <w:b w:val="1"/>
                <w:bCs w:val="1"/>
                <w:color w:val="auto"/>
                <w:w w:val="99"/>
              </w:rPr>
              <w:t>Investments in Real</w:t>
            </w:r>
          </w:p>
        </w:tc>
        <w:tc>
          <w:tcPr>
            <w:tcW w:w="14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Net Liabilities/ (Assets)</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Value of Equity Issued</w:t>
            </w:r>
          </w:p>
        </w:tc>
        <w:tc>
          <w:tcPr>
            <w:tcW w:w="140" w:type="dxa"/>
            <w:vAlign w:val="bottom"/>
          </w:tcPr>
          <w:p>
            <w:pPr>
              <w:spacing w:after="0"/>
              <w:rPr>
                <w:sz w:val="10"/>
                <w:szCs w:val="10"/>
                <w:color w:val="auto"/>
              </w:rPr>
            </w:pPr>
          </w:p>
        </w:tc>
        <w:tc>
          <w:tcPr>
            <w:tcW w:w="840" w:type="dxa"/>
            <w:vAlign w:val="bottom"/>
          </w:tcPr>
          <w:p>
            <w:pPr>
              <w:jc w:val="center"/>
              <w:ind w:right="64"/>
              <w:spacing w:after="0" w:line="125"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0" w:type="dxa"/>
            <w:vAlign w:val="bottom"/>
          </w:tcPr>
          <w:p>
            <w:pPr>
              <w:spacing w:after="0"/>
              <w:rPr>
                <w:sz w:val="1"/>
                <w:szCs w:val="1"/>
                <w:color w:val="auto"/>
              </w:rPr>
            </w:pPr>
          </w:p>
        </w:tc>
      </w:tr>
      <w:tr>
        <w:trPr>
          <w:trHeight w:val="191"/>
        </w:trPr>
        <w:tc>
          <w:tcPr>
            <w:tcW w:w="2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Stores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Estate Ventures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5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0" w:type="dxa"/>
            <w:vAlign w:val="bottom"/>
          </w:tcPr>
          <w:p>
            <w:pPr>
              <w:spacing w:after="0"/>
              <w:rPr>
                <w:sz w:val="1"/>
                <w:szCs w:val="1"/>
                <w:color w:val="auto"/>
              </w:rPr>
            </w:pPr>
          </w:p>
        </w:tc>
      </w:tr>
      <w:tr>
        <w:trPr>
          <w:trHeight w:val="20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Q2 2022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228,567</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Q1 2022</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185,910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40,965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227,896</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2022</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406,843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747</w:t>
            </w: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1,085</w:t>
            </w: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40,965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456,463</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Q2 2021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193,783</w:t>
            </w:r>
          </w:p>
        </w:tc>
        <w:tc>
          <w:tcPr>
            <w:tcW w:w="0" w:type="dxa"/>
            <w:vAlign w:val="bottom"/>
          </w:tcPr>
          <w:p>
            <w:pPr>
              <w:spacing w:after="0"/>
              <w:rPr>
                <w:sz w:val="1"/>
                <w:szCs w:val="1"/>
                <w:color w:val="auto"/>
              </w:rPr>
            </w:pPr>
          </w:p>
        </w:tc>
      </w:tr>
      <w:tr>
        <w:trPr>
          <w:trHeight w:val="208"/>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Q1 2021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151,884</w:t>
            </w:r>
          </w:p>
        </w:tc>
        <w:tc>
          <w:tcPr>
            <w:tcW w:w="0" w:type="dxa"/>
            <w:vAlign w:val="bottom"/>
          </w:tcPr>
          <w:p>
            <w:pPr>
              <w:spacing w:after="0"/>
              <w:rPr>
                <w:sz w:val="1"/>
                <w:szCs w:val="1"/>
                <w:color w:val="auto"/>
              </w:rPr>
            </w:pPr>
          </w:p>
        </w:tc>
      </w:tr>
      <w:tr>
        <w:trPr>
          <w:trHeight w:val="230"/>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2021</w:t>
            </w:r>
          </w:p>
        </w:tc>
        <w:tc>
          <w:tcPr>
            <w:tcW w:w="10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339,669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2,673</w:t>
            </w:r>
          </w:p>
        </w:tc>
        <w:tc>
          <w:tcPr>
            <w:tcW w:w="30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3,325</w:t>
            </w:r>
          </w:p>
        </w:tc>
        <w:tc>
          <w:tcPr>
            <w:tcW w:w="54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345,667</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Investments</w:t>
      </w:r>
    </w:p>
    <w:p>
      <w:pPr>
        <w:spacing w:after="0" w:line="252" w:lineRule="exact"/>
        <w:rPr>
          <w:sz w:val="20"/>
          <w:szCs w:val="20"/>
          <w:color w:val="auto"/>
        </w:rPr>
      </w:pPr>
    </w:p>
    <w:p>
      <w:pPr>
        <w:ind w:left="240" w:right="100" w:firstLine="433"/>
        <w:spacing w:after="0" w:line="270" w:lineRule="auto"/>
        <w:rPr>
          <w:sz w:val="20"/>
          <w:szCs w:val="20"/>
          <w:color w:val="auto"/>
        </w:rPr>
      </w:pPr>
      <w:r>
        <w:rPr>
          <w:rFonts w:ascii="Times New Roman" w:cs="Times New Roman" w:eastAsia="Times New Roman" w:hAnsi="Times New Roman"/>
          <w:sz w:val="17"/>
          <w:szCs w:val="17"/>
          <w:color w:val="auto"/>
        </w:rPr>
        <w:t>On June 1, 2022 the Company completed the acquisition of Bargold Storage Systems, LLC ("Bargold") for a purchase price of approximately $179.3 million. Bargold leases space in apartment buildings, primarily in New York City and its boroughs, builds out the space as storage units, and subleases the units to tenants. As of June 1, 2022, Bargold had approximately 17,000 storage units with an approximate occupancy of 97%. This acquisition is considered a business combination ASU 2017-01, "</w:t>
      </w:r>
      <w:r>
        <w:rPr>
          <w:rFonts w:ascii="Times New Roman" w:cs="Times New Roman" w:eastAsia="Times New Roman" w:hAnsi="Times New Roman"/>
          <w:sz w:val="17"/>
          <w:szCs w:val="17"/>
          <w:i w:val="1"/>
          <w:iCs w:val="1"/>
          <w:color w:val="auto"/>
        </w:rPr>
        <w:t>Business Combinations (Topic 805): Clarifying the Definition of a Business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355" w:right="339" w:bottom="1440" w:gutter="0" w:footer="0" w:header="0"/>
        </w:sectPr>
      </w:pPr>
    </w:p>
    <w:p>
      <w:pPr>
        <w:spacing w:after="0" w:line="1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The following table summarizes the total consideration transferred to acquire Bargold:</w:t>
      </w:r>
    </w:p>
    <w:p>
      <w:pPr>
        <w:spacing w:after="0" w:line="29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Total cash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-120015</wp:posOffset>
            </wp:positionV>
            <wp:extent cx="2847975" cy="141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7975" cy="141605"/>
                    </a:xfrm>
                    <a:prstGeom prst="rect">
                      <a:avLst/>
                    </a:prstGeom>
                    <a:noFill/>
                  </pic:spPr>
                </pic:pic>
              </a:graphicData>
            </a:graphic>
          </wp:anchor>
        </w:drawing>
      </w:r>
    </w:p>
    <w:p>
      <w:pPr>
        <w:spacing w:after="0" w:line="1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Fair value of Series D Units issued</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Fair value of OP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-123190</wp:posOffset>
            </wp:positionV>
            <wp:extent cx="2847975" cy="141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7975" cy="141605"/>
                    </a:xfrm>
                    <a:prstGeom prst="rect">
                      <a:avLst/>
                    </a:prstGeom>
                    <a:noFill/>
                  </pic:spPr>
                </pic:pic>
              </a:graphicData>
            </a:graphic>
          </wp:anchor>
        </w:drawing>
      </w:r>
    </w:p>
    <w:p>
      <w:pPr>
        <w:spacing w:after="0" w:line="4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Total consideration transferred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As part of this acquisition, we recorded an expense of $1,465 related to transaction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1" w:hanging="481"/>
        <w:spacing w:after="0"/>
        <w:tabs>
          <w:tab w:leader="none" w:pos="48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157,302</w:t>
      </w:r>
    </w:p>
    <w:p>
      <w:pPr>
        <w:spacing w:after="0" w:line="32" w:lineRule="exact"/>
        <w:rPr>
          <w:rFonts w:ascii="Times New Roman" w:cs="Times New Roman" w:eastAsia="Times New Roman" w:hAnsi="Times New Roman"/>
          <w:sz w:val="17"/>
          <w:szCs w:val="17"/>
          <w:color w:val="auto"/>
        </w:rPr>
      </w:pPr>
    </w:p>
    <w:p>
      <w:pPr>
        <w:ind w:left="58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16,000</w:t>
      </w:r>
    </w:p>
    <w:p>
      <w:pPr>
        <w:spacing w:after="0" w:line="27" w:lineRule="exact"/>
        <w:rPr>
          <w:rFonts w:ascii="Times New Roman" w:cs="Times New Roman" w:eastAsia="Times New Roman" w:hAnsi="Times New Roman"/>
          <w:sz w:val="17"/>
          <w:szCs w:val="17"/>
          <w:color w:val="auto"/>
        </w:rPr>
      </w:pPr>
    </w:p>
    <w:p>
      <w:pPr>
        <w:ind w:left="66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724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 w:lineRule="exact"/>
        <w:rPr>
          <w:sz w:val="20"/>
          <w:szCs w:val="20"/>
          <w:color w:val="auto"/>
        </w:rPr>
      </w:pPr>
    </w:p>
    <w:p>
      <w:pPr>
        <w:ind w:left="481" w:hanging="481"/>
        <w:spacing w:after="0"/>
        <w:tabs>
          <w:tab w:leader="none" w:pos="48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179,302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724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53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724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026" w:lineRule="exact"/>
        <w:rPr>
          <w:sz w:val="20"/>
          <w:szCs w:val="20"/>
          <w:color w:val="auto"/>
        </w:rPr>
      </w:pPr>
    </w:p>
    <w:p>
      <w:pPr>
        <w:sectPr>
          <w:pgSz w:w="11900" w:h="16838" w:orient="portrait"/>
          <w:cols w:equalWidth="0" w:num="2">
            <w:col w:w="6900" w:space="59"/>
            <w:col w:w="4281"/>
          </w:cols>
          <w:pgMar w:left="320" w:top="355" w:right="339" w:bottom="1440" w:gutter="0" w:footer="0" w:header="0"/>
          <w:type w:val="continuous"/>
        </w:sectPr>
      </w:pPr>
    </w:p>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The following table summarizes the preliminary estimated fair values of the assets acquired and liabilities assumed at the acquisition date.</w:t>
      </w:r>
    </w:p>
    <w:p>
      <w:pPr>
        <w:spacing w:after="0" w:line="59" w:lineRule="exact"/>
        <w:rPr>
          <w:sz w:val="20"/>
          <w:szCs w:val="20"/>
          <w:color w:val="auto"/>
        </w:rPr>
      </w:pPr>
    </w:p>
    <w:tbl>
      <w:tblPr>
        <w:tblLayout w:type="fixed"/>
        <w:tblInd w:w="2740" w:type="dxa"/>
        <w:tblCellMar>
          <w:top w:w="0" w:type="dxa"/>
          <w:left w:w="0" w:type="dxa"/>
          <w:bottom w:w="0" w:type="dxa"/>
          <w:right w:w="0" w:type="dxa"/>
        </w:tblCellMar>
      </w:tblP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6,411</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payables and accrued liabilities assumed</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Nets asset acquired</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8,491</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170,811</w:t>
            </w: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assets acquired</w:t>
            </w: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179,302</w:t>
            </w:r>
          </w:p>
        </w:tc>
      </w:tr>
      <w:tr>
        <w:trPr>
          <w:trHeight w:val="20"/>
        </w:trPr>
        <w:tc>
          <w:tcPr>
            <w:tcW w:w="4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The following table summarizes the revenues and earnings related to Bargold since the acquisition date of June 1, 2022, which are included in the</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Company's consolidated statement of operations for the six months ended June 30, 2022:</w:t>
      </w:r>
    </w:p>
    <w:p>
      <w:pPr>
        <w:spacing w:after="0" w:line="41" w:lineRule="exact"/>
        <w:rPr>
          <w:sz w:val="20"/>
          <w:szCs w:val="20"/>
          <w:color w:val="auto"/>
        </w:rPr>
      </w:pPr>
    </w:p>
    <w:tbl>
      <w:tblPr>
        <w:tblLayout w:type="fixed"/>
        <w:tblInd w:w="3660" w:type="dxa"/>
        <w:tblCellMar>
          <w:top w:w="0" w:type="dxa"/>
          <w:left w:w="0" w:type="dxa"/>
          <w:bottom w:w="0" w:type="dxa"/>
          <w:right w:w="0" w:type="dxa"/>
        </w:tblCellMar>
      </w:tblPr>
      <w:tr>
        <w:trPr>
          <w:trHeight w:val="22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11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Net income from operations</w:t>
            </w:r>
          </w:p>
        </w:tc>
        <w:tc>
          <w:tcPr>
            <w:tcW w:w="11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r>
    </w:tbl>
    <w:p>
      <w:pPr>
        <w:spacing w:after="0" w:line="3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Pro Forma Information</w:t>
      </w:r>
    </w:p>
    <w:p>
      <w:pPr>
        <w:spacing w:after="0" w:line="252" w:lineRule="exact"/>
        <w:rPr>
          <w:sz w:val="20"/>
          <w:szCs w:val="20"/>
          <w:color w:val="auto"/>
        </w:rPr>
      </w:pPr>
    </w:p>
    <w:p>
      <w:pPr>
        <w:jc w:val="both"/>
        <w:ind w:left="240" w:right="180" w:firstLine="433"/>
        <w:spacing w:after="0" w:line="270" w:lineRule="auto"/>
        <w:rPr>
          <w:sz w:val="20"/>
          <w:szCs w:val="20"/>
          <w:color w:val="auto"/>
        </w:rPr>
      </w:pPr>
      <w:r>
        <w:rPr>
          <w:rFonts w:ascii="Times New Roman" w:cs="Times New Roman" w:eastAsia="Times New Roman" w:hAnsi="Times New Roman"/>
          <w:sz w:val="17"/>
          <w:szCs w:val="17"/>
          <w:color w:val="auto"/>
        </w:rPr>
        <w:t>As noted above, during the six months ended June 30, 2022, the Company acquired Bargold. The following pro forma financial information is based on the combined historical financial statements of the Company and Bargold, however, only includes revenue and presents the Company's results as if the acquisition had occurred on January 1, 2021. Net income was excluded as it was impracticable to report expenses due to the lack of historical accrual basis accounting.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7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c>
          <w:tcPr>
            <w:tcW w:w="5300" w:type="dxa"/>
            <w:vAlign w:val="bottom"/>
            <w:gridSpan w:val="3"/>
          </w:tcPr>
          <w:p>
            <w:pPr>
              <w:jc w:val="center"/>
              <w:ind w:right="262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r>
      <w:tr>
        <w:trPr>
          <w:trHeight w:val="233"/>
        </w:trPr>
        <w:tc>
          <w:tcPr>
            <w:tcW w:w="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center"/>
              <w:ind w:right="4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0" w:type="dxa"/>
            <w:vAlign w:val="bottom"/>
          </w:tcPr>
          <w:p>
            <w:pPr>
              <w:spacing w:after="0"/>
              <w:rPr>
                <w:sz w:val="20"/>
                <w:szCs w:val="20"/>
                <w:color w:val="auto"/>
              </w:rPr>
            </w:pPr>
          </w:p>
        </w:tc>
      </w:tr>
      <w:tr>
        <w:trPr>
          <w:trHeight w:val="219"/>
        </w:trPr>
        <w:tc>
          <w:tcPr>
            <w:tcW w:w="6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60" w:type="dxa"/>
            <w:vAlign w:val="bottom"/>
          </w:tcPr>
          <w:p>
            <w:pPr>
              <w:jc w:val="center"/>
              <w:ind w:right="453"/>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80" w:type="dxa"/>
            <w:vAlign w:val="bottom"/>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26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2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Total revenues</w:t>
            </w: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925,196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1,592,021</w:t>
            </w:r>
          </w:p>
        </w:tc>
        <w:tc>
          <w:tcPr>
            <w:tcW w:w="2600" w:type="dxa"/>
            <w:vAlign w:val="bottom"/>
          </w:tcPr>
          <w:p>
            <w:pPr>
              <w:spacing w:after="0"/>
              <w:rPr>
                <w:sz w:val="19"/>
                <w:szCs w:val="19"/>
                <w:color w:val="auto"/>
              </w:rPr>
            </w:pPr>
          </w:p>
        </w:tc>
      </w:tr>
      <w:tr>
        <w:trPr>
          <w:trHeight w:val="878"/>
        </w:trPr>
        <w:tc>
          <w:tcPr>
            <w:tcW w:w="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12"/>
        </w:trPr>
        <w:tc>
          <w:tcPr>
            <w:tcW w:w="68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Dispositions</w:t>
      </w:r>
    </w:p>
    <w:p>
      <w:pPr>
        <w:spacing w:after="0" w:line="252" w:lineRule="exact"/>
        <w:rPr>
          <w:sz w:val="20"/>
          <w:szCs w:val="20"/>
          <w:color w:val="auto"/>
        </w:rPr>
      </w:pPr>
    </w:p>
    <w:p>
      <w:pPr>
        <w:ind w:right="100" w:firstLine="629"/>
        <w:spacing w:after="0" w:line="297" w:lineRule="auto"/>
        <w:rPr>
          <w:sz w:val="20"/>
          <w:szCs w:val="20"/>
          <w:color w:val="auto"/>
        </w:rPr>
      </w:pPr>
      <w:r>
        <w:rPr>
          <w:rFonts w:ascii="Times New Roman" w:cs="Times New Roman" w:eastAsia="Times New Roman" w:hAnsi="Times New Roman"/>
          <w:sz w:val="17"/>
          <w:szCs w:val="17"/>
          <w:color w:val="auto"/>
        </w:rPr>
        <w:t>The Company disposed of two previously held for sale stores during the three months ended June 30, 2022, for approximately $38.7 million, resulting in a gain of $14.2 million.</w:t>
      </w:r>
    </w:p>
    <w:p>
      <w:pPr>
        <w:spacing w:after="0" w:line="2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8.</w:t>
        <w:tab/>
        <w:t>INVESTMENTS IN UNCONSOLIDATED REAL ESTATE ENTITIES</w:t>
      </w:r>
    </w:p>
    <w:p>
      <w:pPr>
        <w:spacing w:after="0" w:line="226" w:lineRule="exact"/>
        <w:rPr>
          <w:sz w:val="20"/>
          <w:szCs w:val="20"/>
          <w:color w:val="auto"/>
        </w:rPr>
      </w:pPr>
    </w:p>
    <w:p>
      <w:pPr>
        <w:ind w:right="100" w:firstLine="433"/>
        <w:spacing w:after="0" w:line="265" w:lineRule="auto"/>
        <w:rPr>
          <w:sz w:val="20"/>
          <w:szCs w:val="20"/>
          <w:color w:val="auto"/>
        </w:rPr>
      </w:pPr>
      <w:r>
        <w:rPr>
          <w:rFonts w:ascii="Times New Roman" w:cs="Times New Roman" w:eastAsia="Times New Roman" w:hAnsi="Times New Roman"/>
          <w:sz w:val="17"/>
          <w:szCs w:val="17"/>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4" w:lineRule="exact"/>
        <w:rPr>
          <w:sz w:val="20"/>
          <w:szCs w:val="20"/>
          <w:color w:val="auto"/>
        </w:rPr>
      </w:pPr>
    </w:p>
    <w:p>
      <w:pPr>
        <w:ind w:right="140" w:firstLine="433"/>
        <w:spacing w:after="0" w:line="277" w:lineRule="auto"/>
        <w:rPr>
          <w:sz w:val="20"/>
          <w:szCs w:val="20"/>
          <w:color w:val="auto"/>
        </w:rPr>
      </w:pPr>
      <w:r>
        <w:rPr>
          <w:rFonts w:ascii="Times New Roman" w:cs="Times New Roman" w:eastAsia="Times New Roman" w:hAnsi="Times New Roman"/>
          <w:sz w:val="17"/>
          <w:szCs w:val="17"/>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spacing w:after="0" w:line="189"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investments in unconsolidated real estate ventures and cash distributions in unconsolidated real estate ventures consist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8"/>
        </w:trPr>
        <w:tc>
          <w:tcPr>
            <w:tcW w:w="50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 xml:space="preserve">Excess Profit % </w:t>
            </w:r>
            <w:r>
              <w:rPr>
                <w:rFonts w:ascii="Times New Roman" w:cs="Times New Roman" w:eastAsia="Times New Roman" w:hAnsi="Times New Roman"/>
                <w:sz w:val="18"/>
                <w:szCs w:val="18"/>
                <w:b w:val="1"/>
                <w:bCs w:val="1"/>
                <w:color w:val="auto"/>
                <w:w w:val="95"/>
                <w:vertAlign w:val="superscript"/>
              </w:rPr>
              <w:t>(1)</w:t>
            </w:r>
          </w:p>
        </w:tc>
        <w:tc>
          <w:tcPr>
            <w:tcW w:w="240" w:type="dxa"/>
            <w:vAlign w:val="bottom"/>
          </w:tcPr>
          <w:p>
            <w:pPr>
              <w:spacing w:after="0"/>
              <w:rPr>
                <w:sz w:val="3"/>
                <w:szCs w:val="3"/>
                <w:color w:val="auto"/>
              </w:rPr>
            </w:pPr>
          </w:p>
        </w:tc>
        <w:tc>
          <w:tcPr>
            <w:tcW w:w="102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line="20" w:lineRule="exact"/>
              <w:rPr>
                <w:sz w:val="1"/>
                <w:szCs w:val="1"/>
                <w:color w:val="auto"/>
              </w:rPr>
            </w:pPr>
          </w:p>
        </w:tc>
      </w:tr>
      <w:tr>
        <w:trPr>
          <w:trHeight w:val="195"/>
        </w:trPr>
        <w:tc>
          <w:tcPr>
            <w:tcW w:w="50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Ownership %</w:t>
            </w: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PRISA Self Storage LLC</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Storage Portfolio II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(6,116)</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Storage Portfolio IV JV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Storage Portfolio I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(40,168)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 II EXR JV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70,403</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ESS-CA TIVS JV LP</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32,288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VRS Self Storage,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ESS-NYFL JV LP</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11,796</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Extra Space Northern Properties Six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Alan Jathoo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 Bristol Investments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ACPF-EXR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 EXR Self Storage,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59,393</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Storage Portfolio III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unconsolidated real estate ventures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20-50%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18,635</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SmartStop Self Storage REIT, Inc. Preferred Stock </w:t>
            </w:r>
            <w:r>
              <w:rPr>
                <w:rFonts w:ascii="Times New Roman" w:cs="Times New Roman" w:eastAsia="Times New Roman" w:hAnsi="Times New Roman"/>
                <w:sz w:val="22"/>
                <w:szCs w:val="22"/>
                <w:color w:val="auto"/>
                <w:vertAlign w:val="superscript"/>
              </w:rPr>
              <w:t>(2)</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n/a</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150"/>
        </w:trPr>
        <w:tc>
          <w:tcPr>
            <w:tcW w:w="502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Net Investments in and Cash distributions in unconsolidated real estate</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304</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479,394</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393,744</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entities</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540" w:right="5120" w:hanging="5535"/>
        <w:spacing w:after="0" w:line="1005" w:lineRule="auto"/>
        <w:tabs>
          <w:tab w:leader="none" w:pos="25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pro-rata equity ownership share and maximum potential promoted interest.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-340360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95" w:lineRule="exact"/>
        <w:rPr>
          <w:sz w:val="20"/>
          <w:szCs w:val="20"/>
          <w:color w:val="auto"/>
        </w:rPr>
      </w:pPr>
    </w:p>
    <w:p>
      <w:pPr>
        <w:ind w:left="320" w:hanging="315"/>
        <w:spacing w:after="0" w:line="270" w:lineRule="auto"/>
        <w:tabs>
          <w:tab w:leader="none" w:pos="25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invested in shares of convertible preferred stock of SmartStop.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169" w:lineRule="exact"/>
        <w:rPr>
          <w:sz w:val="20"/>
          <w:szCs w:val="20"/>
          <w:color w:val="auto"/>
        </w:rPr>
      </w:pPr>
    </w:p>
    <w:p>
      <w:pPr>
        <w:ind w:left="320" w:right="280" w:firstLine="433"/>
        <w:spacing w:after="0" w:line="297" w:lineRule="auto"/>
        <w:rPr>
          <w:sz w:val="20"/>
          <w:szCs w:val="20"/>
          <w:color w:val="auto"/>
        </w:rPr>
      </w:pPr>
      <w:r>
        <w:rPr>
          <w:rFonts w:ascii="Times New Roman" w:cs="Times New Roman" w:eastAsia="Times New Roman" w:hAnsi="Times New Roman"/>
          <w:sz w:val="17"/>
          <w:szCs w:val="17"/>
          <w:color w:val="auto"/>
        </w:rPr>
        <w:t>During the six months ended June 30, 2022, the Company contributed a total of $76,339 of cash to its joint ventures, for its pro-rata portion of the purchase price of 18 operating stores which includes $11,225 for the purchase of eight stores for a new joint venture.</w:t>
      </w:r>
    </w:p>
    <w:p>
      <w:pPr>
        <w:spacing w:after="0" w:line="2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9.</w:t>
        <w:tab/>
        <w:t>INVESTMENTS IN DEBT SECURITIES AND NOTES RECEIVABLE</w:t>
      </w:r>
    </w:p>
    <w:p>
      <w:pPr>
        <w:spacing w:after="0" w:line="226" w:lineRule="exact"/>
        <w:rPr>
          <w:sz w:val="20"/>
          <w:szCs w:val="20"/>
          <w:color w:val="auto"/>
        </w:rPr>
      </w:pPr>
    </w:p>
    <w:p>
      <w:pPr>
        <w:ind w:right="160" w:firstLine="433"/>
        <w:spacing w:after="0" w:line="274" w:lineRule="auto"/>
        <w:rPr>
          <w:sz w:val="20"/>
          <w:szCs w:val="20"/>
          <w:color w:val="auto"/>
        </w:rPr>
      </w:pPr>
      <w:r>
        <w:rPr>
          <w:rFonts w:ascii="Times New Roman" w:cs="Times New Roman" w:eastAsia="Times New Roman" w:hAnsi="Times New Roman"/>
          <w:sz w:val="17"/>
          <w:szCs w:val="17"/>
          <w:color w:val="auto"/>
        </w:rPr>
        <w:t>Investments in debt securities and notes receivable consists of the Company's investment in mandatorily redeemable preferred stock of Jernigan Capital, Inc. ("JCAP") in connection with JCAP's acquisition by affiliates of NexPoint Advisors, L.P. ("NexPoint Investment") and receivables due to the Company under its bridge loan program. Information about these balances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18"/>
                <w:szCs w:val="18"/>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8"/>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securities - NexPoint Series A Preferred Stock</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securities - NexPoint Series B Preferred Stock</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Receivable-Bridge Loans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349,056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279,042</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Receivable-Senior Mezzanine Loan, net</w:t>
            </w:r>
          </w:p>
        </w:tc>
        <w:tc>
          <w:tcPr>
            <w:tcW w:w="28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102,079</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Receivable</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53,298</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38,066</w:t>
            </w:r>
          </w:p>
        </w:tc>
      </w:tr>
      <w:tr>
        <w:trPr>
          <w:trHeight w:val="216"/>
        </w:trPr>
        <w:tc>
          <w:tcPr>
            <w:tcW w:w="75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702,354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719,187</w:t>
            </w: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right="60" w:firstLine="433"/>
        <w:spacing w:after="0" w:line="265" w:lineRule="auto"/>
        <w:rPr>
          <w:sz w:val="20"/>
          <w:szCs w:val="20"/>
          <w:color w:val="auto"/>
        </w:rPr>
      </w:pPr>
      <w:r>
        <w:rPr>
          <w:rFonts w:ascii="Times New Roman" w:cs="Times New Roman" w:eastAsia="Times New Roman" w:hAnsi="Times New Roman"/>
          <w:sz w:val="17"/>
          <w:szCs w:val="17"/>
          <w:color w:val="auto"/>
        </w:rPr>
        <w:t>In November 2020, the Company invested $300,000 in the preferred stock of JCAP in connection with the acquisition of JCAP by affiliates of NexPoint Advisors, L.P. This investment consists of 200,000 Series A Preferred Shares valued at a total of $200,000, and 100,000 Series B Preferred Shares valued at a total of $100,000. The JCAP preferred stock is mandatorily redeemable after five years, with two one-year extension options. NexPoint may redeem the Preferred Shares at any time, subject to certain prepayment penalties. The Company accounts for the JCAP preferred stock as a held to maturity debt security at amortized cost. The Series A Preferred Shares and the Series B Preferred Shares have initial dividend rates of 10.0% and 12.0%, respectively. If the investment is not retired after five years, the preferred dividends increase annually.</w:t>
      </w:r>
    </w:p>
    <w:p>
      <w:pPr>
        <w:spacing w:after="0" w:line="200" w:lineRule="exact"/>
        <w:rPr>
          <w:sz w:val="20"/>
          <w:szCs w:val="20"/>
          <w:color w:val="auto"/>
        </w:rPr>
      </w:pPr>
    </w:p>
    <w:p>
      <w:pPr>
        <w:ind w:right="20" w:firstLine="433"/>
        <w:spacing w:after="0" w:line="266" w:lineRule="auto"/>
        <w:rPr>
          <w:sz w:val="20"/>
          <w:szCs w:val="20"/>
          <w:color w:val="auto"/>
        </w:rPr>
      </w:pPr>
      <w:r>
        <w:rPr>
          <w:rFonts w:ascii="Times New Roman" w:cs="Times New Roman" w:eastAsia="Times New Roman" w:hAnsi="Times New Roman"/>
          <w:sz w:val="17"/>
          <w:szCs w:val="17"/>
          <w:color w:val="auto"/>
        </w:rPr>
        <w:t>In July 2020, the Company purchased a senior mezzanine note receivable with a principal amount of $103,000. This note receivable bore interest at 5.5%, matured in December 2023 and was collateralized through an equity interest in which it or its subsidiaries wholly own 62 storage facilities. The Company paid cash of $101,142 for the loan receivable and accounted for the discount at amortized cost. The discount was being amortized over the term of the loan receivable. In February 2022, a junior mezzanine lender exercised its right to buy the Company’s position for the full principal balance plus interest due, as a result of which the Company sold this note for a total of $103,315 in cash. The remaining unamortized discount was recognized in the quarter as interest income.</w:t>
      </w:r>
    </w:p>
    <w:p>
      <w:pPr>
        <w:spacing w:after="0" w:line="200" w:lineRule="exact"/>
        <w:rPr>
          <w:sz w:val="20"/>
          <w:szCs w:val="20"/>
          <w:color w:val="auto"/>
        </w:rPr>
      </w:pPr>
    </w:p>
    <w:p>
      <w:pPr>
        <w:spacing w:after="0" w:line="212" w:lineRule="exact"/>
        <w:rPr>
          <w:sz w:val="20"/>
          <w:szCs w:val="20"/>
          <w:color w:val="auto"/>
        </w:rPr>
      </w:pPr>
    </w:p>
    <w:p>
      <w:pPr>
        <w:ind w:right="160" w:firstLine="433"/>
        <w:spacing w:after="0" w:line="270" w:lineRule="auto"/>
        <w:rPr>
          <w:sz w:val="20"/>
          <w:szCs w:val="20"/>
          <w:color w:val="auto"/>
        </w:rPr>
      </w:pPr>
      <w:r>
        <w:rPr>
          <w:rFonts w:ascii="Times New Roman" w:cs="Times New Roman" w:eastAsia="Times New Roman" w:hAnsi="Times New Roman"/>
          <w:sz w:val="17"/>
          <w:szCs w:val="17"/>
          <w:color w:val="auto"/>
        </w:rPr>
        <w:t>The Company provides bridge loan financing to third-party self-storage operators. These notes receivable consist of mortgage loans receivable, collateralized by self-storage properties. These notes receivable typically have a term of three years with two one-year extensions, and have variable interest rates. The Company intends to sell the majority of the mortgage receivables. During the six months ended June 30, 2022 the Company sold a total principal amount of $83,307 of its mortgage bridge loans receivable to third parties for a total of $82,115 in cash and closed on $204,930 in new mortgage bridge loans.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10.</w:t>
        <w:tab/>
        <w:t>DEBT</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May 2021, the Operating Partnership executed its initial public bond issuance by selling $450.0 million principal amount of 2.550% Senior Notes due</w:t>
      </w:r>
    </w:p>
    <w:p>
      <w:pPr>
        <w:spacing w:after="0" w:line="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color w:val="auto"/>
        </w:rPr>
        <w:t>2031 (the "Notes Due 2031"). Interest on the Notes Due 2031 is paid semi-annually in arrears on June 1 and December 1 of each year. The Notes Due 2031 will mature on June 1, 2031, and the Operating Partnership may redeem the Notes Due 2031 at its option and sole discretion at any time prior to March 31, 2031 for cash equal to the outstanding principal amount plus the present value of the remaining scheduled interest payments, plus any accrued but unpaid interest.</w:t>
      </w:r>
    </w:p>
    <w:p>
      <w:pPr>
        <w:spacing w:after="0" w:line="171" w:lineRule="exact"/>
        <w:rPr>
          <w:sz w:val="20"/>
          <w:szCs w:val="20"/>
          <w:color w:val="auto"/>
        </w:rPr>
      </w:pPr>
    </w:p>
    <w:p>
      <w:pPr>
        <w:ind w:firstLine="433"/>
        <w:spacing w:after="0" w:line="269" w:lineRule="auto"/>
        <w:rPr>
          <w:sz w:val="20"/>
          <w:szCs w:val="20"/>
          <w:color w:val="auto"/>
        </w:rPr>
      </w:pPr>
      <w:r>
        <w:rPr>
          <w:rFonts w:ascii="Times New Roman" w:cs="Times New Roman" w:eastAsia="Times New Roman" w:hAnsi="Times New Roman"/>
          <w:sz w:val="17"/>
          <w:szCs w:val="17"/>
          <w:color w:val="auto"/>
        </w:rPr>
        <w:t>In September 2021, the Operating Partnership executed a public bond issuance by selling $600.0 million principal amount of 2.350% Senior Notes due 2032 (the "Notes Due 2032"). Interest on the Notes Due 2032 is paid semi-annually in arrears on March 15 and September 15 of each year. The Notes Due 2032 will mature on March 15, 2032, and the Operating Partnership may redeem the Notes Due 2032 at its option and sole discretion at any time prior to March 15, 2032 for cash equal to the outstanding principal amount plus the present value of the remaining scheduled interest payments, plus any accrued but unpaid interest.</w:t>
      </w:r>
    </w:p>
    <w:p>
      <w:pPr>
        <w:spacing w:after="0" w:line="382"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In March 2022, the Operating Partnership executed a public bond issuance by selling $400.0 million principal amount of 3.900% Senior Notes due 2029 (the "Notes Due 2029"). Interest on the Notes Due 2029 is paid semi-annually in arrears on April 1 and October 1 of each year. The Notes Due 2029 will mature on April 1, 2029, and the Operating Partnership may redeem the Notes Due 2029 at its option and sole discretion at any time prior to April 1, 2029 for cash equal to the outstanding principal amount plus the present value of the remaining scheduled interest payments, plus any accrued but unpaid interest.</w:t>
      </w:r>
    </w:p>
    <w:p>
      <w:pPr>
        <w:spacing w:after="0" w:line="169"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The Operating Partner may redeem the Notes Due 2029, the Notes Due 2031 and/or the Notes Due 2032 in whole at any time or in part from time to time, at the Operating Partnership’s option and sole discretion, at a redemption price equal to the greater of (i) 100% of the principal amount of the notes being redeemed and (ii) a make-whole premium calculated in accordance with the indenture governing the notes, plus, in each case, accrued and unpaid interest thereon to, but not including, the applicable redemption date. Notwithstanding the foregoing, on or after the date three months prior to the maturity date of the applicable notes, the redemption price will be equal to 100% of the principal amount of the notes being redeemed, plus accrued and unpaid interest thereon to, but not including, the applicable redemption date.</w:t>
      </w:r>
    </w:p>
    <w:p>
      <w:pPr>
        <w:spacing w:after="0" w:line="174" w:lineRule="exact"/>
        <w:rPr>
          <w:sz w:val="20"/>
          <w:szCs w:val="20"/>
          <w:color w:val="auto"/>
        </w:rPr>
      </w:pPr>
    </w:p>
    <w:p>
      <w:pPr>
        <w:ind w:right="20" w:firstLine="433"/>
        <w:spacing w:after="0" w:line="277" w:lineRule="auto"/>
        <w:rPr>
          <w:sz w:val="20"/>
          <w:szCs w:val="20"/>
          <w:color w:val="auto"/>
        </w:rPr>
      </w:pPr>
      <w:r>
        <w:rPr>
          <w:rFonts w:ascii="Times New Roman" w:cs="Times New Roman" w:eastAsia="Times New Roman" w:hAnsi="Times New Roman"/>
          <w:sz w:val="17"/>
          <w:szCs w:val="17"/>
          <w:color w:val="auto"/>
        </w:rPr>
        <w:t>Certain events are considered events of default, which may result in the accelerated maturity of the Notes Due 2029, the Notes Due 2031 and/or the Notes Due 2032, including, among other things, a default for 30 days in the payment of any installment of interest under the notes or a default in the payment of the principal amount or redemption price due with respect to the notes, when the same become due and payable.</w:t>
      </w:r>
    </w:p>
    <w:p>
      <w:pPr>
        <w:spacing w:after="0" w:line="162" w:lineRule="exact"/>
        <w:rPr>
          <w:sz w:val="20"/>
          <w:szCs w:val="20"/>
          <w:color w:val="auto"/>
        </w:rPr>
      </w:pPr>
    </w:p>
    <w:p>
      <w:pPr>
        <w:ind w:right="120" w:firstLine="433"/>
        <w:spacing w:after="0" w:line="265" w:lineRule="auto"/>
        <w:rPr>
          <w:sz w:val="20"/>
          <w:szCs w:val="20"/>
          <w:color w:val="auto"/>
        </w:rPr>
      </w:pPr>
      <w:r>
        <w:rPr>
          <w:rFonts w:ascii="Times New Roman" w:cs="Times New Roman" w:eastAsia="Times New Roman" w:hAnsi="Times New Roman"/>
          <w:sz w:val="17"/>
          <w:szCs w:val="17"/>
          <w:color w:val="auto"/>
        </w:rPr>
        <w:t>The Notes Due 2029, the Notes Due 2031 and the Notes Due 2032 are unsecured, and are fully and unconditionally guaranteed by the Company, ESS Holdings Business Trust I, and ESS Holdings Business Trust II (the "Guarantors," and together with the Operating Partnership, the "Obligated Group"), on a joint and several basis. The guarantee of the Notes Due 2031 and the Notes Due 2032 will be a senior unsecured obligation of each Guarantor. The Guarantors have no material operations separate from the operation of the Operating Partnership and no material assets, other than their respective investments directly or indirectly in the Operating Partnership, and therefore the assets, liabilities, and results of operations of the Obligated Group are not materially different than those reported in the Company's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term debt are summarized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Term Debt</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Fixed Rate</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Variable Rate </w:t>
            </w:r>
            <w:r>
              <w:rPr>
                <w:rFonts w:ascii="Times New Roman" w:cs="Times New Roman" w:eastAsia="Times New Roman" w:hAnsi="Times New Roman"/>
                <w:sz w:val="22"/>
                <w:szCs w:val="22"/>
                <w:b w:val="1"/>
                <w:bCs w:val="1"/>
                <w:color w:val="auto"/>
                <w:vertAlign w:val="superscript"/>
              </w:rPr>
              <w:t>(2)</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gridSpan w:val="2"/>
          </w:tcPr>
          <w:p>
            <w:pPr>
              <w:spacing w:after="0"/>
              <w:rPr>
                <w:sz w:val="22"/>
                <w:szCs w:val="22"/>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Maturity Dates</w:t>
            </w:r>
          </w:p>
        </w:tc>
        <w:tc>
          <w:tcPr>
            <w:tcW w:w="0" w:type="dxa"/>
            <w:vAlign w:val="bottom"/>
          </w:tcPr>
          <w:p>
            <w:pPr>
              <w:spacing w:after="0"/>
              <w:rPr>
                <w:sz w:val="1"/>
                <w:szCs w:val="1"/>
                <w:color w:val="auto"/>
              </w:rPr>
            </w:pPr>
          </w:p>
        </w:tc>
      </w:tr>
      <w:tr>
        <w:trPr>
          <w:trHeight w:val="150"/>
        </w:trPr>
        <w:tc>
          <w:tcPr>
            <w:tcW w:w="3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Secured fixed-rate </w:t>
            </w:r>
            <w:r>
              <w:rPr>
                <w:rFonts w:ascii="Times New Roman" w:cs="Times New Roman" w:eastAsia="Times New Roman" w:hAnsi="Times New Roman"/>
                <w:sz w:val="20"/>
                <w:szCs w:val="20"/>
                <w:color w:val="auto"/>
                <w:vertAlign w:val="superscript"/>
              </w:rPr>
              <w:t>(1)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868,912</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930,830</w:t>
            </w:r>
          </w:p>
        </w:tc>
        <w:tc>
          <w:tcPr>
            <w:tcW w:w="1640" w:type="dxa"/>
            <w:vAlign w:val="bottom"/>
            <w:gridSpan w:val="2"/>
            <w:vMerge w:val="restart"/>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7"/>
              </w:rPr>
              <w:t>2.27% - 4.50%</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240"/>
              <w:spacing w:after="0" w:line="151" w:lineRule="exact"/>
              <w:rPr>
                <w:sz w:val="20"/>
                <w:szCs w:val="20"/>
                <w:color w:val="auto"/>
              </w:rPr>
            </w:pPr>
            <w:r>
              <w:rPr>
                <w:rFonts w:ascii="Times New Roman" w:cs="Times New Roman" w:eastAsia="Times New Roman" w:hAnsi="Times New Roman"/>
                <w:sz w:val="16"/>
                <w:szCs w:val="16"/>
                <w:color w:val="auto"/>
                <w:w w:val="96"/>
              </w:rPr>
              <w:t>February 2023 -</w:t>
            </w:r>
          </w:p>
        </w:tc>
        <w:tc>
          <w:tcPr>
            <w:tcW w:w="0" w:type="dxa"/>
            <w:vAlign w:val="bottom"/>
          </w:tcPr>
          <w:p>
            <w:pPr>
              <w:spacing w:after="0"/>
              <w:rPr>
                <w:sz w:val="1"/>
                <w:szCs w:val="1"/>
                <w:color w:val="auto"/>
              </w:rPr>
            </w:pPr>
          </w:p>
        </w:tc>
      </w:tr>
      <w:tr>
        <w:trPr>
          <w:trHeight w:val="210"/>
        </w:trPr>
        <w:tc>
          <w:tcPr>
            <w:tcW w:w="34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8"/>
              </w:rPr>
              <w:t>February 2030</w:t>
            </w:r>
          </w:p>
        </w:tc>
        <w:tc>
          <w:tcPr>
            <w:tcW w:w="0" w:type="dxa"/>
            <w:vAlign w:val="bottom"/>
          </w:tcPr>
          <w:p>
            <w:pPr>
              <w:spacing w:after="0"/>
              <w:rPr>
                <w:sz w:val="1"/>
                <w:szCs w:val="1"/>
                <w:color w:val="auto"/>
              </w:rPr>
            </w:pPr>
          </w:p>
        </w:tc>
      </w:tr>
      <w:tr>
        <w:trPr>
          <w:trHeight w:val="157"/>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Secured variable-rate </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424,328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392,679</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jc w:val="right"/>
              <w:ind w:right="277"/>
              <w:spacing w:after="0"/>
              <w:rPr>
                <w:sz w:val="20"/>
                <w:szCs w:val="20"/>
                <w:color w:val="auto"/>
              </w:rPr>
            </w:pPr>
            <w:r>
              <w:rPr>
                <w:rFonts w:ascii="Times New Roman" w:cs="Times New Roman" w:eastAsia="Times New Roman" w:hAnsi="Times New Roman"/>
                <w:sz w:val="16"/>
                <w:szCs w:val="16"/>
                <w:color w:val="auto"/>
              </w:rPr>
              <w:t>2.60% - 3.29%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w w:val="98"/>
              </w:rPr>
              <w:t>January 2023 -</w:t>
            </w:r>
          </w:p>
        </w:tc>
        <w:tc>
          <w:tcPr>
            <w:tcW w:w="0" w:type="dxa"/>
            <w:vAlign w:val="bottom"/>
          </w:tcPr>
          <w:p>
            <w:pPr>
              <w:spacing w:after="0"/>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September 2030</w:t>
            </w:r>
          </w:p>
        </w:tc>
        <w:tc>
          <w:tcPr>
            <w:tcW w:w="0" w:type="dxa"/>
            <w:vAlign w:val="bottom"/>
          </w:tcPr>
          <w:p>
            <w:pPr>
              <w:spacing w:after="0"/>
              <w:rPr>
                <w:sz w:val="1"/>
                <w:szCs w:val="1"/>
                <w:color w:val="auto"/>
              </w:rPr>
            </w:pPr>
          </w:p>
        </w:tc>
      </w:tr>
      <w:tr>
        <w:trPr>
          <w:trHeight w:val="157"/>
        </w:trPr>
        <w:tc>
          <w:tcPr>
            <w:tcW w:w="3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fixed-rate</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3,930,376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3,575,000</w:t>
            </w:r>
          </w:p>
        </w:tc>
        <w:tc>
          <w:tcPr>
            <w:tcW w:w="1640" w:type="dxa"/>
            <w:vAlign w:val="bottom"/>
            <w:gridSpan w:val="2"/>
            <w:vMerge w:val="restart"/>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7"/>
              </w:rPr>
              <w:t>2.35% - 4.39%</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gridSpan w:val="4"/>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February 2024 - March</w:t>
            </w:r>
          </w:p>
        </w:tc>
        <w:tc>
          <w:tcPr>
            <w:tcW w:w="0" w:type="dxa"/>
            <w:vAlign w:val="bottom"/>
          </w:tcPr>
          <w:p>
            <w:pPr>
              <w:spacing w:after="0"/>
              <w:rPr>
                <w:sz w:val="1"/>
                <w:szCs w:val="1"/>
                <w:color w:val="auto"/>
              </w:rPr>
            </w:pPr>
          </w:p>
        </w:tc>
      </w:tr>
      <w:tr>
        <w:trPr>
          <w:trHeight w:val="210"/>
        </w:trPr>
        <w:tc>
          <w:tcPr>
            <w:tcW w:w="34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6"/>
                <w:szCs w:val="16"/>
                <w:color w:val="auto"/>
                <w:w w:val="99"/>
              </w:rPr>
              <w:t>2032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Unsecured variable-rate</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594,624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jc w:val="right"/>
              <w:ind w:right="537"/>
              <w:spacing w:after="0"/>
              <w:rPr>
                <w:sz w:val="20"/>
                <w:szCs w:val="20"/>
                <w:color w:val="auto"/>
              </w:rPr>
            </w:pPr>
            <w:r>
              <w:rPr>
                <w:rFonts w:ascii="Times New Roman" w:cs="Times New Roman" w:eastAsia="Times New Roman" w:hAnsi="Times New Roman"/>
                <w:sz w:val="16"/>
                <w:szCs w:val="16"/>
                <w:color w:val="auto"/>
              </w:rPr>
              <w:t>2.74%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w w:val="96"/>
              </w:rPr>
              <w:t>February 2024 -</w:t>
            </w:r>
          </w:p>
        </w:tc>
        <w:tc>
          <w:tcPr>
            <w:tcW w:w="0" w:type="dxa"/>
            <w:vAlign w:val="bottom"/>
          </w:tcPr>
          <w:p>
            <w:pPr>
              <w:spacing w:after="0"/>
              <w:rPr>
                <w:sz w:val="1"/>
                <w:szCs w:val="1"/>
                <w:color w:val="auto"/>
              </w:rPr>
            </w:pPr>
          </w:p>
        </w:tc>
      </w:tr>
      <w:tr>
        <w:trPr>
          <w:trHeight w:val="208"/>
        </w:trPr>
        <w:tc>
          <w:tcPr>
            <w:tcW w:w="34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October 2026</w:t>
            </w: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5,818,240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5,448,509</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(29,600)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5,788,640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5,422,747</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gridSpan w:val="3"/>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40" w:type="dxa"/>
            <w:vAlign w:val="bottom"/>
            <w:gridSpan w:val="6"/>
            <w:shd w:val="clear" w:color="auto" w:fill="CCEEFF"/>
          </w:tcPr>
          <w:p>
            <w:pPr>
              <w:ind w:left="20"/>
              <w:spacing w:after="0" w:line="209" w:lineRule="exact"/>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The loans are collateralized by mortgages on real estate assets and the assignment of rents.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w w:val="99"/>
                <w:vertAlign w:val="superscript"/>
              </w:rPr>
              <w:t>(2)</w:t>
            </w:r>
            <w:r>
              <w:rPr>
                <w:rFonts w:ascii="Times New Roman" w:cs="Times New Roman" w:eastAsia="Times New Roman" w:hAnsi="Times New Roman"/>
                <w:sz w:val="16"/>
                <w:szCs w:val="16"/>
                <w:color w:val="auto"/>
                <w:w w:val="99"/>
              </w:rPr>
              <w:t xml:space="preserve"> Basis rates include 30-day USD LIBOR, Term SOFR and Daily Simple SOFR.</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9920" w:type="dxa"/>
            <w:vAlign w:val="bottom"/>
            <w:gridSpan w:val="13"/>
          </w:tcPr>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scheduled maturities of term debt, excluding available extensions, at June 30, 2022:</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3,492,477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3"/>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5,818,240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At June 30, 2022, the terms of the Second Amended and Restated Credit Agreement dated June 22, 2021 (the "Credit Agreement")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Debt Capacity</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Maturity Date</w:t>
            </w:r>
          </w:p>
        </w:tc>
      </w:tr>
      <w:tr>
        <w:trPr>
          <w:trHeight w:val="21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June 2025</w:t>
            </w:r>
          </w:p>
        </w:tc>
      </w:tr>
      <w:tr>
        <w:trPr>
          <w:trHeight w:val="223"/>
        </w:trPr>
        <w:tc>
          <w:tcPr>
            <w:tcW w:w="716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Tranche 1 Term Loan Facility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January 2027</w:t>
            </w:r>
          </w:p>
        </w:tc>
      </w:tr>
      <w:tr>
        <w:trPr>
          <w:trHeight w:val="223"/>
        </w:trPr>
        <w:tc>
          <w:tcPr>
            <w:tcW w:w="7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Tranche 2 Term Loan Facility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October 2026</w:t>
            </w:r>
          </w:p>
        </w:tc>
      </w:tr>
      <w:tr>
        <w:trPr>
          <w:trHeight w:val="223"/>
        </w:trPr>
        <w:tc>
          <w:tcPr>
            <w:tcW w:w="716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Tranche 3 Term Loan Facility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January 2025</w:t>
            </w:r>
          </w:p>
        </w:tc>
      </w:tr>
      <w:tr>
        <w:trPr>
          <w:trHeight w:val="223"/>
        </w:trPr>
        <w:tc>
          <w:tcPr>
            <w:tcW w:w="7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Tranche 4 Term Loan Facility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June 2026</w:t>
            </w:r>
          </w:p>
        </w:tc>
      </w:tr>
      <w:tr>
        <w:trPr>
          <w:trHeight w:val="223"/>
        </w:trPr>
        <w:tc>
          <w:tcPr>
            <w:tcW w:w="71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Tranche 5 Term Loan Facility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425,000</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February 2024</w:t>
            </w:r>
          </w:p>
        </w:tc>
      </w:tr>
      <w:tr>
        <w:trPr>
          <w:trHeight w:val="241"/>
        </w:trPr>
        <w:tc>
          <w:tcPr>
            <w:tcW w:w="7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term loan amounts have been fully drawn as of June 30, 2022.</w:t>
      </w:r>
    </w:p>
    <w:p>
      <w:pPr>
        <w:spacing w:after="0" w:line="224" w:lineRule="exact"/>
        <w:rPr>
          <w:sz w:val="20"/>
          <w:szCs w:val="20"/>
          <w:color w:val="auto"/>
        </w:rPr>
      </w:pPr>
    </w:p>
    <w:p>
      <w:pPr>
        <w:ind w:right="120" w:firstLine="393"/>
        <w:spacing w:after="0" w:line="281" w:lineRule="auto"/>
        <w:rPr>
          <w:sz w:val="20"/>
          <w:szCs w:val="20"/>
          <w:color w:val="auto"/>
        </w:rPr>
      </w:pPr>
      <w:r>
        <w:rPr>
          <w:rFonts w:ascii="Times New Roman" w:cs="Times New Roman" w:eastAsia="Times New Roman" w:hAnsi="Times New Roman"/>
          <w:sz w:val="17"/>
          <w:szCs w:val="17"/>
          <w:color w:val="auto"/>
        </w:rPr>
        <w:t>Pursuant to the terms of the Credit Agreement, the Company may request an extension of the term of the revolving credit facility for up to two additional periods of six months each, after satisfying certain conditions.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June 30, 2022, amounts outstanding under the revolving credit facility bore interest at floating rates, at the Company’s option, equal to either</w:t>
      </w:r>
    </w:p>
    <w:p>
      <w:pPr>
        <w:spacing w:after="0" w:line="21" w:lineRule="exact"/>
        <w:rPr>
          <w:sz w:val="20"/>
          <w:szCs w:val="20"/>
          <w:color w:val="auto"/>
        </w:rPr>
      </w:pPr>
    </w:p>
    <w:p>
      <w:pPr>
        <w:ind w:right="160" w:firstLine="5"/>
        <w:spacing w:after="0" w:line="251" w:lineRule="auto"/>
        <w:tabs>
          <w:tab w:leader="none" w:pos="20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LIBOR plus the applicable Eurodollar rate margin or (ii) the applicable base rate which is the applicable margin plus the highest of (a) 0.0%, (b) the federal funds rate plus 0.50%, (c) U.S. Bank’s prime rate or (d) the Eurodollar rate plus 1.00%. Per the Credit Agreement, the applicable Eurodollar rate margin and applicable base rate margin are based on the Company’s achieved debt rating, with the Eurodollar rate margin ranging from 0.7% to 1.6% per annum and the applicable base rate margin ranging from 0.00% to 0.60% per annum.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90" w:lineRule="exact"/>
        <w:rPr>
          <w:sz w:val="20"/>
          <w:szCs w:val="20"/>
          <w:color w:val="auto"/>
        </w:rPr>
      </w:pPr>
    </w:p>
    <w:p>
      <w:pPr>
        <w:ind w:right="100" w:firstLine="393"/>
        <w:spacing w:after="0" w:line="297" w:lineRule="auto"/>
        <w:rPr>
          <w:sz w:val="20"/>
          <w:szCs w:val="20"/>
          <w:color w:val="auto"/>
        </w:rPr>
      </w:pPr>
      <w:r>
        <w:rPr>
          <w:rFonts w:ascii="Times New Roman" w:cs="Times New Roman" w:eastAsia="Times New Roman" w:hAnsi="Times New Roman"/>
          <w:sz w:val="17"/>
          <w:szCs w:val="17"/>
          <w:color w:val="auto"/>
        </w:rPr>
        <w:t>The Credit Agreement is guaranteed by the Company and is not secured by any assets of the Company. The Company's unsecured debt is subject to certain financial covenants. As of June 30, 2022, the Company was in compliance with all of its financial covenants.</w:t>
      </w:r>
    </w:p>
    <w:p>
      <w:pPr>
        <w:spacing w:after="0" w:line="172" w:lineRule="exact"/>
        <w:rPr>
          <w:sz w:val="20"/>
          <w:szCs w:val="20"/>
          <w:color w:val="auto"/>
        </w:rPr>
      </w:pPr>
    </w:p>
    <w:p>
      <w:pPr>
        <w:ind w:right="300" w:firstLine="393"/>
        <w:spacing w:after="0" w:line="277" w:lineRule="auto"/>
        <w:rPr>
          <w:sz w:val="20"/>
          <w:szCs w:val="20"/>
          <w:color w:val="auto"/>
        </w:rPr>
      </w:pPr>
      <w:r>
        <w:rPr>
          <w:rFonts w:ascii="Times New Roman" w:cs="Times New Roman" w:eastAsia="Times New Roman" w:hAnsi="Times New Roman"/>
          <w:sz w:val="17"/>
          <w:szCs w:val="17"/>
          <w:color w:val="auto"/>
        </w:rPr>
        <w:t>Subsequent to quarter end, on July 29, 2022, the Company completed an accordion transaction in its credit facility, which added a $175.0 million unsecured debt tranche maturing January 2028 and a $425.0 million unsecured debt tranche maturing July 2029. The current interest rates for the tranches are Adjusted Term SOFR/Adjusted Daily Simple SOFR + 0.95% and SOFR + 1.25%, respectively.</w:t>
      </w:r>
    </w:p>
    <w:p>
      <w:pPr>
        <w:spacing w:after="0" w:line="162" w:lineRule="exact"/>
        <w:rPr>
          <w:sz w:val="20"/>
          <w:szCs w:val="20"/>
          <w:color w:val="auto"/>
        </w:rPr>
      </w:pPr>
    </w:p>
    <w:p>
      <w:pPr>
        <w:ind w:right="560" w:firstLine="433"/>
        <w:spacing w:after="0" w:line="297" w:lineRule="auto"/>
        <w:rPr>
          <w:sz w:val="20"/>
          <w:szCs w:val="20"/>
          <w:color w:val="auto"/>
        </w:rPr>
      </w:pPr>
      <w:r>
        <w:rPr>
          <w:rFonts w:ascii="Times New Roman" w:cs="Times New Roman" w:eastAsia="Times New Roman" w:hAnsi="Times New Roman"/>
          <w:sz w:val="17"/>
          <w:szCs w:val="17"/>
          <w:color w:val="auto"/>
        </w:rPr>
        <w:t>All of the Company’s lines of credit are guaranteed by the Company. The following table presents information on the Company’s lines of credit, the proceeds of which are used to repay debt and for general corporate purposes, for the periods indicated:</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As of June 30, 2022</w:t>
            </w: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Revolving Lines of Credit</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Amount Drawn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Capacity</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Interest Rate</w:t>
            </w:r>
          </w:p>
        </w:tc>
        <w:tc>
          <w:tcPr>
            <w:tcW w:w="12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640" w:type="dxa"/>
            <w:vAlign w:val="bottom"/>
          </w:tcPr>
          <w:p>
            <w:pPr>
              <w:jc w:val="center"/>
              <w:ind w:left="233"/>
              <w:spacing w:after="0" w:line="217" w:lineRule="exact"/>
              <w:rPr>
                <w:sz w:val="20"/>
                <w:szCs w:val="20"/>
                <w:color w:val="auto"/>
              </w:rPr>
            </w:pPr>
            <w:r>
              <w:rPr>
                <w:rFonts w:ascii="Times New Roman" w:cs="Times New Roman" w:eastAsia="Times New Roman" w:hAnsi="Times New Roman"/>
                <w:sz w:val="17"/>
                <w:szCs w:val="17"/>
                <w:b w:val="1"/>
                <w:bCs w:val="1"/>
                <w:color w:val="auto"/>
                <w:w w:val="98"/>
              </w:rPr>
              <w:t xml:space="preserve">Basis Rate </w:t>
            </w:r>
            <w:r>
              <w:rPr>
                <w:rFonts w:ascii="Times New Roman" w:cs="Times New Roman" w:eastAsia="Times New Roman" w:hAnsi="Times New Roman"/>
                <w:sz w:val="22"/>
                <w:szCs w:val="22"/>
                <w:b w:val="1"/>
                <w:bCs w:val="1"/>
                <w:color w:val="auto"/>
                <w:w w:val="98"/>
                <w:vertAlign w:val="superscript"/>
              </w:rPr>
              <w:t>(1)</w:t>
            </w:r>
          </w:p>
        </w:tc>
      </w:tr>
      <w:tr>
        <w:trPr>
          <w:trHeight w:val="216"/>
        </w:trPr>
        <w:tc>
          <w:tcPr>
            <w:tcW w:w="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Credit Line 1</w:t>
            </w:r>
          </w:p>
        </w:tc>
        <w:tc>
          <w:tcPr>
            <w:tcW w:w="30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(2)</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71,000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7/1/2023</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ind w:left="253"/>
              <w:spacing w:after="0"/>
              <w:rPr>
                <w:sz w:val="20"/>
                <w:szCs w:val="20"/>
                <w:color w:val="auto"/>
              </w:rPr>
            </w:pPr>
            <w:r>
              <w:rPr>
                <w:rFonts w:ascii="Times New Roman" w:cs="Times New Roman" w:eastAsia="Times New Roman" w:hAnsi="Times New Roman"/>
                <w:sz w:val="17"/>
                <w:szCs w:val="17"/>
                <w:color w:val="auto"/>
              </w:rPr>
              <w:t>SOFR plus 1.35%</w:t>
            </w:r>
          </w:p>
        </w:tc>
      </w:tr>
      <w:tr>
        <w:trPr>
          <w:trHeight w:val="223"/>
        </w:trPr>
        <w:tc>
          <w:tcPr>
            <w:tcW w:w="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Credit Line 2</w:t>
            </w:r>
          </w:p>
        </w:tc>
        <w:tc>
          <w:tcPr>
            <w:tcW w:w="3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(3)(4)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528,000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1,250,000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53"/>
              <w:spacing w:after="0"/>
              <w:rPr>
                <w:sz w:val="20"/>
                <w:szCs w:val="20"/>
                <w:color w:val="auto"/>
              </w:rPr>
            </w:pPr>
            <w:r>
              <w:rPr>
                <w:rFonts w:ascii="Times New Roman" w:cs="Times New Roman" w:eastAsia="Times New Roman" w:hAnsi="Times New Roman"/>
                <w:sz w:val="17"/>
                <w:szCs w:val="17"/>
                <w:color w:val="auto"/>
              </w:rPr>
              <w:t>6/20/2025</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center"/>
              <w:ind w:left="213"/>
              <w:spacing w:after="0"/>
              <w:rPr>
                <w:sz w:val="20"/>
                <w:szCs w:val="20"/>
                <w:color w:val="auto"/>
              </w:rPr>
            </w:pPr>
            <w:r>
              <w:rPr>
                <w:rFonts w:ascii="Times New Roman" w:cs="Times New Roman" w:eastAsia="Times New Roman" w:hAnsi="Times New Roman"/>
                <w:sz w:val="17"/>
                <w:szCs w:val="17"/>
                <w:color w:val="auto"/>
              </w:rPr>
              <w:t>LIBOR plus 0.85%</w:t>
            </w:r>
          </w:p>
        </w:tc>
      </w:tr>
      <w:tr>
        <w:trPr>
          <w:trHeight w:val="222"/>
        </w:trPr>
        <w:tc>
          <w:tcPr>
            <w:tcW w:w="96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599,000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1,390,000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r>
    </w:tbl>
    <w:p>
      <w:pPr>
        <w:ind w:left="680" w:hanging="225"/>
        <w:spacing w:after="0"/>
        <w:tabs>
          <w:tab w:leader="none" w:pos="68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30-day USD LIBOR and Daily Simple SOFR</w:t>
      </w:r>
    </w:p>
    <w:p>
      <w:pPr>
        <w:spacing w:after="0" w:line="24" w:lineRule="exact"/>
        <w:rPr>
          <w:rFonts w:ascii="Times New Roman" w:cs="Times New Roman" w:eastAsia="Times New Roman" w:hAnsi="Times New Roman"/>
          <w:sz w:val="16"/>
          <w:szCs w:val="16"/>
          <w:color w:val="auto"/>
        </w:rPr>
      </w:pPr>
    </w:p>
    <w:p>
      <w:pPr>
        <w:ind w:left="680" w:hanging="225"/>
        <w:spacing w:after="0"/>
        <w:tabs>
          <w:tab w:leader="none" w:pos="68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Secured by mortgages on certain real estate assets. No remaining extensions available.</w:t>
      </w:r>
    </w:p>
    <w:p>
      <w:pPr>
        <w:spacing w:after="0" w:line="25" w:lineRule="exact"/>
        <w:rPr>
          <w:rFonts w:ascii="Times New Roman" w:cs="Times New Roman" w:eastAsia="Times New Roman" w:hAnsi="Times New Roman"/>
          <w:sz w:val="16"/>
          <w:szCs w:val="16"/>
          <w:color w:val="auto"/>
        </w:rPr>
      </w:pPr>
    </w:p>
    <w:p>
      <w:pPr>
        <w:ind w:left="680" w:hanging="225"/>
        <w:spacing w:after="0"/>
        <w:tabs>
          <w:tab w:leader="none" w:pos="68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Two six-month extensions available.</w:t>
      </w:r>
    </w:p>
    <w:p>
      <w:pPr>
        <w:spacing w:after="0" w:line="25" w:lineRule="exact"/>
        <w:rPr>
          <w:rFonts w:ascii="Times New Roman" w:cs="Times New Roman" w:eastAsia="Times New Roman" w:hAnsi="Times New Roman"/>
          <w:sz w:val="16"/>
          <w:szCs w:val="16"/>
          <w:color w:val="auto"/>
        </w:rPr>
      </w:pPr>
    </w:p>
    <w:p>
      <w:pPr>
        <w:ind w:left="680" w:hanging="225"/>
        <w:spacing w:after="0"/>
        <w:tabs>
          <w:tab w:leader="none" w:pos="68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Rate as of June 30, 2022. Rate is subject to change based on the Company's investment grade rating.</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8" w:lineRule="exact"/>
        <w:rPr>
          <w:rFonts w:ascii="Times New Roman" w:cs="Times New Roman" w:eastAsia="Times New Roman" w:hAnsi="Times New Roman"/>
          <w:sz w:val="16"/>
          <w:szCs w:val="16"/>
          <w:color w:val="auto"/>
        </w:rPr>
      </w:pPr>
    </w:p>
    <w:p>
      <w:pPr>
        <w:ind w:left="380" w:hanging="375"/>
        <w:spacing w:after="0"/>
        <w:tabs>
          <w:tab w:leader="none" w:pos="38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2792730</wp:posOffset>
            </wp:positionH>
            <wp:positionV relativeFrom="paragraph">
              <wp:posOffset>-1043305</wp:posOffset>
            </wp:positionV>
            <wp:extent cx="16484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48460" cy="8255"/>
                    </a:xfrm>
                    <a:prstGeom prst="rect">
                      <a:avLst/>
                    </a:prstGeom>
                    <a:noFill/>
                  </pic:spPr>
                </pic:pic>
              </a:graphicData>
            </a:graphic>
          </wp:anchor>
        </w:drawing>
      </w:r>
    </w:p>
    <w:p>
      <w:pPr>
        <w:spacing w:after="0" w:line="232" w:lineRule="exact"/>
        <w:rPr>
          <w:sz w:val="20"/>
          <w:szCs w:val="20"/>
          <w:color w:val="auto"/>
        </w:rPr>
      </w:pPr>
    </w:p>
    <w:p>
      <w:pPr>
        <w:ind w:right="360" w:firstLine="433"/>
        <w:spacing w:after="0" w:line="264" w:lineRule="auto"/>
        <w:rPr>
          <w:sz w:val="20"/>
          <w:szCs w:val="20"/>
          <w:color w:val="auto"/>
        </w:rPr>
      </w:pPr>
      <w:r>
        <w:rPr>
          <w:rFonts w:ascii="Times New Roman" w:cs="Times New Roman" w:eastAsia="Times New Roman" w:hAnsi="Times New Roman"/>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 Hedges of Interest Rate Risk</w:t>
      </w:r>
    </w:p>
    <w:p>
      <w:pPr>
        <w:spacing w:after="0" w:line="121" w:lineRule="exact"/>
        <w:rPr>
          <w:sz w:val="20"/>
          <w:szCs w:val="20"/>
          <w:color w:val="auto"/>
        </w:rPr>
      </w:pPr>
    </w:p>
    <w:p>
      <w:pPr>
        <w:ind w:right="200" w:firstLine="433"/>
        <w:spacing w:after="0" w:line="270" w:lineRule="auto"/>
        <w:rPr>
          <w:sz w:val="20"/>
          <w:szCs w:val="20"/>
          <w:color w:val="auto"/>
        </w:rPr>
      </w:pPr>
      <w:r>
        <w:rPr>
          <w:rFonts w:ascii="Times New Roman" w:cs="Times New Roman" w:eastAsia="Times New Roman" w:hAnsi="Times New Roman"/>
          <w:sz w:val="17"/>
          <w:szCs w:val="17"/>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96" w:lineRule="exact"/>
        <w:rPr>
          <w:sz w:val="20"/>
          <w:szCs w:val="20"/>
          <w:color w:val="auto"/>
        </w:rPr>
      </w:pPr>
    </w:p>
    <w:p>
      <w:pPr>
        <w:ind w:right="200" w:firstLine="433"/>
        <w:spacing w:after="0" w:line="267" w:lineRule="auto"/>
        <w:rPr>
          <w:sz w:val="20"/>
          <w:szCs w:val="20"/>
          <w:color w:val="auto"/>
        </w:rPr>
      </w:pPr>
      <w:r>
        <w:rPr>
          <w:rFonts w:ascii="Times New Roman" w:cs="Times New Roman" w:eastAsia="Times New Roman" w:hAnsi="Times New Roman"/>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six months ended June 30, 2022 and 2021, such derivatives were used to hedge the variable cash flows associated with existing variable-rate debt. In the coming 12 months, the Company estimates that $14,738 will be reclassified as an increase to interest income.</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held 18 derivative financial instruments which had a total combined notional amount of $1,874,699 as of June 30, 2022.</w:t>
      </w: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Values of Derivative Instruments</w:t>
      </w:r>
    </w:p>
    <w:p>
      <w:pPr>
        <w:spacing w:after="0" w:line="121" w:lineRule="exact"/>
        <w:rPr>
          <w:sz w:val="20"/>
          <w:szCs w:val="20"/>
          <w:color w:val="auto"/>
        </w:rPr>
      </w:pPr>
    </w:p>
    <w:p>
      <w:pPr>
        <w:ind w:right="320" w:firstLine="433"/>
        <w:spacing w:after="0" w:line="277" w:lineRule="auto"/>
        <w:rPr>
          <w:sz w:val="20"/>
          <w:szCs w:val="20"/>
          <w:color w:val="auto"/>
        </w:rPr>
      </w:pPr>
      <w:r>
        <w:rPr>
          <w:rFonts w:ascii="Times New Roman" w:cs="Times New Roman" w:eastAsia="Times New Roman" w:hAnsi="Times New Roman"/>
          <w:sz w:val="17"/>
          <w:szCs w:val="17"/>
          <w:color w:val="auto"/>
        </w:rPr>
        <w:t>The table below presents the fair value of the Company’s derivative financial instruments as well as their classification on the 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4"/>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Asset / Liability Derivatives</w:t>
            </w:r>
          </w:p>
        </w:tc>
        <w:tc>
          <w:tcPr>
            <w:tcW w:w="0" w:type="dxa"/>
            <w:vAlign w:val="bottom"/>
          </w:tcPr>
          <w:p>
            <w:pPr>
              <w:spacing w:after="0"/>
              <w:rPr>
                <w:sz w:val="1"/>
                <w:szCs w:val="1"/>
                <w:color w:val="auto"/>
              </w:rPr>
            </w:pPr>
          </w:p>
        </w:tc>
      </w:tr>
      <w:tr>
        <w:trPr>
          <w:trHeight w:val="24"/>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42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31,336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39,569</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Derivative Instruments</w:t>
      </w:r>
    </w:p>
    <w:p>
      <w:pPr>
        <w:spacing w:after="0" w:line="121" w:lineRule="exact"/>
        <w:rPr>
          <w:sz w:val="20"/>
          <w:szCs w:val="20"/>
          <w:color w:val="auto"/>
        </w:rPr>
      </w:pPr>
    </w:p>
    <w:p>
      <w:pPr>
        <w:ind w:right="380" w:firstLine="433"/>
        <w:spacing w:after="0" w:line="297" w:lineRule="auto"/>
        <w:rPr>
          <w:sz w:val="20"/>
          <w:szCs w:val="20"/>
          <w:color w:val="auto"/>
        </w:rPr>
      </w:pPr>
      <w:r>
        <w:rPr>
          <w:rFonts w:ascii="Times New Roman" w:cs="Times New Roman" w:eastAsia="Times New Roman" w:hAnsi="Times New Roman"/>
          <w:sz w:val="17"/>
          <w:szCs w:val="17"/>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Gain (loss) recognized in OCI For the Three Months</w:t>
            </w:r>
          </w:p>
        </w:tc>
        <w:tc>
          <w:tcPr>
            <w:tcW w:w="100" w:type="dxa"/>
            <w:vAlign w:val="bottom"/>
          </w:tcPr>
          <w:p>
            <w:pPr>
              <w:spacing w:after="0"/>
              <w:rPr>
                <w:sz w:val="13"/>
                <w:szCs w:val="13"/>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Location of amounts</w:t>
            </w:r>
          </w:p>
        </w:tc>
        <w:tc>
          <w:tcPr>
            <w:tcW w:w="140" w:type="dxa"/>
            <w:vAlign w:val="bottom"/>
          </w:tcPr>
          <w:p>
            <w:pPr>
              <w:spacing w:after="0"/>
              <w:rPr>
                <w:sz w:val="13"/>
                <w:szCs w:val="13"/>
                <w:color w:val="auto"/>
              </w:rPr>
            </w:pPr>
          </w:p>
        </w:tc>
        <w:tc>
          <w:tcPr>
            <w:tcW w:w="3060" w:type="dxa"/>
            <w:vAlign w:val="bottom"/>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Gain (loss) reclassified from OCI For the Three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Ended June 30,</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gridSpan w:val="3"/>
          </w:tcPr>
          <w:p>
            <w:pPr>
              <w:jc w:val="center"/>
              <w:ind w:left="665"/>
              <w:spacing w:after="0" w:line="131" w:lineRule="exact"/>
              <w:rPr>
                <w:sz w:val="20"/>
                <w:szCs w:val="20"/>
                <w:color w:val="auto"/>
              </w:rPr>
            </w:pPr>
            <w:r>
              <w:rPr>
                <w:rFonts w:ascii="Times New Roman" w:cs="Times New Roman" w:eastAsia="Times New Roman" w:hAnsi="Times New Roman"/>
                <w:sz w:val="14"/>
                <w:szCs w:val="14"/>
                <w:b w:val="1"/>
                <w:bCs w:val="1"/>
                <w:color w:val="auto"/>
                <w:w w:val="98"/>
              </w:rPr>
              <w:t>Months Ended June 30,</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72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reclassified from OCI into</w:t>
            </w:r>
          </w:p>
        </w:tc>
        <w:tc>
          <w:tcPr>
            <w:tcW w:w="1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vMerge w:val="restart"/>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vMerge w:val="continue"/>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vMerge w:val="restart"/>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1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Swap Agreements</w:t>
            </w:r>
          </w:p>
        </w:tc>
        <w:tc>
          <w:tcPr>
            <w:tcW w:w="102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(3,124)</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Gain (loss) recognized in OCI For the Six Months</w:t>
            </w:r>
          </w:p>
        </w:tc>
        <w:tc>
          <w:tcPr>
            <w:tcW w:w="100" w:type="dxa"/>
            <w:vAlign w:val="bottom"/>
          </w:tcPr>
          <w:p>
            <w:pPr>
              <w:spacing w:after="0"/>
              <w:rPr>
                <w:sz w:val="24"/>
                <w:szCs w:val="24"/>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Location of amounts</w:t>
            </w:r>
          </w:p>
        </w:tc>
        <w:tc>
          <w:tcPr>
            <w:tcW w:w="3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Gain (loss) reclassified from OCI For the Six Months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3"/>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Ended June 30,</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left="665"/>
              <w:spacing w:after="0" w:line="143" w:lineRule="exact"/>
              <w:rPr>
                <w:sz w:val="20"/>
                <w:szCs w:val="20"/>
                <w:color w:val="auto"/>
              </w:rPr>
            </w:pPr>
            <w:r>
              <w:rPr>
                <w:rFonts w:ascii="Times New Roman" w:cs="Times New Roman" w:eastAsia="Times New Roman" w:hAnsi="Times New Roman"/>
                <w:sz w:val="14"/>
                <w:szCs w:val="14"/>
                <w:b w:val="1"/>
                <w:bCs w:val="1"/>
                <w:color w:val="auto"/>
                <w:w w:val="99"/>
              </w:rPr>
              <w:t>Ended June 30,</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reclassified from OCI into</w:t>
            </w:r>
          </w:p>
        </w:tc>
        <w:tc>
          <w:tcPr>
            <w:tcW w:w="1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vMerge w:val="restart"/>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vMerge w:val="restart"/>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Swap Agreements</w:t>
            </w:r>
          </w:p>
        </w:tc>
        <w:tc>
          <w:tcPr>
            <w:tcW w:w="102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57,099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11,052</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(14,667)</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Credit-risk-related Contingent Features</w:t>
      </w:r>
    </w:p>
    <w:p>
      <w:pPr>
        <w:spacing w:after="0" w:line="121" w:lineRule="exact"/>
        <w:rPr>
          <w:sz w:val="20"/>
          <w:szCs w:val="20"/>
          <w:color w:val="auto"/>
        </w:rPr>
      </w:pPr>
    </w:p>
    <w:p>
      <w:pPr>
        <w:jc w:val="both"/>
        <w:ind w:right="360" w:firstLine="433"/>
        <w:spacing w:after="0" w:line="277" w:lineRule="auto"/>
        <w:rPr>
          <w:sz w:val="20"/>
          <w:szCs w:val="20"/>
          <w:color w:val="auto"/>
        </w:rPr>
      </w:pPr>
      <w:r>
        <w:rPr>
          <w:rFonts w:ascii="Times New Roman" w:cs="Times New Roman" w:eastAsia="Times New Roman" w:hAnsi="Times New Roman"/>
          <w:sz w:val="17"/>
          <w:szCs w:val="17"/>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89" w:lineRule="exact"/>
        <w:rPr>
          <w:sz w:val="20"/>
          <w:szCs w:val="20"/>
          <w:color w:val="auto"/>
        </w:rPr>
      </w:pPr>
    </w:p>
    <w:p>
      <w:pPr>
        <w:ind w:right="280" w:firstLine="433"/>
        <w:spacing w:after="0" w:line="277" w:lineRule="auto"/>
        <w:rPr>
          <w:sz w:val="20"/>
          <w:szCs w:val="20"/>
          <w:color w:val="auto"/>
        </w:rPr>
      </w:pPr>
      <w:r>
        <w:rPr>
          <w:rFonts w:ascii="Times New Roman" w:cs="Times New Roman" w:eastAsia="Times New Roman" w:hAnsi="Times New Roman"/>
          <w:sz w:val="17"/>
          <w:szCs w:val="17"/>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June 30, 2022, the Company did not have a net liability position in the fair value of derivatives.</w:t>
      </w:r>
    </w:p>
    <w:p>
      <w:pPr>
        <w:spacing w:after="0" w:line="3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12.</w:t>
        <w:tab/>
        <w:t>STOCKHOLDERS’ EQUITY</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January 7, 2022, the Company issued 186,766 shares of its common stock to acquire two stores for $40,965.</w:t>
      </w:r>
    </w:p>
    <w:p>
      <w:pPr>
        <w:spacing w:after="0" w:line="250" w:lineRule="exact"/>
        <w:rPr>
          <w:sz w:val="20"/>
          <w:szCs w:val="20"/>
          <w:color w:val="auto"/>
        </w:rPr>
      </w:pPr>
    </w:p>
    <w:p>
      <w:pPr>
        <w:ind w:right="220" w:firstLine="433"/>
        <w:spacing w:after="0" w:line="270" w:lineRule="auto"/>
        <w:rPr>
          <w:sz w:val="20"/>
          <w:szCs w:val="20"/>
          <w:color w:val="auto"/>
        </w:rPr>
      </w:pPr>
      <w:r>
        <w:rPr>
          <w:rFonts w:ascii="Times New Roman" w:cs="Times New Roman" w:eastAsia="Times New Roman" w:hAnsi="Times New Roman"/>
          <w:sz w:val="17"/>
          <w:szCs w:val="17"/>
          <w:color w:val="auto"/>
        </w:rPr>
        <w:t>On August 9, 2021, the Company filed its $800,000 "at the market" equity program with the Securities and Exchange Commission using a shelf registration statement on Form S-3, and entered into separate equity distribution agreements with ten sales agents. No shares have been sold under the current "at the market" equity program. From January 1, 2021, through August 8, 2021, the Company sold 585,685 shares of common stock under its prior "at the market" equity program resulting in net proceeds of $66,617.</w:t>
      </w:r>
    </w:p>
    <w:p>
      <w:pPr>
        <w:spacing w:after="0" w:line="196" w:lineRule="exact"/>
        <w:rPr>
          <w:sz w:val="20"/>
          <w:szCs w:val="20"/>
          <w:color w:val="auto"/>
        </w:rPr>
      </w:pPr>
    </w:p>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On March 23, 2021, the Company sold 1,600,000 shares of its common stock in a registered offering structured as a bought deal at a price of $129.13 per share resulting in net proceeds of $206,572.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90" w:lineRule="exact"/>
        <w:rPr>
          <w:sz w:val="20"/>
          <w:szCs w:val="20"/>
          <w:color w:val="auto"/>
        </w:rPr>
      </w:pPr>
    </w:p>
    <w:p>
      <w:pPr>
        <w:ind w:right="20" w:firstLine="433"/>
        <w:spacing w:after="0" w:line="277" w:lineRule="auto"/>
        <w:rPr>
          <w:sz w:val="20"/>
          <w:szCs w:val="20"/>
          <w:color w:val="auto"/>
        </w:rPr>
      </w:pPr>
      <w:r>
        <w:rPr>
          <w:rFonts w:ascii="Times New Roman" w:cs="Times New Roman" w:eastAsia="Times New Roman" w:hAnsi="Times New Roman"/>
          <w:sz w:val="17"/>
          <w:szCs w:val="17"/>
          <w:color w:val="auto"/>
        </w:rPr>
        <w:t>On October 15, 2020, the Company's board of directors authorized a new share repurchase program allowing for the repurchase of shares with an aggregate value up to $400,000. During the six months ended June 30, 2022, the Company repurchased 381,786 shares at an average price of $165.03 per share, paying a total of $63,008. As of June 30, 2022, the Company had remaining authorization to repurchase shares with an aggregate value up to $336,992.</w:t>
      </w:r>
    </w:p>
    <w:p>
      <w:pPr>
        <w:spacing w:after="0" w:line="26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13.</w:t>
        <w:tab/>
        <w:t>NONCONTROLLING INTEREST REPRESENTED BY PREFERRED OPERATING PARTNERSHIP UNITS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Classification of Noncontrolling Interests</w:t>
      </w:r>
    </w:p>
    <w:p>
      <w:pPr>
        <w:spacing w:after="0" w:line="121" w:lineRule="exact"/>
        <w:rPr>
          <w:sz w:val="20"/>
          <w:szCs w:val="20"/>
          <w:color w:val="auto"/>
        </w:rPr>
      </w:pPr>
    </w:p>
    <w:p>
      <w:pPr>
        <w:ind w:right="100" w:firstLine="433"/>
        <w:spacing w:after="0" w:line="267" w:lineRule="auto"/>
        <w:rPr>
          <w:sz w:val="20"/>
          <w:szCs w:val="20"/>
          <w:color w:val="auto"/>
        </w:rPr>
      </w:pPr>
      <w:r>
        <w:rPr>
          <w:rFonts w:ascii="Times New Roman" w:cs="Times New Roman" w:eastAsia="Times New Roman" w:hAnsi="Times New Roman"/>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8" w:lineRule="exact"/>
        <w:rPr>
          <w:sz w:val="20"/>
          <w:szCs w:val="20"/>
          <w:color w:val="auto"/>
        </w:rPr>
      </w:pPr>
    </w:p>
    <w:p>
      <w:pPr>
        <w:ind w:right="280" w:firstLine="433"/>
        <w:spacing w:after="0" w:line="267" w:lineRule="auto"/>
        <w:rPr>
          <w:sz w:val="20"/>
          <w:szCs w:val="20"/>
          <w:color w:val="auto"/>
        </w:rPr>
      </w:pPr>
      <w:r>
        <w:rPr>
          <w:rFonts w:ascii="Times New Roman" w:cs="Times New Roman" w:eastAsia="Times New Roman" w:hAnsi="Times New Roman"/>
          <w:sz w:val="17"/>
          <w:szCs w:val="17"/>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198" w:lineRule="exact"/>
        <w:rPr>
          <w:sz w:val="20"/>
          <w:szCs w:val="20"/>
          <w:color w:val="auto"/>
        </w:rPr>
      </w:pPr>
    </w:p>
    <w:p>
      <w:pPr>
        <w:ind w:right="180" w:firstLine="433"/>
        <w:spacing w:after="0" w:line="267" w:lineRule="auto"/>
        <w:rPr>
          <w:sz w:val="20"/>
          <w:szCs w:val="20"/>
          <w:color w:val="auto"/>
        </w:rPr>
      </w:pPr>
      <w:r>
        <w:rPr>
          <w:rFonts w:ascii="Times New Roman" w:cs="Times New Roman" w:eastAsia="Times New Roman" w:hAnsi="Times New Roman"/>
          <w:sz w:val="17"/>
          <w:szCs w:val="17"/>
          <w:color w:val="auto"/>
        </w:rPr>
        <w:t>At June 30, 2022 and December 31, 2021,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June 30, 2022 and December 31, 2021, noncontrolling interests in Preferred OP Units were presented net of notes receivable from Preferred OP Unit holders of $100,000 as more fully described below. The balances for each of the specific Preferred OP Units as presented in the Statement of Noncontrolling Interests and Equity as of the periods indicated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67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Units</w:t>
            </w:r>
          </w:p>
        </w:tc>
        <w:tc>
          <w:tcPr>
            <w:tcW w:w="1520" w:type="dxa"/>
            <w:vAlign w:val="bottom"/>
            <w:shd w:val="clear" w:color="auto" w:fill="CCEEFF"/>
          </w:tcPr>
          <w:p>
            <w:pPr>
              <w:jc w:val="right"/>
              <w:ind w:right="13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15,606</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B Units</w:t>
            </w:r>
          </w:p>
        </w:tc>
        <w:tc>
          <w:tcPr>
            <w:tcW w:w="1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38,068</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D Units</w:t>
            </w:r>
          </w:p>
        </w:tc>
        <w:tc>
          <w:tcPr>
            <w:tcW w:w="1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211,436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205,436</w:t>
            </w:r>
          </w:p>
        </w:tc>
      </w:tr>
      <w:tr>
        <w:trPr>
          <w:trHeight w:val="216"/>
        </w:trPr>
        <w:tc>
          <w:tcPr>
            <w:tcW w:w="6700" w:type="dxa"/>
            <w:vAlign w:val="bottom"/>
          </w:tcPr>
          <w:p>
            <w:pPr>
              <w:spacing w:after="0"/>
              <w:rPr>
                <w:sz w:val="18"/>
                <w:szCs w:val="18"/>
                <w:color w:val="auto"/>
              </w:rPr>
            </w:pPr>
          </w:p>
        </w:tc>
        <w:tc>
          <w:tcPr>
            <w:tcW w:w="1520" w:type="dxa"/>
            <w:vAlign w:val="bottom"/>
            <w:tcBorders>
              <w:bottom w:val="single" w:sz="8" w:color="auto"/>
            </w:tcBorders>
          </w:tcPr>
          <w:p>
            <w:pPr>
              <w:jc w:val="right"/>
              <w:ind w:right="13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261,231</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259,110</w:t>
            </w:r>
          </w:p>
        </w:tc>
      </w:tr>
      <w:tr>
        <w:trPr>
          <w:trHeight w:val="20"/>
        </w:trPr>
        <w:tc>
          <w:tcPr>
            <w:tcW w:w="67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Participating Redeemable Preferred Units</w:t>
      </w:r>
    </w:p>
    <w:p>
      <w:pPr>
        <w:spacing w:after="0" w:line="252" w:lineRule="exact"/>
        <w:rPr>
          <w:sz w:val="20"/>
          <w:szCs w:val="20"/>
          <w:color w:val="auto"/>
        </w:rPr>
      </w:pPr>
    </w:p>
    <w:p>
      <w:pPr>
        <w:ind w:right="260" w:firstLine="433"/>
        <w:spacing w:after="0" w:line="29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41"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w:t>
      </w:r>
    </w:p>
    <w:p>
      <w:pPr>
        <w:spacing w:after="0" w:line="198" w:lineRule="exact"/>
        <w:rPr>
          <w:sz w:val="20"/>
          <w:szCs w:val="20"/>
          <w:color w:val="auto"/>
        </w:rPr>
      </w:pPr>
    </w:p>
    <w:p>
      <w:pPr>
        <w:jc w:val="both"/>
        <w:ind w:right="60" w:firstLine="433"/>
        <w:spacing w:after="0" w:line="277" w:lineRule="auto"/>
        <w:rPr>
          <w:sz w:val="20"/>
          <w:szCs w:val="20"/>
          <w:color w:val="auto"/>
        </w:rPr>
      </w:pPr>
      <w:r>
        <w:rPr>
          <w:rFonts w:ascii="Times New Roman" w:cs="Times New Roman" w:eastAsia="Times New Roman" w:hAnsi="Times New Roman"/>
          <w:sz w:val="17"/>
          <w:szCs w:val="17"/>
          <w:color w:val="auto"/>
        </w:rPr>
        <w:t>On June 25, 2007, the Operating Partnership loaned the holder of the Series A Units $100,000. The loan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is also the holder of the Series A Units.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B Redeemable Preferred Units</w:t>
      </w:r>
    </w:p>
    <w:p>
      <w:pPr>
        <w:spacing w:after="0" w:line="252"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72"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Series B Units were issued in 2013 and 2014. The Series B Units have a liquidation value of $25.00 per unit for a fixed liquidation value of $33,568 which represents 1,342,727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May 10, 2022, 45,000 Series B Units were redeemed for $1,125 in cash.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C Redeemable Preferred Units</w:t>
      </w:r>
    </w:p>
    <w:p>
      <w:pPr>
        <w:spacing w:after="0" w:line="239" w:lineRule="exact"/>
        <w:rPr>
          <w:sz w:val="20"/>
          <w:szCs w:val="20"/>
          <w:color w:val="auto"/>
        </w:rPr>
      </w:pPr>
    </w:p>
    <w:p>
      <w:pPr>
        <w:ind w:right="280" w:firstLine="433"/>
        <w:spacing w:after="0" w:line="261"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June 30, 2022 and December 31, 2021, there were no outstanding Series C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D Redeemable Preferred Units</w:t>
      </w:r>
    </w:p>
    <w:p>
      <w:pPr>
        <w:spacing w:after="0" w:line="252" w:lineRule="exact"/>
        <w:rPr>
          <w:sz w:val="20"/>
          <w:szCs w:val="20"/>
          <w:color w:val="auto"/>
        </w:rPr>
      </w:pPr>
    </w:p>
    <w:p>
      <w:pPr>
        <w:jc w:val="both"/>
        <w:ind w:right="420" w:firstLine="433"/>
        <w:spacing w:after="0" w:line="27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57" w:lineRule="exact"/>
        <w:rPr>
          <w:sz w:val="20"/>
          <w:szCs w:val="20"/>
          <w:color w:val="auto"/>
        </w:rPr>
      </w:pPr>
    </w:p>
    <w:p>
      <w:pPr>
        <w:ind w:right="80" w:firstLine="433"/>
        <w:spacing w:after="0" w:line="266" w:lineRule="auto"/>
        <w:rPr>
          <w:sz w:val="20"/>
          <w:szCs w:val="20"/>
          <w:color w:val="auto"/>
        </w:rPr>
      </w:pPr>
      <w:r>
        <w:rPr>
          <w:rFonts w:ascii="Times New Roman" w:cs="Times New Roman" w:eastAsia="Times New Roman" w:hAnsi="Times New Roman"/>
          <w:sz w:val="17"/>
          <w:szCs w:val="17"/>
          <w:color w:val="auto"/>
        </w:rPr>
        <w:t>The Series D Units have a liquidation value of $25.00 per unit, for a fixed liquidation value of $211,436, which represents 8,457,422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280" w:lineRule="exact"/>
        <w:rPr>
          <w:sz w:val="20"/>
          <w:szCs w:val="20"/>
          <w:color w:val="auto"/>
        </w:rPr>
      </w:pPr>
    </w:p>
    <w:p>
      <w:pPr>
        <w:ind w:right="220" w:firstLine="433"/>
        <w:spacing w:after="0" w:line="297" w:lineRule="auto"/>
        <w:rPr>
          <w:sz w:val="20"/>
          <w:szCs w:val="20"/>
          <w:color w:val="auto"/>
        </w:rPr>
      </w:pPr>
      <w:r>
        <w:rPr>
          <w:rFonts w:ascii="Times New Roman" w:cs="Times New Roman" w:eastAsia="Times New Roman" w:hAnsi="Times New Roman"/>
          <w:sz w:val="17"/>
          <w:szCs w:val="17"/>
          <w:color w:val="auto"/>
        </w:rPr>
        <w:t>The Series D Units have been issued at various times from 2014 to 2022. On June 1, 2022, the Operating Partnership issued a total of 240,000 Series D units valued at $6,000 in connection with the acquisition of Bargold.</w:t>
      </w:r>
    </w:p>
    <w:p>
      <w:pPr>
        <w:spacing w:after="0" w:line="24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14.</w:t>
        <w:tab/>
        <w:t>NONCONTROLLING INTEREST IN OPERATING PARTNERSHIP AND OTHER NONCONTROLLING INTERESTS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 in Operating Partnership</w:t>
      </w:r>
    </w:p>
    <w:p>
      <w:pPr>
        <w:spacing w:after="0" w:line="252"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The Company’s interest in its stores is held through the Operating Partnership. Between its general partner and limited partner interests, the Company held a 93.8% ownership interest in the Operating Partnership as of June 30, 2022. The remaining ownership interests in the Operating Partnership (including Preferred OP Units) of 6.2% are held by certain former owners of assets acquired by the Operating Partnership. As of June 30, 2022 and December 31, 2021, the noncontrolling interests in the Operating Partnership are shown on the balance sheet net of a note receivable of $1,900 because a borrower under the note receivable is also a holder of OP Units. This note receivable originated in December 2014, bears interest at 5.0% per annum and matures on December 15, 2024.</w:t>
      </w:r>
    </w:p>
    <w:p>
      <w:pPr>
        <w:spacing w:after="0" w:line="198" w:lineRule="exact"/>
        <w:rPr>
          <w:sz w:val="20"/>
          <w:szCs w:val="20"/>
          <w:color w:val="auto"/>
        </w:rPr>
      </w:pPr>
    </w:p>
    <w:p>
      <w:pPr>
        <w:ind w:right="160" w:firstLine="433"/>
        <w:spacing w:after="0" w:line="270" w:lineRule="auto"/>
        <w:rPr>
          <w:sz w:val="20"/>
          <w:szCs w:val="20"/>
          <w:color w:val="auto"/>
        </w:rPr>
      </w:pPr>
      <w:r>
        <w:rPr>
          <w:rFonts w:ascii="Times New Roman" w:cs="Times New Roman" w:eastAsia="Times New Roman" w:hAnsi="Times New Roman"/>
          <w:sz w:val="17"/>
          <w:szCs w:val="17"/>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9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dilution adjustments provided in the Partnership Agreement. As of June 30, 2022, the ten-day average closing price of the Company's common stock was $167.02 and there were 6,602,151 OP Units outstanding. Assuming that all of the OP Unit holders exercised their right to redeem all of their OP Units on June 30, 2022 and the Company elected to pay the OP Unit holders cash, the Company would have paid $1,102,691 in cash consideration to redeem the units.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OP Unit activity is summarized as follows for the periods presented: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3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640" w:type="dxa"/>
            <w:vAlign w:val="bottom"/>
            <w:tcBorders>
              <w:bottom w:val="single" w:sz="8" w:color="auto"/>
            </w:tcBorders>
          </w:tcPr>
          <w:p>
            <w:pPr>
              <w:spacing w:after="0"/>
              <w:rPr>
                <w:sz w:val="18"/>
                <w:szCs w:val="18"/>
                <w:color w:val="auto"/>
              </w:rPr>
            </w:pPr>
          </w:p>
        </w:tc>
      </w:tr>
      <w:tr>
        <w:trPr>
          <w:trHeight w:val="204"/>
        </w:trPr>
        <w:tc>
          <w:tcPr>
            <w:tcW w:w="74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Borders>
              <w:bottom w:val="single" w:sz="8" w:color="auto"/>
            </w:tcBorders>
          </w:tcPr>
          <w:p>
            <w:pPr>
              <w:spacing w:after="0"/>
              <w:rPr>
                <w:sz w:val="17"/>
                <w:szCs w:val="17"/>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 Units redeemed for common stock</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63,429</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 Units redeemed for cash</w:t>
            </w:r>
          </w:p>
        </w:tc>
        <w:tc>
          <w:tcPr>
            <w:tcW w:w="1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18,028</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OP Units redeemed</w:t>
            </w:r>
          </w:p>
        </w:tc>
        <w:tc>
          <w:tcPr>
            <w:tcW w:w="1200" w:type="dxa"/>
            <w:vAlign w:val="bottom"/>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3,504</w:t>
            </w:r>
          </w:p>
        </w:tc>
        <w:tc>
          <w:tcPr>
            <w:tcW w:w="130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28"/>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 Units issued in conjunction with acquisitions</w:t>
            </w:r>
          </w:p>
        </w:tc>
        <w:tc>
          <w:tcPr>
            <w:tcW w:w="1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91,743</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5" w:lineRule="exact"/>
        <w:rPr>
          <w:sz w:val="20"/>
          <w:szCs w:val="20"/>
          <w:color w:val="auto"/>
        </w:rPr>
      </w:pPr>
    </w:p>
    <w:p>
      <w:pPr>
        <w:ind w:right="100" w:firstLine="433"/>
        <w:spacing w:after="0" w:line="267" w:lineRule="auto"/>
        <w:rPr>
          <w:sz w:val="20"/>
          <w:szCs w:val="20"/>
          <w:color w:val="auto"/>
        </w:rPr>
      </w:pPr>
      <w:r>
        <w:rPr>
          <w:rFonts w:ascii="Times New Roman" w:cs="Times New Roman" w:eastAsia="Times New Roman" w:hAnsi="Times New Roman"/>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8"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Noncontrolling Interests</w:t>
      </w:r>
    </w:p>
    <w:p>
      <w:pPr>
        <w:spacing w:after="0" w:line="252" w:lineRule="exact"/>
        <w:rPr>
          <w:sz w:val="20"/>
          <w:szCs w:val="20"/>
          <w:color w:val="auto"/>
        </w:rPr>
      </w:pPr>
    </w:p>
    <w:p>
      <w:pPr>
        <w:ind w:right="400" w:firstLine="433"/>
        <w:spacing w:after="0" w:line="297" w:lineRule="auto"/>
        <w:rPr>
          <w:sz w:val="20"/>
          <w:szCs w:val="20"/>
          <w:color w:val="auto"/>
        </w:rPr>
      </w:pPr>
      <w:r>
        <w:rPr>
          <w:rFonts w:ascii="Times New Roman" w:cs="Times New Roman" w:eastAsia="Times New Roman" w:hAnsi="Times New Roman"/>
          <w:sz w:val="17"/>
          <w:szCs w:val="17"/>
          <w:color w:val="auto"/>
        </w:rPr>
        <w:t>Other noncontrolling interests represent the ownership interests of a third party in a consolidated joint venture as of June 30, 2022. This joint venture owns one property that is under development in Florida. The voting interests of the third-party owners are 10.0%.</w:t>
      </w:r>
    </w:p>
    <w:p>
      <w:pPr>
        <w:spacing w:after="0" w:line="24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15.</w:t>
        <w:tab/>
        <w:t>SEGMENT INFORMATION</w:t>
      </w:r>
    </w:p>
    <w:p>
      <w:pPr>
        <w:spacing w:after="0" w:line="252" w:lineRule="exact"/>
        <w:rPr>
          <w:sz w:val="20"/>
          <w:szCs w:val="20"/>
          <w:color w:val="auto"/>
        </w:rPr>
      </w:pPr>
    </w:p>
    <w:p>
      <w:pPr>
        <w:ind w:right="100" w:firstLine="433"/>
        <w:spacing w:after="0" w:line="269" w:lineRule="auto"/>
        <w:rPr>
          <w:sz w:val="20"/>
          <w:szCs w:val="20"/>
          <w:color w:val="auto"/>
        </w:rPr>
      </w:pPr>
      <w:r>
        <w:rPr>
          <w:rFonts w:ascii="Times New Roman" w:cs="Times New Roman" w:eastAsia="Times New Roman" w:hAnsi="Times New Roman"/>
          <w:sz w:val="17"/>
          <w:szCs w:val="17"/>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the Company's self-storage operations represents total property revenue less direct property operating expenses. NOI for the Company's tenant reinsurance segment represents tenant reinsurance revenues less tenant reinsurance expense.</w:t>
      </w:r>
    </w:p>
    <w:p>
      <w:pPr>
        <w:spacing w:after="0" w:line="200" w:lineRule="exact"/>
        <w:rPr>
          <w:sz w:val="20"/>
          <w:szCs w:val="20"/>
          <w:color w:val="auto"/>
        </w:rPr>
      </w:pPr>
    </w:p>
    <w:p>
      <w:pPr>
        <w:spacing w:after="0" w:line="209" w:lineRule="exact"/>
        <w:rPr>
          <w:sz w:val="20"/>
          <w:szCs w:val="20"/>
          <w:color w:val="auto"/>
        </w:rPr>
      </w:pPr>
    </w:p>
    <w:p>
      <w:pPr>
        <w:ind w:right="320" w:firstLine="433"/>
        <w:spacing w:after="0" w:line="270" w:lineRule="auto"/>
        <w:rPr>
          <w:sz w:val="20"/>
          <w:szCs w:val="20"/>
          <w:color w:val="auto"/>
        </w:rPr>
      </w:pPr>
      <w:r>
        <w:rPr>
          <w:rFonts w:ascii="Times New Roman" w:cs="Times New Roman" w:eastAsia="Times New Roman" w:hAnsi="Times New Roman"/>
          <w:sz w:val="17"/>
          <w:szCs w:val="17"/>
          <w:color w:val="auto"/>
        </w:rPr>
        <w:t>The Company has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96" w:lineRule="exact"/>
        <w:rPr>
          <w:sz w:val="20"/>
          <w:szCs w:val="20"/>
          <w:color w:val="auto"/>
        </w:rPr>
      </w:pPr>
    </w:p>
    <w:p>
      <w:pPr>
        <w:ind w:right="700" w:firstLine="433"/>
        <w:spacing w:after="0" w:line="297" w:lineRule="auto"/>
        <w:rPr>
          <w:sz w:val="20"/>
          <w:szCs w:val="20"/>
          <w:color w:val="auto"/>
        </w:rPr>
      </w:pPr>
      <w:r>
        <w:rPr>
          <w:rFonts w:ascii="Times New Roman" w:cs="Times New Roman" w:eastAsia="Times New Roman" w:hAnsi="Times New Roman"/>
          <w:sz w:val="17"/>
          <w:szCs w:val="17"/>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40"/>
          </w:cols>
          <w:pgMar w:left="320" w:top="355" w:right="339" w:bottom="1440" w:gutter="0" w:footer="0" w:header="0"/>
        </w:sectPr>
      </w:pPr>
    </w:p>
    <w:bookmarkStart w:id="28" w:name="page29"/>
    <w:bookmarkEnd w:id="28"/>
    <w:p>
      <w:pPr>
        <w:jc w:val="center"/>
        <w:ind w:left="3720"/>
        <w:spacing w:after="0"/>
        <w:rPr>
          <w:sz w:val="20"/>
          <w:szCs w:val="20"/>
          <w:color w:val="auto"/>
        </w:rPr>
      </w:pPr>
      <w:r>
        <w:rPr>
          <w:rFonts w:ascii="Times New Roman" w:cs="Times New Roman" w:eastAsia="Times New Roman" w:hAnsi="Times New Roman"/>
          <w:sz w:val="15"/>
          <w:szCs w:val="15"/>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25400</wp:posOffset>
            </wp:positionV>
            <wp:extent cx="24980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30" w:lineRule="exact"/>
        <w:rPr>
          <w:sz w:val="20"/>
          <w:szCs w:val="20"/>
          <w:color w:val="auto"/>
        </w:rPr>
      </w:pPr>
    </w:p>
    <w:p>
      <w:pPr>
        <w:ind w:left="4540"/>
        <w:spacing w:after="0"/>
        <w:tabs>
          <w:tab w:leader="none" w:pos="648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Times New Roman" w:cs="Times New Roman" w:eastAsia="Times New Roman" w:hAnsi="Times New Roman"/>
          <w:sz w:val="15"/>
          <w:szCs w:val="15"/>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25400</wp:posOffset>
            </wp:positionV>
            <wp:extent cx="2148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8205" cy="8255"/>
                    </a:xfrm>
                    <a:prstGeom prst="rect">
                      <a:avLst/>
                    </a:prstGeom>
                    <a:noFill/>
                  </pic:spPr>
                </pic:pic>
              </a:graphicData>
            </a:graphic>
          </wp:anchor>
        </w:drawing>
      </w:r>
    </w:p>
    <w:p>
      <w:pPr>
        <w:spacing w:after="0" w:line="30" w:lineRule="exact"/>
        <w:rPr>
          <w:sz w:val="20"/>
          <w:szCs w:val="20"/>
          <w:color w:val="auto"/>
        </w:rPr>
      </w:pPr>
    </w:p>
    <w:p>
      <w:pPr>
        <w:ind w:left="180"/>
        <w:spacing w:after="0"/>
        <w:tabs>
          <w:tab w:leader="none" w:pos="186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4" w:lineRule="exact"/>
        <w:rPr>
          <w:sz w:val="20"/>
          <w:szCs w:val="20"/>
          <w:color w:val="auto"/>
        </w:rPr>
      </w:pPr>
    </w:p>
    <w:p>
      <w:pPr>
        <w:sectPr>
          <w:pgSz w:w="11900" w:h="16838" w:orient="portrait"/>
          <w:cols w:equalWidth="0" w:num="2">
            <w:col w:w="7640" w:space="720"/>
            <w:col w:w="2880"/>
          </w:cols>
          <w:pgMar w:left="320" w:top="163" w:right="339" w:bottom="1440" w:gutter="0" w:footer="0" w:header="0"/>
        </w:sectPr>
      </w:pPr>
    </w:p>
    <w:tbl>
      <w:tblPr>
        <w:tblLayout w:type="fixed"/>
        <w:tblInd w:w="0" w:type="dxa"/>
        <w:tblCellMar>
          <w:top w:w="0" w:type="dxa"/>
          <w:left w:w="0" w:type="dxa"/>
          <w:bottom w:w="0" w:type="dxa"/>
          <w:right w:w="0" w:type="dxa"/>
        </w:tblCellMar>
      </w:tblPr>
      <w:tr>
        <w:trPr>
          <w:trHeight w:val="19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7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Self-Storage Operations</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408,044</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321,500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787,852</w:t>
            </w: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625,093</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Tenant Reinsurance</w:t>
            </w: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46,427</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42,334</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90,224</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81,953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revenues</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454,471</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363,834</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878,076</w:t>
            </w: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707,046</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 Operations</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104,252</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89,155</w:t>
            </w:r>
          </w:p>
        </w:tc>
        <w:tc>
          <w:tcPr>
            <w:tcW w:w="200" w:type="dxa"/>
            <w:vAlign w:val="bottom"/>
          </w:tcPr>
          <w:p>
            <w:pPr>
              <w:spacing w:after="0"/>
              <w:rPr>
                <w:sz w:val="19"/>
                <w:szCs w:val="19"/>
                <w:color w:val="auto"/>
              </w:rPr>
            </w:pP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207,794</w:t>
            </w: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181,522</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Reinsurance</w:t>
            </w: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7,537</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6,735</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14,579</w:t>
            </w: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13,896</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segment operating expenses</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111,789</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95,890</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222,373</w:t>
            </w:r>
          </w:p>
        </w:tc>
        <w:tc>
          <w:tcPr>
            <w:tcW w:w="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195,418</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operating income:</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Self-Storage Operations</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303,792</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232,345</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580,058</w:t>
            </w: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443,571</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Tenant Reinsurance</w:t>
            </w: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38,890</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35,599</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75,645</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68,057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net operating income:</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342,682</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267,944</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655,703</w:t>
            </w: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511,628</w:t>
            </w: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components of net income:</w:t>
            </w: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20,517</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14,796</w:t>
            </w:r>
          </w:p>
        </w:tc>
        <w:tc>
          <w:tcPr>
            <w:tcW w:w="200" w:type="dxa"/>
            <w:vAlign w:val="bottom"/>
          </w:tcPr>
          <w:p>
            <w:pPr>
              <w:spacing w:after="0"/>
              <w:rPr>
                <w:sz w:val="19"/>
                <w:szCs w:val="19"/>
                <w:color w:val="auto"/>
              </w:rPr>
            </w:pP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40,474</w:t>
            </w: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30,441</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Transaction related costs</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7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(31,251)</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(26,341)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(61,013)</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(49,881)</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(69,067)</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(59,570)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(136,973)</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(118,169)</w:t>
            </w:r>
          </w:p>
        </w:tc>
        <w:tc>
          <w:tcPr>
            <w:tcW w:w="0" w:type="dxa"/>
            <w:vAlign w:val="bottom"/>
          </w:tcPr>
          <w:p>
            <w:pPr>
              <w:spacing w:after="0"/>
              <w:rPr>
                <w:sz w:val="1"/>
                <w:szCs w:val="1"/>
                <w:color w:val="auto"/>
              </w:rPr>
            </w:pPr>
          </w:p>
        </w:tc>
      </w:tr>
      <w:tr>
        <w:trPr>
          <w:trHeight w:val="223"/>
        </w:trPr>
        <w:tc>
          <w:tcPr>
            <w:tcW w:w="3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14,249</w:t>
            </w:r>
          </w:p>
        </w:tc>
        <w:tc>
          <w:tcPr>
            <w:tcW w:w="7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14,249</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63,883</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(47,466)</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(40,240)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(90,004)</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(80,935)</w:t>
            </w:r>
          </w:p>
        </w:tc>
        <w:tc>
          <w:tcPr>
            <w:tcW w:w="0" w:type="dxa"/>
            <w:vAlign w:val="bottom"/>
          </w:tcPr>
          <w:p>
            <w:pPr>
              <w:spacing w:after="0"/>
              <w:rPr>
                <w:sz w:val="1"/>
                <w:szCs w:val="1"/>
                <w:color w:val="auto"/>
              </w:rPr>
            </w:pPr>
          </w:p>
        </w:tc>
      </w:tr>
      <w:tr>
        <w:trPr>
          <w:trHeight w:val="223"/>
        </w:trPr>
        <w:tc>
          <w:tcPr>
            <w:tcW w:w="3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15,060</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34,049</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25,142</w:t>
            </w:r>
          </w:p>
        </w:tc>
        <w:tc>
          <w:tcPr>
            <w:tcW w:w="0" w:type="dxa"/>
            <w:vAlign w:val="bottom"/>
          </w:tcPr>
          <w:p>
            <w:pPr>
              <w:spacing w:after="0"/>
              <w:rPr>
                <w:sz w:val="1"/>
                <w:szCs w:val="1"/>
                <w:color w:val="auto"/>
              </w:rPr>
            </w:pPr>
          </w:p>
        </w:tc>
      </w:tr>
      <w:tr>
        <w:trPr>
          <w:trHeight w:val="157"/>
        </w:trPr>
        <w:tc>
          <w:tcPr>
            <w:tcW w:w="372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6"/>
                <w:szCs w:val="16"/>
                <w:color w:val="auto"/>
              </w:rPr>
              <w:t>Equity in earnings and dividend income from</w:t>
            </w:r>
          </w:p>
        </w:tc>
        <w:tc>
          <w:tcPr>
            <w:tcW w:w="7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w:t>
            </w:r>
          </w:p>
        </w:tc>
        <w:tc>
          <w:tcPr>
            <w:tcW w:w="7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8,322</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19,287</w:t>
            </w:r>
          </w:p>
        </w:tc>
        <w:tc>
          <w:tcPr>
            <w:tcW w:w="5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15,278</w:t>
            </w: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unconsolidated real estate entities</w:t>
            </w:r>
          </w:p>
        </w:tc>
        <w:tc>
          <w:tcPr>
            <w:tcW w:w="7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2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rPr>
              <w:t>Equity in earnings of unconsolidated real estate</w:t>
            </w: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rPr>
              <w:t>ventures - gain on sale of real estate assets and</w:t>
            </w:r>
          </w:p>
        </w:tc>
        <w:tc>
          <w:tcPr>
            <w:tcW w:w="7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6,251</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6,251</w:t>
            </w:r>
          </w:p>
        </w:tc>
        <w:tc>
          <w:tcPr>
            <w:tcW w:w="0" w:type="dxa"/>
            <w:vAlign w:val="bottom"/>
          </w:tcPr>
          <w:p>
            <w:pPr>
              <w:spacing w:after="0"/>
              <w:rPr>
                <w:sz w:val="1"/>
                <w:szCs w:val="1"/>
                <w:color w:val="auto"/>
              </w:rPr>
            </w:pPr>
          </w:p>
        </w:tc>
      </w:tr>
      <w:tr>
        <w:trPr>
          <w:trHeight w:val="210"/>
        </w:trPr>
        <w:tc>
          <w:tcPr>
            <w:tcW w:w="3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joint venture partner's interest</w:t>
            </w:r>
          </w:p>
        </w:tc>
        <w:tc>
          <w:tcPr>
            <w:tcW w:w="7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(5,615)</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(5,421)</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(8,756)</w:t>
            </w: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(9,558)</w:t>
            </w: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247,834</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178,579</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465,551</w:t>
            </w:r>
          </w:p>
        </w:tc>
        <w:tc>
          <w:tcPr>
            <w:tcW w:w="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394,080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16.</w:t>
        <w:tab/>
        <w:t>COMMITMENTS AND CONTINGENCIES</w:t>
      </w:r>
    </w:p>
    <w:p>
      <w:pPr>
        <w:spacing w:after="0" w:line="252" w:lineRule="exact"/>
        <w:rPr>
          <w:sz w:val="20"/>
          <w:szCs w:val="20"/>
          <w:color w:val="auto"/>
        </w:rPr>
      </w:pPr>
    </w:p>
    <w:p>
      <w:pPr>
        <w:ind w:right="140" w:firstLine="433"/>
        <w:spacing w:after="0" w:line="264" w:lineRule="auto"/>
        <w:rPr>
          <w:sz w:val="20"/>
          <w:szCs w:val="20"/>
          <w:color w:val="auto"/>
        </w:rPr>
      </w:pPr>
      <w:r>
        <w:rPr>
          <w:rFonts w:ascii="Times New Roman" w:cs="Times New Roman" w:eastAsia="Times New Roman" w:hAnsi="Times New Roman"/>
          <w:sz w:val="17"/>
          <w:szCs w:val="17"/>
          <w:color w:val="auto"/>
        </w:rPr>
        <w:t>As of June 30, 2022,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June 30, 2022, the Company was under agreement to acquire 18 stores at a total purchase price of $296,193. Nine stores are scheduled to close in</w:t>
      </w:r>
    </w:p>
    <w:p>
      <w:pPr>
        <w:spacing w:after="0" w:line="32"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7"/>
          <w:szCs w:val="17"/>
          <w:color w:val="auto"/>
        </w:rPr>
        <w:t>2022 and nine stores are scheduled to close in 2023 and thereafter. Additionally, the Company is under agreement to acquire 15 stores with joint venture partners, for a total investment of $43,709. Twelve stores are scheduled to close in 2022 and three stores are scheduled to close in 2023.</w:t>
      </w:r>
    </w:p>
    <w:p>
      <w:pPr>
        <w:spacing w:after="0" w:line="190"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30" w:name="page31"/>
    <w:bookmarkEnd w:id="30"/>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LANGUAGE</w:t>
      </w:r>
    </w:p>
    <w:p>
      <w:pPr>
        <w:spacing w:after="0" w:line="250" w:lineRule="exact"/>
        <w:rPr>
          <w:sz w:val="20"/>
          <w:szCs w:val="20"/>
          <w:color w:val="auto"/>
        </w:rPr>
      </w:pPr>
    </w:p>
    <w:p>
      <w:pPr>
        <w:ind w:right="60" w:firstLine="433"/>
        <w:spacing w:after="0" w:line="265"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unaudited </w:t>
      </w:r>
      <w:r>
        <w:rPr>
          <w:rFonts w:ascii="Times New Roman" w:cs="Times New Roman" w:eastAsia="Times New Roman" w:hAnsi="Times New Roman"/>
          <w:sz w:val="17"/>
          <w:szCs w:val="17"/>
          <w:i w:val="1"/>
          <w:iCs w:val="1"/>
          <w:color w:val="auto"/>
        </w:rPr>
        <w:t>“Condensed Consolidated Financial Statements”</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 Condensed Consolidated Financial Statements (unaudited)” </w:t>
      </w:r>
      <w:r>
        <w:rPr>
          <w:rFonts w:ascii="Times New Roman" w:cs="Times New Roman" w:eastAsia="Times New Roman" w:hAnsi="Times New Roman"/>
          <w:sz w:val="17"/>
          <w:szCs w:val="17"/>
          <w:color w:val="auto"/>
        </w:rPr>
        <w:t>appearing elsewhere in this report and the</w:t>
      </w:r>
      <w:r>
        <w:rPr>
          <w:rFonts w:ascii="Times New Roman" w:cs="Times New Roman" w:eastAsia="Times New Roman" w:hAnsi="Times New Roman"/>
          <w:sz w:val="17"/>
          <w:szCs w:val="17"/>
          <w:i w:val="1"/>
          <w:iCs w:val="1"/>
          <w:color w:val="auto"/>
        </w:rPr>
        <w:t xml:space="preserve"> “Consolidated Financial Statements,” “Notes to Consolidated Financial Statements”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“Management’s Discussion and Analysis of Financial Condition and Results of Operations” </w:t>
      </w:r>
      <w:r>
        <w:rPr>
          <w:rFonts w:ascii="Times New Roman" w:cs="Times New Roman" w:eastAsia="Times New Roman" w:hAnsi="Times New Roman"/>
          <w:sz w:val="17"/>
          <w:szCs w:val="17"/>
          <w:color w:val="auto"/>
        </w:rPr>
        <w:t>contained in our</w:t>
      </w:r>
    </w:p>
    <w:p>
      <w:pPr>
        <w:spacing w:after="0" w:line="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7"/>
          <w:szCs w:val="17"/>
          <w:color w:val="auto"/>
        </w:rPr>
        <w:t>Form 10-K for the year ended December 31, 2021. We make statements in this section that are forward-looking statements within the meaning of the federal securities laws. For a complete discussion of forward-looking statements, see the section in this Form 10-Q entitled “</w:t>
      </w:r>
      <w:r>
        <w:rPr>
          <w:rFonts w:ascii="Times New Roman" w:cs="Times New Roman" w:eastAsia="Times New Roman" w:hAnsi="Times New Roman"/>
          <w:sz w:val="17"/>
          <w:szCs w:val="17"/>
          <w:i w:val="1"/>
          <w:iCs w:val="1"/>
          <w:color w:val="auto"/>
        </w:rPr>
        <w:t>Statement on Forward-Looking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52"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2021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201"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39" w:lineRule="exact"/>
        <w:rPr>
          <w:sz w:val="20"/>
          <w:szCs w:val="20"/>
          <w:color w:val="auto"/>
        </w:rPr>
      </w:pPr>
    </w:p>
    <w:p>
      <w:pPr>
        <w:ind w:right="100" w:firstLine="433"/>
        <w:spacing w:after="0" w:line="264" w:lineRule="auto"/>
        <w:rPr>
          <w:sz w:val="20"/>
          <w:szCs w:val="20"/>
          <w:color w:val="auto"/>
        </w:rPr>
      </w:pPr>
      <w:r>
        <w:rPr>
          <w:rFonts w:ascii="Times New Roman" w:cs="Times New Roman" w:eastAsia="Times New Roman" w:hAnsi="Times New Roman"/>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388" w:lineRule="exact"/>
        <w:rPr>
          <w:sz w:val="20"/>
          <w:szCs w:val="20"/>
          <w:color w:val="auto"/>
        </w:rPr>
      </w:pPr>
    </w:p>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Our stores are generally situated in highly visible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spacing w:after="0" w:line="172" w:lineRule="exact"/>
        <w:rPr>
          <w:sz w:val="20"/>
          <w:szCs w:val="20"/>
          <w:color w:val="auto"/>
        </w:rPr>
      </w:pPr>
    </w:p>
    <w:p>
      <w:pPr>
        <w:ind w:right="240" w:firstLine="433"/>
        <w:spacing w:after="0" w:line="277" w:lineRule="auto"/>
        <w:rPr>
          <w:sz w:val="20"/>
          <w:szCs w:val="20"/>
          <w:color w:val="auto"/>
        </w:rPr>
      </w:pPr>
      <w:r>
        <w:rPr>
          <w:rFonts w:ascii="Times New Roman" w:cs="Times New Roman" w:eastAsia="Times New Roman" w:hAnsi="Times New Roman"/>
          <w:sz w:val="17"/>
          <w:szCs w:val="17"/>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31" w:name="page32"/>
    <w:bookmarkEnd w:id="31"/>
    <w:p>
      <w:pPr>
        <w:spacing w:after="0" w:line="15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 UPDATE</w:t>
      </w:r>
    </w:p>
    <w:p>
      <w:pPr>
        <w:spacing w:after="0" w:line="252" w:lineRule="exact"/>
        <w:rPr>
          <w:sz w:val="20"/>
          <w:szCs w:val="20"/>
          <w:color w:val="auto"/>
        </w:rPr>
      </w:pPr>
    </w:p>
    <w:p>
      <w:pPr>
        <w:ind w:firstLine="433"/>
        <w:spacing w:after="0" w:line="266" w:lineRule="auto"/>
        <w:rPr>
          <w:sz w:val="20"/>
          <w:szCs w:val="20"/>
          <w:color w:val="auto"/>
        </w:rPr>
      </w:pPr>
      <w:r>
        <w:rPr>
          <w:rFonts w:ascii="Times New Roman" w:cs="Times New Roman" w:eastAsia="Times New Roman" w:hAnsi="Times New Roman"/>
          <w:sz w:val="17"/>
          <w:szCs w:val="17"/>
          <w:color w:val="auto"/>
        </w:rPr>
        <w:t>The United States and other countries around the world continue to navigate the effects of the COVID-19 pandemic. Governmental authorities in impacted regions have taken various actions in an effort to slow the spread of COVID-19, including issuance of varying forms of states of emergency orders. In response to these evolving orders and the COVID-19 pandemic, we implemented a wide range of practices to protect and support our employees and customers. Although most governmental restrictions have lifted and many work practices have returned to normal, our customers may continue to be impacted by the COVID-19 pandemic and related governmental responses. Given the uncertainty resulting from the pandemic, our business may be impacted by the effects of the COVID-19 pandemic.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PROPERTIES</w:t>
      </w:r>
    </w:p>
    <w:p>
      <w:pPr>
        <w:spacing w:after="0" w:line="252" w:lineRule="exact"/>
        <w:rPr>
          <w:sz w:val="20"/>
          <w:szCs w:val="20"/>
          <w:color w:val="auto"/>
        </w:rPr>
      </w:pPr>
    </w:p>
    <w:p>
      <w:pPr>
        <w:ind w:right="180" w:firstLine="433"/>
        <w:spacing w:after="0" w:line="267" w:lineRule="auto"/>
        <w:rPr>
          <w:sz w:val="20"/>
          <w:szCs w:val="20"/>
          <w:color w:val="auto"/>
        </w:rPr>
      </w:pPr>
      <w:r>
        <w:rPr>
          <w:rFonts w:ascii="Times New Roman" w:cs="Times New Roman" w:eastAsia="Times New Roman" w:hAnsi="Times New Roman"/>
          <w:sz w:val="17"/>
          <w:szCs w:val="17"/>
          <w:color w:val="auto"/>
        </w:rPr>
        <w:t>As of June 30, 2022, we owned or had ownership interests in 1,313 operating stores. Of these stores, 1,009 are wholly-owned, none of which are in consolidated joint ventures, and 304 are in unconsolidated joint ventures. In addition, we managed an additional 864 stores for third parties bringing the total number of stores which we own and/or manage to 2,177. These stores are located in 41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98" w:lineRule="exact"/>
        <w:rPr>
          <w:sz w:val="20"/>
          <w:szCs w:val="20"/>
          <w:color w:val="auto"/>
        </w:rPr>
      </w:pPr>
    </w:p>
    <w:p>
      <w:pPr>
        <w:ind w:firstLine="433"/>
        <w:spacing w:after="0" w:line="269" w:lineRule="auto"/>
        <w:rPr>
          <w:sz w:val="20"/>
          <w:szCs w:val="20"/>
          <w:color w:val="auto"/>
        </w:rPr>
      </w:pPr>
      <w:r>
        <w:rPr>
          <w:rFonts w:ascii="Times New Roman" w:cs="Times New Roman" w:eastAsia="Times New Roman" w:hAnsi="Times New Roman"/>
          <w:sz w:val="17"/>
          <w:szCs w:val="17"/>
          <w:color w:val="auto"/>
        </w:rPr>
        <w:t>As of June 30, 2022, approximately 1,335,000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June 30, 2022, the average length of stay was approximately 15.8 months.</w:t>
      </w:r>
    </w:p>
    <w:p>
      <w:pPr>
        <w:spacing w:after="0" w:line="200" w:lineRule="exact"/>
        <w:rPr>
          <w:sz w:val="20"/>
          <w:szCs w:val="20"/>
          <w:color w:val="auto"/>
        </w:rPr>
      </w:pPr>
    </w:p>
    <w:p>
      <w:pPr>
        <w:spacing w:after="0" w:line="209"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average annual rent per square foot for our existing customers at stabilized stores, net of discounts and bad debt, was $21.01 for the three months ended June 30, 2022, compared to $16.90 for the three months ended June 30, 2021. Average annual rent per square foot for new leases was $20.47 for the three months ended June 30, 2022, compared to $20.47 for the three months ended June 30, 2021. The average discounts, as a percentage of rental revenues, at all stabilized properties during these periods were 3.2% and 3.6%, respectively.</w:t>
      </w:r>
    </w:p>
    <w:p>
      <w:pPr>
        <w:spacing w:after="0" w:line="196" w:lineRule="exact"/>
        <w:rPr>
          <w:sz w:val="20"/>
          <w:szCs w:val="20"/>
          <w:color w:val="auto"/>
        </w:rPr>
      </w:pPr>
    </w:p>
    <w:p>
      <w:pPr>
        <w:ind w:right="40" w:firstLine="433"/>
        <w:spacing w:after="0" w:line="289" w:lineRule="auto"/>
        <w:rPr>
          <w:sz w:val="20"/>
          <w:szCs w:val="20"/>
          <w:color w:val="auto"/>
        </w:rPr>
      </w:pPr>
      <w:r>
        <w:rPr>
          <w:rFonts w:ascii="Times New Roman" w:cs="Times New Roman" w:eastAsia="Times New Roman" w:hAnsi="Times New Roman"/>
          <w:sz w:val="17"/>
          <w:szCs w:val="17"/>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3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additional information regarding net rentable square feet and the number of stores by state.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2280" w:type="dxa"/>
            <w:vAlign w:val="bottom"/>
            <w:tcBorders>
              <w:bottom w:val="single" w:sz="8" w:color="auto"/>
            </w:tcBorders>
            <w:gridSpan w:val="2"/>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REIT Owned</w:t>
            </w:r>
          </w:p>
        </w:tc>
        <w:tc>
          <w:tcPr>
            <w:tcW w:w="2220" w:type="dxa"/>
            <w:vAlign w:val="bottom"/>
            <w:tcBorders>
              <w:bottom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Joint Venture Owned</w:t>
            </w:r>
          </w:p>
        </w:tc>
        <w:tc>
          <w:tcPr>
            <w:tcW w:w="2220" w:type="dxa"/>
            <w:vAlign w:val="bottom"/>
            <w:tcBorders>
              <w:bottom w:val="single" w:sz="8" w:color="auto"/>
            </w:tcBorders>
            <w:gridSpan w:val="2"/>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Managed</w:t>
            </w:r>
          </w:p>
        </w:tc>
        <w:tc>
          <w:tcPr>
            <w:tcW w:w="8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1"/>
        </w:trPr>
        <w:tc>
          <w:tcPr>
            <w:tcW w:w="2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8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860" w:type="dxa"/>
            <w:vAlign w:val="bottom"/>
          </w:tcPr>
          <w:p>
            <w:pPr>
              <w:jc w:val="right"/>
              <w:ind w:right="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300" w:type="dxa"/>
            <w:vAlign w:val="bottom"/>
          </w:tcPr>
          <w:p>
            <w:pPr>
              <w:jc w:val="right"/>
              <w:ind w:right="10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201"/>
              <w:spacing w:after="0" w:line="209" w:lineRule="exact"/>
              <w:rPr>
                <w:sz w:val="20"/>
                <w:szCs w:val="20"/>
                <w:color w:val="auto"/>
              </w:rPr>
            </w:pPr>
            <w:r>
              <w:rPr>
                <w:rFonts w:ascii="Times New Roman" w:cs="Times New Roman" w:eastAsia="Times New Roman" w:hAnsi="Times New Roman"/>
                <w:sz w:val="16"/>
                <w:szCs w:val="16"/>
                <w:b w:val="1"/>
                <w:bCs w:val="1"/>
                <w:color w:val="auto"/>
              </w:rPr>
              <w:t>Count</w:t>
            </w:r>
            <w:r>
              <w:rPr>
                <w:rFonts w:ascii="Times New Roman" w:cs="Times New Roman" w:eastAsia="Times New Roman" w:hAnsi="Times New Roman"/>
                <w:sz w:val="20"/>
                <w:szCs w:val="20"/>
                <w:b w:val="1"/>
                <w:bCs w:val="1"/>
                <w:color w:val="auto"/>
                <w:vertAlign w:val="superscript"/>
              </w:rPr>
              <w:t>(1)</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8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591,353</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75,711</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393,422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1,060,486</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1,624,296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768,106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1,876,590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4,268,992</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13,514,112</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3,594,143</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91</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8,490,567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25,598,822</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1,149,977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499,456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1,784,837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3,434,270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Connecticut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469,371</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575,834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554,108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1,599,313</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143,615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71,704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215,319</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8,552,981</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3,056,188</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113</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9,034,403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20,643,572</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5,185,541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1,143,011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1,842,880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8,171,432</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864,030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159,443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1,023,473</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Idaho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181,644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181,644</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2,979,816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741,737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2,116,190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5,837,743</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930,039</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58,166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1,221,887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2,210,092</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Kansas</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50,209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108,920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452,944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612,073</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829,200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51,677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754,049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1,634,926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387,234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729,801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1,117,035</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Maine</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577,166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577,166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2,853,577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822,392</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2,691,083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6,367,052</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3,011,304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640,850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1,678,831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5,330,985</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666,100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305,126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455,938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1,427,164</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584,960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305,167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1,172,160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2,062,287</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234,365</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234,365</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431,961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119,750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1,038,831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1,590,542</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278,236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278,236</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1,039,972</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474,241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743,464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2,257,677</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Hampshire</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134,564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84,693</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359,332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578,589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4,995,463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1,227,927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2,598,709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8,822,099</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Mexico</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699,907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683,470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901,844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2,285,221</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2,044,436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1,511,528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38</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2,361,159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5,917,123</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1,733,936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401,437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1,292,975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3,428,348</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1,246,482</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325,163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614,017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2,185,662</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1,457,102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1,457,102</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550,307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65,245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738,133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1,353,685</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1,544,970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679,699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2,480,867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4,705,536</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Rhode Island</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134,802</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424,123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558,925</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1,713,002</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709,714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2,171,462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4,594,178</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1,855,783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810,601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573,289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3,239,673</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8,887,031</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1,989,885</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6,933,129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17,810,045</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698,041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1,862,172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2,560,213</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4,203,053</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703,450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2,142,011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7,048,514</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685,061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1,083,111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1,768,172</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 DC</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100,039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103,649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540,544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744,232</w:t>
            </w:r>
          </w:p>
        </w:tc>
        <w:tc>
          <w:tcPr>
            <w:tcW w:w="0" w:type="dxa"/>
            <w:vAlign w:val="bottom"/>
          </w:tcPr>
          <w:p>
            <w:pPr>
              <w:spacing w:after="0"/>
              <w:rPr>
                <w:sz w:val="1"/>
                <w:szCs w:val="1"/>
                <w:color w:val="auto"/>
              </w:rPr>
            </w:pPr>
          </w:p>
        </w:tc>
      </w:tr>
      <w:tr>
        <w:trPr>
          <w:trHeight w:val="208"/>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Wisconsin</w:t>
            </w:r>
          </w:p>
        </w:tc>
        <w:tc>
          <w:tcPr>
            <w:tcW w:w="10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371,454</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816,125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1,187,579</w:t>
            </w:r>
          </w:p>
        </w:tc>
        <w:tc>
          <w:tcPr>
            <w:tcW w:w="0" w:type="dxa"/>
            <w:vAlign w:val="bottom"/>
          </w:tcPr>
          <w:p>
            <w:pPr>
              <w:spacing w:after="0"/>
              <w:rPr>
                <w:sz w:val="1"/>
                <w:szCs w:val="1"/>
                <w:color w:val="auto"/>
              </w:rPr>
            </w:pPr>
          </w:p>
        </w:tc>
      </w:tr>
      <w:tr>
        <w:trPr>
          <w:trHeight w:val="228"/>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Totals</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1,009</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77,177,275</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304</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23,152,005</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864</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67,650,282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167,979,562</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80" w:hanging="375"/>
        <w:spacing w:after="0"/>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17,000 units related to the Bargold transaction. See Note 7 in the Notes to the Condensed Consolidated Financial Statements.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27"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and six months ended June 30, 2022 and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Overview</w:t>
      </w:r>
    </w:p>
    <w:p>
      <w:pPr>
        <w:spacing w:after="0" w:line="121" w:lineRule="exact"/>
        <w:rPr>
          <w:sz w:val="20"/>
          <w:szCs w:val="20"/>
          <w:color w:val="auto"/>
        </w:rPr>
      </w:pPr>
    </w:p>
    <w:p>
      <w:pPr>
        <w:ind w:right="140" w:firstLine="433"/>
        <w:spacing w:after="0" w:line="277" w:lineRule="auto"/>
        <w:rPr>
          <w:sz w:val="20"/>
          <w:szCs w:val="20"/>
          <w:color w:val="auto"/>
        </w:rPr>
      </w:pPr>
      <w:r>
        <w:rPr>
          <w:rFonts w:ascii="Times New Roman" w:cs="Times New Roman" w:eastAsia="Times New Roman" w:hAnsi="Times New Roman"/>
          <w:sz w:val="17"/>
          <w:szCs w:val="17"/>
          <w:color w:val="auto"/>
        </w:rPr>
        <w:t>Results for the three and six months ended June 30, 2022 included the operations of 1,313 stores (1,009 wholly-owned, no consolidated joint ventures, and 304 in joint ventures accounted for using the equity method) compared to the results for the three and six months ended June 30, 2021, which included the operations of 1,205 stores (952 wholly-owned, six in consolidated joint ventures, and 247 in joint ventures accounted for using the equity method).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Revenues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on revenues earned for the periods indicated:</w:t>
      </w:r>
    </w:p>
    <w:p>
      <w:pPr>
        <w:spacing w:after="0" w:line="346" w:lineRule="exact"/>
        <w:rPr>
          <w:sz w:val="20"/>
          <w:szCs w:val="20"/>
          <w:color w:val="auto"/>
        </w:rPr>
      </w:pPr>
    </w:p>
    <w:tbl>
      <w:tblPr>
        <w:tblLayout w:type="fixed"/>
        <w:tblInd w:w="3080" w:type="dxa"/>
        <w:tblCellMar>
          <w:top w:w="0" w:type="dxa"/>
          <w:left w:w="0" w:type="dxa"/>
          <w:bottom w:w="0" w:type="dxa"/>
          <w:right w:w="0" w:type="dxa"/>
        </w:tblCellMar>
      </w:tblPr>
      <w:tr>
        <w:trPr>
          <w:trHeight w:val="161"/>
        </w:trPr>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30,</w:t>
            </w: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4"/>
              </w:rPr>
              <w:t>% Change</w:t>
            </w: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36130" cy="141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rental</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408,044</w:t>
            </w:r>
          </w:p>
        </w:tc>
        <w:tc>
          <w:tcPr>
            <w:tcW w:w="120" w:type="dxa"/>
            <w:vAlign w:val="bottom"/>
          </w:tcPr>
          <w:p>
            <w:pPr>
              <w:spacing w:after="0"/>
              <w:rPr>
                <w:sz w:val="19"/>
                <w:szCs w:val="19"/>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321,500</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86,544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787,852</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625,093</w:t>
            </w:r>
          </w:p>
        </w:tc>
        <w:tc>
          <w:tcPr>
            <w:tcW w:w="120" w:type="dxa"/>
            <w:vAlign w:val="bottom"/>
          </w:tcPr>
          <w:p>
            <w:pPr>
              <w:spacing w:after="0"/>
              <w:rPr>
                <w:sz w:val="19"/>
                <w:szCs w:val="19"/>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162,759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26.0 %</w:t>
            </w:r>
          </w:p>
        </w:tc>
      </w:tr>
      <w:tr>
        <w:trPr>
          <w:trHeight w:val="223"/>
        </w:trPr>
        <w:tc>
          <w:tcPr>
            <w:tcW w:w="3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Tenant reinsurance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4,093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23"/>
        </w:trPr>
        <w:tc>
          <w:tcPr>
            <w:tcW w:w="30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7"/>
                <w:szCs w:val="17"/>
                <w:color w:val="auto"/>
              </w:rPr>
              <w:t>Management fees and other income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5,721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10,033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33.0 %</w:t>
            </w:r>
          </w:p>
        </w:tc>
      </w:tr>
      <w:tr>
        <w:trPr>
          <w:trHeight w:val="228"/>
        </w:trPr>
        <w:tc>
          <w:tcPr>
            <w:tcW w:w="3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revenues</w:t>
            </w: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474,988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378,630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96,358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918,550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737,487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181,063</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24.6 %</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firstLine="433"/>
        <w:spacing w:after="0" w:line="266" w:lineRule="auto"/>
        <w:rPr>
          <w:sz w:val="20"/>
          <w:szCs w:val="20"/>
          <w:color w:val="auto"/>
        </w:rPr>
      </w:pPr>
      <w:r>
        <w:rPr>
          <w:rFonts w:ascii="Times New Roman" w:cs="Times New Roman" w:eastAsia="Times New Roman" w:hAnsi="Times New Roman"/>
          <w:sz w:val="17"/>
          <w:szCs w:val="17"/>
          <w:b w:val="1"/>
          <w:bCs w:val="1"/>
          <w:color w:val="auto"/>
        </w:rPr>
        <w:t>Property Rental—</w:t>
      </w:r>
      <w:r>
        <w:rPr>
          <w:rFonts w:ascii="Times New Roman" w:cs="Times New Roman" w:eastAsia="Times New Roman" w:hAnsi="Times New Roman"/>
          <w:sz w:val="17"/>
          <w:szCs w:val="17"/>
          <w:color w:val="auto"/>
        </w:rPr>
        <w:t>The increase in property rental revenues for the three and six months ended June 30, 2022 was primarily the result of an increase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$66,688 and $129,334 at our stabilized stores related to higher average rates to new and existing customers. Property rental revenue also increased by $21,584 and $40,481 associated with acquisitions completed in 2022 and 2021. We acquired 29 wholly-owned stores during the six months ended June 30, 2022 and a total of 74 stores during the year ended December 31, 2021. Property rental revenue also increased by $1,450 during the three and six months ended June 30, 2022 as a result of increase in occupancy at our lease-up stores. These increases were offset by approximately $4,444 and $11,017 related to the sale of 19 stores to third parties for the three and six months ended June 30, 2022.</w:t>
      </w:r>
    </w:p>
    <w:p>
      <w:pPr>
        <w:spacing w:after="0" w:line="195" w:lineRule="exact"/>
        <w:rPr>
          <w:sz w:val="20"/>
          <w:szCs w:val="20"/>
          <w:color w:val="auto"/>
        </w:rPr>
      </w:pPr>
    </w:p>
    <w:p>
      <w:pPr>
        <w:ind w:right="24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Tenant Reinsurance—</w:t>
      </w:r>
      <w:r>
        <w:rPr>
          <w:rFonts w:ascii="Times New Roman" w:cs="Times New Roman" w:eastAsia="Times New Roman" w:hAnsi="Times New Roman"/>
          <w:sz w:val="17"/>
          <w:szCs w:val="17"/>
          <w:color w:val="auto"/>
        </w:rPr>
        <w:t>The increase in our tenant reinsurance revenues was due primarily to an increase in the number of stores operated. We operated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2,177 stores at June 30, 2022 compared to 1,973 stores at June 30, 2021.</w:t>
      </w:r>
    </w:p>
    <w:p>
      <w:pPr>
        <w:spacing w:after="0" w:line="169" w:lineRule="exact"/>
        <w:rPr>
          <w:sz w:val="20"/>
          <w:szCs w:val="20"/>
          <w:color w:val="auto"/>
        </w:rPr>
      </w:pPr>
    </w:p>
    <w:p>
      <w:pPr>
        <w:ind w:right="20" w:firstLine="433"/>
        <w:spacing w:after="0" w:line="268" w:lineRule="auto"/>
        <w:rPr>
          <w:sz w:val="20"/>
          <w:szCs w:val="20"/>
          <w:color w:val="auto"/>
        </w:rPr>
      </w:pPr>
      <w:r>
        <w:rPr>
          <w:rFonts w:ascii="Times New Roman" w:cs="Times New Roman" w:eastAsia="Times New Roman" w:hAnsi="Times New Roman"/>
          <w:sz w:val="17"/>
          <w:szCs w:val="17"/>
          <w:b w:val="1"/>
          <w:bCs w:val="1"/>
          <w:color w:val="auto"/>
        </w:rPr>
        <w:t>Management Fees and Other Income—</w:t>
      </w:r>
      <w:r>
        <w:rPr>
          <w:rFonts w:ascii="Times New Roman" w:cs="Times New Roman" w:eastAsia="Times New Roman" w:hAnsi="Times New Roman"/>
          <w:sz w:val="17"/>
          <w:szCs w:val="17"/>
          <w:color w:val="auto"/>
        </w:rPr>
        <w:t>Management fees and other income primarily represent the fees collected for our management of stores owned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third parties and unconsolidated joint ventures and other transaction fee income. The increase for the three and six months ended June 30, 2022 was primarily due to an increase in the number of stores managed and an increase in revenue of previously managed stores when compared to the same period last year. As of June 30, 2022, we managed 1,168 stores for joint ventures and third parties, compared to 1,021 stores as of June 30, 2021. Additionally, for the three and six months ended June 30, 2022, the Company earned an additional $1,095 and $1,483 of other transaction fee income.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auto"/>
        </w:rPr>
        <w:t>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on expenses for the periods indicated:</w:t>
      </w:r>
    </w:p>
    <w:p>
      <w:pPr>
        <w:spacing w:after="0" w:line="31"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30,</w:t>
            </w: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7"/>
              </w:rPr>
              <w:t>% Change</w:t>
            </w: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36130" cy="141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operations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104,252</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89,155</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18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207,794</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181,522</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r>
      <w:tr>
        <w:trPr>
          <w:trHeight w:val="223"/>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Tenant reinsurance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23"/>
        </w:trPr>
        <w:tc>
          <w:tcPr>
            <w:tcW w:w="2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Transaction related costs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3"/>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26,341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22.3 %</w:t>
            </w:r>
          </w:p>
        </w:tc>
      </w:tr>
      <w:tr>
        <w:trPr>
          <w:trHeight w:val="223"/>
        </w:trPr>
        <w:tc>
          <w:tcPr>
            <w:tcW w:w="2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59,570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18,804</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r>
      <w:tr>
        <w:trPr>
          <w:trHeight w:val="223"/>
        </w:trPr>
        <w:tc>
          <w:tcPr>
            <w:tcW w:w="28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expenses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181,801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31,771</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58,356</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16.1 %</w:t>
            </w:r>
          </w:p>
        </w:tc>
      </w:tr>
      <w:tr>
        <w:trPr>
          <w:trHeight w:val="20"/>
        </w:trPr>
        <w:tc>
          <w:tcPr>
            <w:tcW w:w="284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8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Property Operations—</w:t>
      </w:r>
      <w:r>
        <w:rPr>
          <w:rFonts w:ascii="Times New Roman" w:cs="Times New Roman" w:eastAsia="Times New Roman" w:hAnsi="Times New Roman"/>
          <w:sz w:val="17"/>
          <w:szCs w:val="17"/>
          <w:color w:val="auto"/>
        </w:rPr>
        <w:t>The increase in property operations expense during the three and six months ended June 30, 2022 consists primarily of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 of $7,552 and $14,598 related to acquisitions completed in 2022 and 2021. We acquired 29 wholly-owned stores during the six months ended June 30, 2022 and a total of 74 stores during the six months ended June 30, 2021. There was also an increase of $8,162 at stabilized stores, which was partially offset by a decrease in expense of $1,279 related to property sales.</w:t>
      </w:r>
    </w:p>
    <w:p>
      <w:pPr>
        <w:spacing w:after="0" w:line="192" w:lineRule="exact"/>
        <w:rPr>
          <w:sz w:val="20"/>
          <w:szCs w:val="20"/>
          <w:color w:val="auto"/>
        </w:rPr>
      </w:pPr>
    </w:p>
    <w:p>
      <w:pPr>
        <w:ind w:right="52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Tenant Reinsurance—</w:t>
      </w:r>
      <w:r>
        <w:rPr>
          <w:rFonts w:ascii="Times New Roman" w:cs="Times New Roman" w:eastAsia="Times New Roman" w:hAnsi="Times New Roman"/>
          <w:sz w:val="17"/>
          <w:szCs w:val="17"/>
          <w:color w:val="auto"/>
        </w:rPr>
        <w:t>Tenant reinsurance expense represents the costs that are incurred to provide tenant reinsurance. We operated 2,177 stores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June 30, 2022 compared to 1,973 stores at June 30, 2021.</w:t>
      </w:r>
    </w:p>
    <w:p>
      <w:pPr>
        <w:spacing w:after="0" w:line="169" w:lineRule="exact"/>
        <w:rPr>
          <w:sz w:val="20"/>
          <w:szCs w:val="20"/>
          <w:color w:val="auto"/>
        </w:rPr>
      </w:pPr>
    </w:p>
    <w:p>
      <w:pPr>
        <w:ind w:right="16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Transaction related costs— </w:t>
      </w:r>
      <w:r>
        <w:rPr>
          <w:rFonts w:ascii="Times New Roman" w:cs="Times New Roman" w:eastAsia="Times New Roman" w:hAnsi="Times New Roman"/>
          <w:sz w:val="17"/>
          <w:szCs w:val="17"/>
          <w:color w:val="auto"/>
        </w:rPr>
        <w:t>The $1,465 in acquisition costs represents the costs that were incurred in the acquisition of Bargold Storage Systems, LLC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("Bargold"). See footnote 7, Acquisitions and Dispositions, for additional details.</w:t>
      </w:r>
    </w:p>
    <w:p>
      <w:pPr>
        <w:spacing w:after="0" w:line="169" w:lineRule="exact"/>
        <w:rPr>
          <w:sz w:val="20"/>
          <w:szCs w:val="20"/>
          <w:color w:val="auto"/>
        </w:rPr>
      </w:pPr>
    </w:p>
    <w:p>
      <w:pPr>
        <w:jc w:val="both"/>
        <w:ind w:right="100" w:firstLine="433"/>
        <w:spacing w:after="0" w:line="278" w:lineRule="auto"/>
        <w:rPr>
          <w:sz w:val="20"/>
          <w:szCs w:val="20"/>
          <w:color w:val="auto"/>
        </w:rPr>
      </w:pPr>
      <w:r>
        <w:rPr>
          <w:rFonts w:ascii="Times New Roman" w:cs="Times New Roman" w:eastAsia="Times New Roman" w:hAnsi="Times New Roman"/>
          <w:sz w:val="17"/>
          <w:szCs w:val="17"/>
          <w:b w:val="1"/>
          <w:bCs w:val="1"/>
          <w:color w:val="auto"/>
        </w:rPr>
        <w:t>General and Administrative—</w:t>
      </w:r>
      <w:r>
        <w:rPr>
          <w:rFonts w:ascii="Times New Roman" w:cs="Times New Roman" w:eastAsia="Times New Roman" w:hAnsi="Times New Roman"/>
          <w:sz w:val="17"/>
          <w:szCs w:val="17"/>
          <w:color w:val="auto"/>
        </w:rPr>
        <w:t>General and administrative expenses primarily include all expenses not directly related to our stores, including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payroll, office expense, office rent, travel and professional fees. Payroll has continued to increase as we have seen wages nationwide grow faster than inflation. We did not observe any material trends in specific travel or other expenses apart from the increase due to the management of additional stores.</w:t>
      </w:r>
    </w:p>
    <w:p>
      <w:pPr>
        <w:spacing w:after="0" w:line="186" w:lineRule="exact"/>
        <w:rPr>
          <w:sz w:val="20"/>
          <w:szCs w:val="20"/>
          <w:color w:val="auto"/>
        </w:rPr>
      </w:pPr>
    </w:p>
    <w:p>
      <w:pPr>
        <w:ind w:right="12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Depreciation and Amortization—</w:t>
      </w:r>
      <w:r>
        <w:rPr>
          <w:rFonts w:ascii="Times New Roman" w:cs="Times New Roman" w:eastAsia="Times New Roman" w:hAnsi="Times New Roman"/>
          <w:sz w:val="17"/>
          <w:szCs w:val="17"/>
          <w:color w:val="auto"/>
        </w:rPr>
        <w:t>Depreciation and amortization expense increased as a result of the acquisition of new stores. We acquired 29 wholly-owned stores during the six months ended June 30, 2022 and a total of 74 stores during the six months ended June 30, 2021.</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35" w:name="page36"/>
    <w:bookmarkEnd w:id="35"/>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Revenues and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about other revenues and expenses for the periods indicated: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74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(49,634)</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208"/>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earnings and dividend income</w:t>
            </w:r>
          </w:p>
        </w:tc>
        <w:tc>
          <w:tcPr>
            <w:tcW w:w="1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10,190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8,322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1,868</w:t>
            </w:r>
          </w:p>
        </w:tc>
        <w:tc>
          <w:tcPr>
            <w:tcW w:w="10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22.4 %</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19,287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15,278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4,009</w:t>
            </w:r>
          </w:p>
        </w:tc>
        <w:tc>
          <w:tcPr>
            <w:tcW w:w="10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26.2 %</w:t>
            </w:r>
          </w:p>
        </w:tc>
        <w:tc>
          <w:tcPr>
            <w:tcW w:w="0" w:type="dxa"/>
            <w:vAlign w:val="bottom"/>
          </w:tcPr>
          <w:p>
            <w:pPr>
              <w:spacing w:after="0"/>
              <w:rPr>
                <w:sz w:val="1"/>
                <w:szCs w:val="1"/>
                <w:color w:val="auto"/>
              </w:rPr>
            </w:pPr>
          </w:p>
        </w:tc>
      </w:tr>
      <w:tr>
        <w:trPr>
          <w:trHeight w:val="208"/>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from unconsolidated real estate entities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Equity in earnings of unconsolidated real</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estate ventures - gain on sale of real estate</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assets and purchase of joint venture</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partner's interest</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28"/>
        </w:trPr>
        <w:tc>
          <w:tcPr>
            <w:tcW w:w="2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revenues &amp; expenses,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(51,236)</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20" w:firstLine="433"/>
        <w:spacing w:after="0" w:line="278" w:lineRule="auto"/>
        <w:rPr>
          <w:sz w:val="20"/>
          <w:szCs w:val="20"/>
          <w:color w:val="auto"/>
        </w:rPr>
      </w:pPr>
      <w:r>
        <w:rPr>
          <w:rFonts w:ascii="Times New Roman" w:cs="Times New Roman" w:eastAsia="Times New Roman" w:hAnsi="Times New Roman"/>
          <w:sz w:val="17"/>
          <w:szCs w:val="17"/>
          <w:b w:val="1"/>
          <w:bCs w:val="1"/>
          <w:color w:val="auto"/>
        </w:rPr>
        <w:t>Gain on Real Estate Transactions—</w:t>
      </w:r>
      <w:r>
        <w:rPr>
          <w:rFonts w:ascii="Times New Roman" w:cs="Times New Roman" w:eastAsia="Times New Roman" w:hAnsi="Times New Roman"/>
          <w:sz w:val="17"/>
          <w:szCs w:val="17"/>
          <w:color w:val="auto"/>
        </w:rPr>
        <w:t>During the three months ended June 30, 2022, we sold two stores. We recognized a total gain of $14,249 related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sale of these assets. During the six months ended June 30, 2021, we sold 16 stores to a newly established unconsolidated joint venture. We recognized a total gain of $64,424 related to this transaction. This gain was partially offset by losses related to the sale of notes receivable and solar assets.</w:t>
      </w:r>
    </w:p>
    <w:p>
      <w:pPr>
        <w:spacing w:after="0" w:line="186" w:lineRule="exact"/>
        <w:rPr>
          <w:sz w:val="20"/>
          <w:szCs w:val="20"/>
          <w:color w:val="auto"/>
        </w:rPr>
      </w:pPr>
    </w:p>
    <w:p>
      <w:pPr>
        <w:ind w:right="34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color w:val="auto"/>
        </w:rPr>
        <w:t>The increase in interest expense during the six months ended June 30, 2022 was primarily the result of a higher weighted average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rate and debt balance compared to the same period in the prior year.</w:t>
      </w:r>
    </w:p>
    <w:p>
      <w:pPr>
        <w:spacing w:after="0" w:line="169" w:lineRule="exact"/>
        <w:rPr>
          <w:sz w:val="20"/>
          <w:szCs w:val="20"/>
          <w:color w:val="auto"/>
        </w:rPr>
      </w:pPr>
    </w:p>
    <w:p>
      <w:pPr>
        <w:ind w:right="100" w:firstLine="433"/>
        <w:spacing w:after="0" w:line="268" w:lineRule="auto"/>
        <w:rPr>
          <w:sz w:val="20"/>
          <w:szCs w:val="20"/>
          <w:color w:val="auto"/>
        </w:rPr>
      </w:pPr>
      <w:r>
        <w:rPr>
          <w:rFonts w:ascii="Times New Roman" w:cs="Times New Roman" w:eastAsia="Times New Roman" w:hAnsi="Times New Roman"/>
          <w:sz w:val="17"/>
          <w:szCs w:val="17"/>
          <w:b w:val="1"/>
          <w:bCs w:val="1"/>
          <w:color w:val="auto"/>
        </w:rPr>
        <w:t>Interest Income—</w:t>
      </w:r>
      <w:r>
        <w:rPr>
          <w:rFonts w:ascii="Times New Roman" w:cs="Times New Roman" w:eastAsia="Times New Roman" w:hAnsi="Times New Roman"/>
          <w:sz w:val="17"/>
          <w:szCs w:val="17"/>
          <w:color w:val="auto"/>
        </w:rPr>
        <w:t>Interest income represents interest earned on bridge loans, notes receivable and debt securities and income earned on notes receivable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Common and Preferred Operating Partnership unit holders. The increase in interest income during the three and six months ended June 30, 2022 was primarily the result of an increase in the note receivable for the Company's bridge loan program. The loan receivable balance increased to $349,056 as of June 30, 2022 compared to $247,411 as of June 30, 2021. The increase also relates to interest earned from the repayment of the senior mezzanine note receivable which was paid off in February 2022 and included recording the remaining balance of unamortized discount into interest income.</w:t>
      </w:r>
    </w:p>
    <w:p>
      <w:pPr>
        <w:spacing w:after="0" w:line="194" w:lineRule="exact"/>
        <w:rPr>
          <w:sz w:val="20"/>
          <w:szCs w:val="20"/>
          <w:color w:val="auto"/>
        </w:rPr>
      </w:pPr>
    </w:p>
    <w:p>
      <w:pPr>
        <w:ind w:right="360" w:firstLine="433"/>
        <w:spacing w:after="0" w:line="268" w:lineRule="auto"/>
        <w:rPr>
          <w:sz w:val="20"/>
          <w:szCs w:val="20"/>
          <w:color w:val="auto"/>
        </w:rPr>
      </w:pPr>
      <w:r>
        <w:rPr>
          <w:rFonts w:ascii="Times New Roman" w:cs="Times New Roman" w:eastAsia="Times New Roman" w:hAnsi="Times New Roman"/>
          <w:sz w:val="17"/>
          <w:szCs w:val="17"/>
          <w:b w:val="1"/>
          <w:bCs w:val="1"/>
          <w:color w:val="auto"/>
        </w:rPr>
        <w:t>Equity in Earnings and Dividend Income from Unconsolidated Real Estate Entities—</w:t>
      </w:r>
      <w:r>
        <w:rPr>
          <w:rFonts w:ascii="Times New Roman" w:cs="Times New Roman" w:eastAsia="Times New Roman" w:hAnsi="Times New Roman"/>
          <w:sz w:val="17"/>
          <w:szCs w:val="17"/>
          <w:color w:val="auto"/>
        </w:rPr>
        <w:t>Equity in earnings of unconsolidated real estate entities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Dividend income represents dividends from our investment in preferred stock of SmartStop, which was purchased in October 2019 for $150,000 with another $50,000 invested in October 2020.</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Equity in Earnings of Unconsolidated Real Estate Ventures - Gain on Sale of Real Estate Assets and Purchase of Joint Venture Partner's Interest</w:t>
      </w:r>
    </w:p>
    <w:p>
      <w:pPr>
        <w:spacing w:after="0" w:line="34" w:lineRule="exact"/>
        <w:rPr>
          <w:sz w:val="20"/>
          <w:szCs w:val="20"/>
          <w:color w:val="auto"/>
        </w:rPr>
      </w:pPr>
    </w:p>
    <w:p>
      <w:pPr>
        <w:ind w:firstLine="5"/>
        <w:spacing w:after="0" w:line="266" w:lineRule="auto"/>
        <w:tabs>
          <w:tab w:leader="none" w:pos="10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2021, the Company sold its interest in two unconsolidated joint ventures to its joint venture partner. The Company received proceeds of $1,888 in cash, and recorded a gain of $525. Also in June 2021, the WICNN JV LLC and GFN JV, LLC joint ventures sold all 17 of the stores owned by the joint ventures to a third party. Subsequent to the sales, these joint ventures were dissolved. As a result of these transactions, the Company recorded a gain of $5,739.</w:t>
      </w:r>
    </w:p>
    <w:p>
      <w:pPr>
        <w:spacing w:after="0" w:line="196" w:lineRule="exact"/>
        <w:rPr>
          <w:sz w:val="20"/>
          <w:szCs w:val="20"/>
          <w:color w:val="auto"/>
        </w:rPr>
      </w:pPr>
    </w:p>
    <w:p>
      <w:pPr>
        <w:ind w:right="40" w:firstLine="433"/>
        <w:spacing w:after="0" w:line="278" w:lineRule="auto"/>
        <w:rPr>
          <w:sz w:val="20"/>
          <w:szCs w:val="20"/>
          <w:color w:val="auto"/>
        </w:rPr>
      </w:pPr>
      <w:r>
        <w:rPr>
          <w:rFonts w:ascii="Times New Roman" w:cs="Times New Roman" w:eastAsia="Times New Roman" w:hAnsi="Times New Roman"/>
          <w:sz w:val="17"/>
          <w:szCs w:val="17"/>
          <w:b w:val="1"/>
          <w:bCs w:val="1"/>
          <w:color w:val="auto"/>
        </w:rPr>
        <w:t>Income Tax Expense</w:t>
      </w:r>
      <w:r>
        <w:rPr>
          <w:rFonts w:ascii="Times New Roman" w:cs="Times New Roman" w:eastAsia="Times New Roman" w:hAnsi="Times New Roman"/>
          <w:sz w:val="17"/>
          <w:szCs w:val="17"/>
          <w:color w:val="auto"/>
        </w:rPr>
        <w:t>—For the three months ended June 30, 2022 we did not observe any material change when compared to the same period in the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 For the six months ended June 30, 2022 the decrease in income tax expense was primarily the result of a larger estimated solar tax credit for 2022 when compared to the same period in the prior year.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FUNDS FROM OPERATIONS</w:t>
      </w:r>
    </w:p>
    <w:p>
      <w:pPr>
        <w:spacing w:after="0" w:line="252" w:lineRule="exact"/>
        <w:rPr>
          <w:sz w:val="20"/>
          <w:szCs w:val="20"/>
          <w:color w:val="auto"/>
        </w:rPr>
      </w:pPr>
    </w:p>
    <w:p>
      <w:pPr>
        <w:ind w:firstLine="433"/>
        <w:spacing w:after="0" w:line="262" w:lineRule="auto"/>
        <w:rPr>
          <w:sz w:val="20"/>
          <w:szCs w:val="20"/>
          <w:color w:val="auto"/>
        </w:rPr>
      </w:pPr>
      <w:r>
        <w:rPr>
          <w:rFonts w:ascii="Times New Roman" w:cs="Times New Roman" w:eastAsia="Times New Roman" w:hAnsi="Times New Roman"/>
          <w:sz w:val="17"/>
          <w:szCs w:val="17"/>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204"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the calculation of FFO for the periods indicated: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8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26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 30,</w:t>
            </w:r>
          </w:p>
        </w:tc>
      </w:tr>
      <w:tr>
        <w:trPr>
          <w:trHeight w:val="24"/>
        </w:trPr>
        <w:tc>
          <w:tcPr>
            <w:tcW w:w="5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59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stockholders</w:t>
            </w: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167,948</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435,709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370,946</w:t>
            </w:r>
          </w:p>
        </w:tc>
      </w:tr>
      <w:tr>
        <w:trPr>
          <w:trHeight w:val="249"/>
        </w:trPr>
        <w:tc>
          <w:tcPr>
            <w:tcW w:w="5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depreciation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56,470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112,285</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real estate transactions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(63,883)</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Unconsolidated joint venture real estate 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3,079</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5,584</w:t>
            </w:r>
          </w:p>
        </w:tc>
      </w:tr>
      <w:tr>
        <w:trPr>
          <w:trHeight w:val="170"/>
        </w:trPr>
        <w:tc>
          <w:tcPr>
            <w:tcW w:w="598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Unconsolidated joint venture gain on sale of real estate assets and purchase of</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6"/>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partner's interest</w:t>
            </w:r>
          </w:p>
        </w:tc>
        <w:tc>
          <w:tcPr>
            <w:tcW w:w="2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(6,251)</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(6,251)</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paid on Series A Preferred Operating Partnership units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w:t>
            </w: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allocated to Operating Partnership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10,631</w:t>
            </w: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23,134</w:t>
            </w:r>
          </w:p>
        </w:tc>
      </w:tr>
      <w:tr>
        <w:trPr>
          <w:trHeight w:val="241"/>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Funds from operations attributable to common stockholders and unit holders</w:t>
            </w: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232,313</w:t>
            </w: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590,045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442,372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SAME-STORE RESULTS</w:t>
      </w:r>
    </w:p>
    <w:p>
      <w:pPr>
        <w:spacing w:after="0" w:line="252" w:lineRule="exact"/>
        <w:rPr>
          <w:sz w:val="20"/>
          <w:szCs w:val="20"/>
          <w:color w:val="auto"/>
        </w:rPr>
      </w:pPr>
    </w:p>
    <w:p>
      <w:pPr>
        <w:ind w:right="220" w:firstLine="433"/>
        <w:spacing w:after="0" w:line="264" w:lineRule="auto"/>
        <w:rPr>
          <w:sz w:val="20"/>
          <w:szCs w:val="20"/>
          <w:color w:val="auto"/>
        </w:rPr>
      </w:pPr>
      <w:r>
        <w:rPr>
          <w:rFonts w:ascii="Times New Roman" w:cs="Times New Roman" w:eastAsia="Times New Roman" w:hAnsi="Times New Roman"/>
          <w:sz w:val="17"/>
          <w:szCs w:val="17"/>
          <w:color w:val="auto"/>
        </w:rPr>
        <w:t>Our same-store pool for the periods presented consists of 870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portfolio.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12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120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2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Same-store rental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362,192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297,601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21.7 %</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704,081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578,591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21.7 %</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Same-store operating expenses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76,346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168,328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155,825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0" w:type="dxa"/>
            <w:vAlign w:val="bottom"/>
          </w:tcPr>
          <w:p>
            <w:pPr>
              <w:spacing w:after="0"/>
              <w:rPr>
                <w:sz w:val="1"/>
                <w:szCs w:val="1"/>
                <w:color w:val="auto"/>
              </w:rPr>
            </w:pPr>
          </w:p>
        </w:tc>
      </w:tr>
      <w:tr>
        <w:trPr>
          <w:trHeight w:val="241"/>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Same-store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221,255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26.0 %</w:t>
            </w:r>
          </w:p>
        </w:tc>
        <w:tc>
          <w:tcPr>
            <w:tcW w:w="4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535,753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422,766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Same-store square foot occupancy as of quarter end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7"/>
                <w:szCs w:val="17"/>
                <w:color w:val="auto"/>
              </w:rPr>
              <w:t>95.9%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rPr>
              <w:t>95.9%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Properties included in same-store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870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20" w:firstLine="433"/>
        <w:spacing w:after="0" w:line="297" w:lineRule="auto"/>
        <w:rPr>
          <w:sz w:val="20"/>
          <w:szCs w:val="20"/>
          <w:color w:val="auto"/>
        </w:rPr>
      </w:pPr>
      <w:r>
        <w:rPr>
          <w:rFonts w:ascii="Times New Roman" w:cs="Times New Roman" w:eastAsia="Times New Roman" w:hAnsi="Times New Roman"/>
          <w:sz w:val="17"/>
          <w:szCs w:val="17"/>
          <w:color w:val="auto"/>
        </w:rPr>
        <w:t>Same-store revenues for the three and six months ended June 30, 2022 increased compared to the same periods in 2021 due to higher average rates to new and existing customers and higher other operating income partially offset by lower occupancy.</w:t>
      </w:r>
    </w:p>
    <w:p>
      <w:pPr>
        <w:spacing w:after="0" w:line="41" w:lineRule="exact"/>
        <w:rPr>
          <w:sz w:val="20"/>
          <w:szCs w:val="20"/>
          <w:color w:val="auto"/>
        </w:rPr>
      </w:pPr>
    </w:p>
    <w:p>
      <w:pPr>
        <w:ind w:right="160" w:firstLine="433"/>
        <w:spacing w:after="0" w:line="297" w:lineRule="auto"/>
        <w:rPr>
          <w:sz w:val="20"/>
          <w:szCs w:val="20"/>
          <w:color w:val="auto"/>
        </w:rPr>
      </w:pPr>
      <w:r>
        <w:rPr>
          <w:rFonts w:ascii="Times New Roman" w:cs="Times New Roman" w:eastAsia="Times New Roman" w:hAnsi="Times New Roman"/>
          <w:sz w:val="17"/>
          <w:szCs w:val="17"/>
          <w:color w:val="auto"/>
        </w:rPr>
        <w:t>Same-store expenses increased for the three and six months ended June 30, 2022 compared to the same period in 2021 due to increases in payroll, credit card processing fees, repairs and maintenance and insurance, partially offset by lower property taxes due to successful appeals of prior period taxes.</w:t>
      </w:r>
    </w:p>
    <w:p>
      <w:pPr>
        <w:spacing w:after="0" w:line="41" w:lineRule="exact"/>
        <w:rPr>
          <w:sz w:val="20"/>
          <w:szCs w:val="20"/>
          <w:color w:val="auto"/>
        </w:rPr>
      </w:pPr>
    </w:p>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presents a reconciliation of same-store net operating income to net income as presented on our condensed consolidated statements of operations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34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56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247,834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178,579</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465,551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394,080</w:t>
            </w:r>
          </w:p>
        </w:tc>
      </w:tr>
      <w:tr>
        <w:trPr>
          <w:trHeight w:val="223"/>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Adjusted to exclude: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real estate transactions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(63,883)</w:t>
            </w:r>
          </w:p>
        </w:tc>
      </w:tr>
      <w:tr>
        <w:trPr>
          <w:trHeight w:val="170"/>
        </w:trPr>
        <w:tc>
          <w:tcPr>
            <w:tcW w:w="5600" w:type="dxa"/>
            <w:vAlign w:val="bottom"/>
          </w:tcPr>
          <w:p>
            <w:pPr>
              <w:ind w:left="220"/>
              <w:spacing w:after="0" w:line="171" w:lineRule="exact"/>
              <w:rPr>
                <w:sz w:val="20"/>
                <w:szCs w:val="20"/>
                <w:color w:val="auto"/>
              </w:rPr>
            </w:pPr>
            <w:r>
              <w:rPr>
                <w:rFonts w:ascii="Times New Roman" w:cs="Times New Roman" w:eastAsia="Times New Roman" w:hAnsi="Times New Roman"/>
                <w:sz w:val="17"/>
                <w:szCs w:val="17"/>
                <w:color w:val="auto"/>
              </w:rPr>
              <w:t>Equity in earnings and dividend income from unconsolidated real estate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6"/>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entities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(8,322)</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(15,278)</w:t>
            </w:r>
          </w:p>
        </w:tc>
      </w:tr>
      <w:tr>
        <w:trPr>
          <w:trHeight w:val="171"/>
        </w:trPr>
        <w:tc>
          <w:tcPr>
            <w:tcW w:w="56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Equity in earnings of unconsolidated real estate ventures - gain on sale of real</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estate assets and purchase of joint venture partner's interest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(6,251)</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(6,251)</w:t>
            </w:r>
          </w:p>
        </w:tc>
      </w:tr>
      <w:tr>
        <w:trPr>
          <w:trHeight w:val="223"/>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47,466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40,240</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80,935</w:t>
            </w:r>
          </w:p>
        </w:tc>
      </w:tr>
      <w:tr>
        <w:trPr>
          <w:trHeight w:val="22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69,067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59,570</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136,973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118,169</w:t>
            </w:r>
          </w:p>
        </w:tc>
      </w:tr>
      <w:tr>
        <w:trPr>
          <w:trHeight w:val="223"/>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9,558</w:t>
            </w:r>
          </w:p>
        </w:tc>
      </w:tr>
      <w:tr>
        <w:trPr>
          <w:trHeight w:val="22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related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26,341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49,881</w:t>
            </w:r>
          </w:p>
        </w:tc>
      </w:tr>
      <w:tr>
        <w:trPr>
          <w:trHeight w:val="22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fees, other income and interest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(27,634)</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(74,523)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(55,583)</w:t>
            </w:r>
          </w:p>
        </w:tc>
      </w:tr>
      <w:tr>
        <w:trPr>
          <w:trHeight w:val="223"/>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tenant insurance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(38,890)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(35,599)</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(68,057)</w:t>
            </w:r>
          </w:p>
        </w:tc>
      </w:tr>
      <w:tr>
        <w:trPr>
          <w:trHeight w:val="22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 same-store rental revenue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(45,852)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(23,899)</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(83,771)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(46,502)</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 same-store operating expense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20,781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12,809</w:t>
            </w: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39,466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25,697</w:t>
            </w:r>
          </w:p>
        </w:tc>
      </w:tr>
      <w:tr>
        <w:trPr>
          <w:trHeight w:val="241"/>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same-store net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278,721</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221,255</w:t>
            </w: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535,753</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422,766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Same-store rental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362,192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297,601</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704,081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578,591</w:t>
            </w: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Same-store operating expenses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83,471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76,346</w:t>
            </w: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168,328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155,825</w:t>
            </w:r>
          </w:p>
        </w:tc>
      </w:tr>
      <w:tr>
        <w:trPr>
          <w:trHeight w:val="241"/>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Same-store net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278,721</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221,255</w:t>
            </w: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535,753</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422,766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52" w:lineRule="exact"/>
        <w:rPr>
          <w:sz w:val="20"/>
          <w:szCs w:val="20"/>
          <w:color w:val="auto"/>
        </w:rPr>
      </w:pPr>
    </w:p>
    <w:p>
      <w:pPr>
        <w:ind w:right="180" w:firstLine="433"/>
        <w:spacing w:after="0" w:line="267" w:lineRule="auto"/>
        <w:rPr>
          <w:sz w:val="20"/>
          <w:szCs w:val="20"/>
          <w:color w:val="auto"/>
        </w:rPr>
      </w:pPr>
      <w:r>
        <w:rPr>
          <w:rFonts w:ascii="Times New Roman" w:cs="Times New Roman" w:eastAsia="Times New Roman" w:hAnsi="Times New Roman"/>
          <w:sz w:val="17"/>
          <w:szCs w:val="17"/>
          <w:color w:val="auto"/>
        </w:rPr>
        <w:t>Cash flows from operating activities for the six months ended June 30, 2022 increased when compared to the same period in the prior year as a result of our continued total revenue growth.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 significant components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8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463,688</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(145,302)</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(386,646)</w:t>
            </w:r>
          </w:p>
        </w:tc>
      </w:tr>
      <w:tr>
        <w:trPr>
          <w:trHeight w:val="262"/>
        </w:trPr>
        <w:tc>
          <w:tcPr>
            <w:tcW w:w="8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Significant components of net cash flow included: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465,551</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394,080</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118,169</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real estate transactions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(63,883)</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 and development of real estate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(400,991)</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sale of real estate assets and investments in real estate ventures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194,205</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Investment in unconsolidated real estate entities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 and purchase of notes receivable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(68,523)</w:t>
            </w:r>
          </w:p>
        </w:tc>
      </w:tr>
      <w:tr>
        <w:trPr>
          <w:trHeight w:val="223"/>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sale of notes receivable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87,298</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 payments received from notes receivable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223,773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20,426</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the sale of common stock, net of offering costs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273,509</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notes payable and revolving lines of credit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1,948,657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2,372,000</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payments on notes payable and revolving lines of credit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(3,193,025)</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issuance of public bonds, net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446,396</w:t>
            </w:r>
          </w:p>
        </w:tc>
      </w:tr>
      <w:tr>
        <w:trPr>
          <w:trHeight w:val="223"/>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(266,317)</w:t>
            </w:r>
          </w:p>
        </w:tc>
      </w:tr>
    </w:tbl>
    <w:p>
      <w:pPr>
        <w:spacing w:after="0" w:line="305" w:lineRule="exact"/>
        <w:rPr>
          <w:sz w:val="20"/>
          <w:szCs w:val="20"/>
          <w:color w:val="auto"/>
        </w:rPr>
      </w:pPr>
    </w:p>
    <w:p>
      <w:pPr>
        <w:ind w:right="40" w:firstLine="433"/>
        <w:spacing w:after="0" w:line="270" w:lineRule="auto"/>
        <w:rPr>
          <w:sz w:val="20"/>
          <w:szCs w:val="20"/>
          <w:color w:val="auto"/>
        </w:rPr>
      </w:pPr>
      <w:r>
        <w:rPr>
          <w:rFonts w:ascii="Times New Roman" w:cs="Times New Roman" w:eastAsia="Times New Roman" w:hAnsi="Times New Roman"/>
          <w:sz w:val="17"/>
          <w:szCs w:val="17"/>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spacing w:after="0" w:line="196" w:lineRule="exact"/>
        <w:rPr>
          <w:sz w:val="20"/>
          <w:szCs w:val="20"/>
          <w:color w:val="auto"/>
        </w:rPr>
      </w:pPr>
    </w:p>
    <w:p>
      <w:pPr>
        <w:ind w:right="40" w:firstLine="433"/>
        <w:spacing w:after="0" w:line="277" w:lineRule="auto"/>
        <w:rPr>
          <w:sz w:val="20"/>
          <w:szCs w:val="20"/>
          <w:color w:val="auto"/>
        </w:rPr>
      </w:pPr>
      <w:r>
        <w:rPr>
          <w:rFonts w:ascii="Times New Roman" w:cs="Times New Roman" w:eastAsia="Times New Roman" w:hAnsi="Times New Roman"/>
          <w:sz w:val="17"/>
          <w:szCs w:val="17"/>
          <w:color w:val="auto"/>
        </w:rPr>
        <w:t>We expect to generate positive cash flow from operations in 2022,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6" w:lineRule="exact"/>
        <w:rPr>
          <w:sz w:val="20"/>
          <w:szCs w:val="20"/>
          <w:color w:val="auto"/>
        </w:rPr>
      </w:pPr>
    </w:p>
    <w:p>
      <w:pPr>
        <w:ind w:right="200" w:firstLine="433"/>
        <w:spacing w:after="0" w:line="270" w:lineRule="auto"/>
        <w:rPr>
          <w:sz w:val="20"/>
          <w:szCs w:val="20"/>
          <w:color w:val="auto"/>
        </w:rPr>
      </w:pPr>
      <w:r>
        <w:rPr>
          <w:rFonts w:ascii="Times New Roman" w:cs="Times New Roman" w:eastAsia="Times New Roman" w:hAnsi="Times New Roman"/>
          <w:sz w:val="17"/>
          <w:szCs w:val="17"/>
          <w:color w:val="auto"/>
        </w:rPr>
        <w:t>As of June 30, 2022, we had $58,729 available in cash and cash equivalents. Our cash and cash equivalents are held in accounts managed by third party financial institutions and consist of invested cash and cash in our operating accounts. During 2022 and 2021, we experienced no loss or lack of access to our cash or cash equivalents; however, there can be no assurance that access to our cash and cash equivalents will not be impacted by adverse conditions in the financial markets.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39" w:name="page40"/>
    <w:bookmarkEnd w:id="39"/>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As of June 30, 2022, we had $6,417,240 face value of debt, resulting in a debt to total enterprise value ratio of 20.9%. As of June 30, 2022, the ratio of total fixed-rate debt and other instruments to total debt was 74.8% ($4,802,885 total fixed-rate debt including $1,878,296 on which we have interest rate swaps that have been included as fixed-rate debt). The weighted average interest rate of the total of fixed- and variable-rate debt at June 30, 2022 was 3.1%. Certain of our real estate assets are pledged as collateral for our debt. We are subject to certain restrictive covenants relating to our outstanding debt. We were in compliance with all financial covenants at June 30, 2022.</w:t>
      </w:r>
    </w:p>
    <w:p>
      <w:pPr>
        <w:spacing w:after="0" w:line="198" w:lineRule="exact"/>
        <w:rPr>
          <w:sz w:val="20"/>
          <w:szCs w:val="20"/>
          <w:color w:val="auto"/>
        </w:rPr>
      </w:pPr>
    </w:p>
    <w:p>
      <w:pPr>
        <w:ind w:right="420" w:firstLine="433"/>
        <w:spacing w:after="0" w:line="270" w:lineRule="auto"/>
        <w:rPr>
          <w:sz w:val="20"/>
          <w:szCs w:val="20"/>
          <w:color w:val="auto"/>
        </w:rPr>
      </w:pPr>
      <w:r>
        <w:rPr>
          <w:rFonts w:ascii="Times New Roman" w:cs="Times New Roman" w:eastAsia="Times New Roman" w:hAnsi="Times New Roman"/>
          <w:sz w:val="17"/>
          <w:szCs w:val="17"/>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 and growth assumptions.</w:t>
      </w:r>
    </w:p>
    <w:p>
      <w:pPr>
        <w:spacing w:after="0" w:line="183" w:lineRule="exact"/>
        <w:rPr>
          <w:sz w:val="20"/>
          <w:szCs w:val="20"/>
          <w:color w:val="auto"/>
        </w:rPr>
      </w:pPr>
    </w:p>
    <w:p>
      <w:pPr>
        <w:ind w:right="120" w:firstLine="433"/>
        <w:spacing w:after="0" w:line="254" w:lineRule="auto"/>
        <w:rPr>
          <w:sz w:val="20"/>
          <w:szCs w:val="20"/>
          <w:color w:val="auto"/>
        </w:rPr>
      </w:pPr>
      <w:r>
        <w:rPr>
          <w:rFonts w:ascii="Times New Roman" w:cs="Times New Roman" w:eastAsia="Times New Roman" w:hAnsi="Times New Roman"/>
          <w:sz w:val="17"/>
          <w:szCs w:val="17"/>
          <w:color w:val="auto"/>
        </w:rPr>
        <w:t>We currently hold a BBB/Stable rating from S&amp;P and a Baa2 rating from Moody's Investors Service. We intend to manage our balance sheet to maintain these ratings. Certain of our real estate assets are pledged as collateral for our debt. As of June 30, 2022, we had a total of 782 unencumbered stores as defined by our public bonds. Our unencumbered asset value was calculated as $15,523,803 and our total asset value was calculated as $20,406,054 according to the calculations as defined by our public bonds.</w:t>
      </w:r>
    </w:p>
    <w:p>
      <w:pPr>
        <w:spacing w:after="0" w:line="208" w:lineRule="exact"/>
        <w:rPr>
          <w:sz w:val="20"/>
          <w:szCs w:val="20"/>
          <w:color w:val="auto"/>
        </w:rPr>
      </w:pPr>
    </w:p>
    <w:p>
      <w:pPr>
        <w:ind w:firstLine="433"/>
        <w:spacing w:after="0" w:line="252" w:lineRule="auto"/>
        <w:rPr>
          <w:sz w:val="20"/>
          <w:szCs w:val="20"/>
          <w:color w:val="auto"/>
        </w:rPr>
      </w:pPr>
      <w:r>
        <w:rPr>
          <w:rFonts w:ascii="Times New Roman" w:cs="Times New Roman" w:eastAsia="Times New Roman" w:hAnsi="Times New Roman"/>
          <w:sz w:val="17"/>
          <w:szCs w:val="17"/>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11" w:lineRule="exact"/>
        <w:rPr>
          <w:sz w:val="20"/>
          <w:szCs w:val="20"/>
          <w:color w:val="auto"/>
        </w:rPr>
      </w:pPr>
    </w:p>
    <w:p>
      <w:pPr>
        <w:ind w:right="80" w:firstLine="433"/>
        <w:spacing w:after="0" w:line="261" w:lineRule="auto"/>
        <w:rPr>
          <w:sz w:val="20"/>
          <w:szCs w:val="20"/>
          <w:color w:val="auto"/>
        </w:rPr>
      </w:pPr>
      <w:r>
        <w:rPr>
          <w:rFonts w:ascii="Times New Roman" w:cs="Times New Roman" w:eastAsia="Times New Roman" w:hAnsi="Times New Roman"/>
          <w:sz w:val="17"/>
          <w:szCs w:val="17"/>
          <w:color w:val="auto"/>
        </w:rPr>
        <w:t>The COVID-19 pandemic has had negative impacts on capital markets and may continue to do so in the future. Based upon the current availability of our credit facility and our credit rating, we do not expect such capital market dislocations to have a material impact upon our ability to satisfy obligations and maturities or our growth plans during the year. However, we continue to monitor the potential impact of these trends on our future plans.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52"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52" w:lineRule="exact"/>
        <w:rPr>
          <w:sz w:val="20"/>
          <w:szCs w:val="20"/>
          <w:color w:val="auto"/>
        </w:rPr>
      </w:pPr>
    </w:p>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18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121" w:lineRule="exact"/>
        <w:rPr>
          <w:sz w:val="20"/>
          <w:szCs w:val="20"/>
          <w:color w:val="auto"/>
        </w:rPr>
      </w:pPr>
    </w:p>
    <w:p>
      <w:pPr>
        <w:ind w:right="220" w:firstLine="433"/>
        <w:spacing w:after="0" w:line="297" w:lineRule="auto"/>
        <w:rPr>
          <w:sz w:val="20"/>
          <w:szCs w:val="20"/>
          <w:color w:val="auto"/>
        </w:rPr>
      </w:pPr>
      <w:r>
        <w:rPr>
          <w:rFonts w:ascii="Times New Roman" w:cs="Times New Roman" w:eastAsia="Times New Roman" w:hAnsi="Times New Roman"/>
          <w:sz w:val="17"/>
          <w:szCs w:val="17"/>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40" w:name="page41"/>
    <w:bookmarkEnd w:id="40"/>
    <w:p>
      <w:pPr>
        <w:ind w:right="20" w:firstLine="433"/>
        <w:spacing w:after="0" w:line="297" w:lineRule="auto"/>
        <w:rPr>
          <w:sz w:val="20"/>
          <w:szCs w:val="20"/>
          <w:color w:val="auto"/>
        </w:rPr>
      </w:pPr>
      <w:r>
        <w:rPr>
          <w:rFonts w:ascii="Times New Roman" w:cs="Times New Roman" w:eastAsia="Times New Roman" w:hAnsi="Times New Roman"/>
          <w:sz w:val="17"/>
          <w:szCs w:val="17"/>
          <w:color w:val="auto"/>
        </w:rPr>
        <w:t>Interest rate risk is highly sensitive to many factors, including governmental monetary and tax policies, domestic and international economic and political considerations and other factors beyond our control.</w:t>
      </w:r>
    </w:p>
    <w:p>
      <w:pPr>
        <w:spacing w:after="0" w:line="41" w:lineRule="exact"/>
        <w:rPr>
          <w:sz w:val="20"/>
          <w:szCs w:val="20"/>
          <w:color w:val="auto"/>
        </w:rPr>
      </w:pPr>
    </w:p>
    <w:p>
      <w:pPr>
        <w:ind w:right="40" w:firstLine="433"/>
        <w:spacing w:after="0" w:line="277" w:lineRule="auto"/>
        <w:rPr>
          <w:sz w:val="20"/>
          <w:szCs w:val="20"/>
          <w:color w:val="auto"/>
        </w:rPr>
      </w:pPr>
      <w:r>
        <w:rPr>
          <w:rFonts w:ascii="Times New Roman" w:cs="Times New Roman" w:eastAsia="Times New Roman" w:hAnsi="Times New Roman"/>
          <w:sz w:val="17"/>
          <w:szCs w:val="17"/>
          <w:color w:val="auto"/>
        </w:rPr>
        <w:t>As of June 30, 2022, we had approximately $6.4 billion in total face value of debt, of which approximately $1.6 billion was subject to variable interest rates (excluding debt with interest rate swaps). If LIBOR or SOFR were to increase or decrease by 100 basis points, the increase or decrease in interest expense on the variable-rate debt would increase or decrease future earnings and cash flows by approximately $16.2 million annually.</w:t>
      </w:r>
    </w:p>
    <w:p>
      <w:pPr>
        <w:spacing w:after="0" w:line="57"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50" w:lineRule="exact"/>
        <w:rPr>
          <w:sz w:val="20"/>
          <w:szCs w:val="20"/>
          <w:color w:val="auto"/>
        </w:rPr>
      </w:pPr>
    </w:p>
    <w:p>
      <w:pPr>
        <w:ind w:left="620" w:hanging="615"/>
        <w:spacing w:after="0"/>
        <w:tabs>
          <w:tab w:leader="none" w:pos="6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Disclosure Controls and Procedures</w:t>
      </w:r>
    </w:p>
    <w:p>
      <w:pPr>
        <w:spacing w:after="0" w:line="252" w:lineRule="exact"/>
        <w:rPr>
          <w:sz w:val="20"/>
          <w:szCs w:val="20"/>
          <w:color w:val="auto"/>
        </w:rPr>
      </w:pPr>
    </w:p>
    <w:p>
      <w:pPr>
        <w:ind w:right="120" w:firstLine="433"/>
        <w:spacing w:after="0" w:line="263" w:lineRule="auto"/>
        <w:rPr>
          <w:sz w:val="20"/>
          <w:szCs w:val="20"/>
          <w:color w:val="auto"/>
        </w:rPr>
      </w:pPr>
      <w:r>
        <w:rPr>
          <w:rFonts w:ascii="Times New Roman" w:cs="Times New Roman" w:eastAsia="Times New Roman" w:hAnsi="Times New Roman"/>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1"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72" w:lineRule="exact"/>
        <w:rPr>
          <w:sz w:val="20"/>
          <w:szCs w:val="20"/>
          <w:color w:val="auto"/>
        </w:rPr>
      </w:pPr>
    </w:p>
    <w:p>
      <w:pPr>
        <w:jc w:val="both"/>
        <w:ind w:right="40" w:firstLine="433"/>
        <w:spacing w:after="0" w:line="270" w:lineRule="auto"/>
        <w:rPr>
          <w:sz w:val="20"/>
          <w:szCs w:val="20"/>
          <w:color w:val="auto"/>
        </w:rPr>
      </w:pPr>
      <w:r>
        <w:rPr>
          <w:rFonts w:ascii="Times New Roman" w:cs="Times New Roman" w:eastAsia="Times New Roman" w:hAnsi="Times New Roman"/>
          <w:sz w:val="17"/>
          <w:szCs w:val="17"/>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94" w:lineRule="exact"/>
        <w:rPr>
          <w:sz w:val="20"/>
          <w:szCs w:val="20"/>
          <w:color w:val="auto"/>
        </w:rPr>
      </w:pPr>
    </w:p>
    <w:p>
      <w:pPr>
        <w:ind w:left="620" w:hanging="615"/>
        <w:spacing w:after="0"/>
        <w:tabs>
          <w:tab w:leader="none" w:pos="6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2"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80" w:right="379" w:bottom="1440" w:gutter="0" w:footer="0" w:header="0"/>
        </w:sectPr>
      </w:pPr>
    </w:p>
    <w:bookmarkStart w:id="41" w:name="page42"/>
    <w:bookmarkEnd w:id="41"/>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PART II.</w:t>
        <w:tab/>
        <w:t>OTHER INFORMATION</w:t>
      </w:r>
    </w:p>
    <w:p>
      <w:pPr>
        <w:spacing w:after="0" w:line="2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52" w:lineRule="exact"/>
        <w:rPr>
          <w:sz w:val="20"/>
          <w:szCs w:val="20"/>
          <w:color w:val="auto"/>
        </w:rPr>
      </w:pPr>
    </w:p>
    <w:p>
      <w:pPr>
        <w:ind w:right="100" w:firstLine="433"/>
        <w:spacing w:after="0" w:line="264" w:lineRule="auto"/>
        <w:rPr>
          <w:sz w:val="20"/>
          <w:szCs w:val="20"/>
          <w:color w:val="auto"/>
        </w:rPr>
      </w:pPr>
      <w:r>
        <w:rPr>
          <w:rFonts w:ascii="Times New Roman" w:cs="Times New Roman" w:eastAsia="Times New Roman" w:hAnsi="Times New Roman"/>
          <w:sz w:val="17"/>
          <w:szCs w:val="17"/>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52" w:lineRule="exact"/>
        <w:rPr>
          <w:sz w:val="20"/>
          <w:szCs w:val="20"/>
          <w:color w:val="auto"/>
        </w:rPr>
      </w:pPr>
    </w:p>
    <w:p>
      <w:pPr>
        <w:ind w:right="160" w:firstLine="433"/>
        <w:spacing w:after="0" w:line="266" w:lineRule="auto"/>
        <w:rPr>
          <w:sz w:val="20"/>
          <w:szCs w:val="20"/>
          <w:color w:val="auto"/>
        </w:rPr>
      </w:pPr>
      <w:r>
        <w:rPr>
          <w:rFonts w:ascii="Times New Roman" w:cs="Times New Roman" w:eastAsia="Times New Roman" w:hAnsi="Times New Roman"/>
          <w:sz w:val="17"/>
          <w:szCs w:val="17"/>
          <w:color w:val="auto"/>
        </w:rPr>
        <w:t>In addition to the other information set forth in this report, you should carefully consider the factors discussed in “Part I. Item 1A. Risk Factors” in our Annual Report on Form 10-K for the year ended December 31, 2021, which could materially affect our business, financial condition and results of operations. There have been no material changes to the risk factors described in the “Risk Factors” section in our Annual Report on Form 10-K for the year ended December 31, 2021. The risks described in our Annual Report on Form 10-K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52"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On June 1, 2022, we issued a total of 91,743 common Operating Partnership units (“OP Units”) at an average price of $174.40 per share (a total value of $16.0 million) and 240,000 preferred Operating Partnership units (“Series D Units”) at a stated value of $25.00 per unit (a total value of $6.0 million) in connection with the acquisition of Bargold. The OP Units and the Series D Units were issued in a private placement in reliance on Section 4(a)(2) of the Securities Act of 1933, as amended, and the rules and regulations promulgated thereunder.</w:t>
      </w:r>
    </w:p>
    <w:p>
      <w:pPr>
        <w:spacing w:after="0" w:line="196"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The terms of the OP Units and the Series D Units are governed by the Operating Partnership’s Fourth Amended and Restated Agreement of Limited Partnership (the “Partnership Agreement”). The OP Units will be redeemable, at the option of the holders following the expiration of a lock-up period of at least one year from the date of issuance. The redemption obligation may be satisfied, at the Company’s option, in cash or shares of the Company’s common stock. If the Company chooses to satisfy its redemption obligation with respect to the OP Units in its common stock, each OP Unit would receive one share of common stock, subject to adjustment pursuant to the Partnership Agreement. The Series D Units will be redeemable at the option of the holders on the first anniversary of the date of issuance, which redemption obligation may be satisfied, at the Company’s option, in cash or common stock. If the Company chooses to satisfy its redemption obligation with respect to the Series D Units in common stock, each Series D Unit would receive a number of shares of common stock equal to $25.00 divided by the value of the common stock, calculated pursuant to the Partnership Agreement.</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42" w:name="page43"/>
    <w:bookmarkEnd w:id="42"/>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397" w:lineRule="exact"/>
        <w:rPr>
          <w:sz w:val="20"/>
          <w:szCs w:val="20"/>
          <w:color w:val="auto"/>
        </w:rPr>
      </w:pPr>
    </w:p>
    <w:p>
      <w:pPr>
        <w:ind w:left="160"/>
        <w:spacing w:after="0"/>
        <w:tabs>
          <w:tab w:leader="none" w:pos="620" w:val="left"/>
        </w:tabs>
        <w:rPr>
          <w:sz w:val="20"/>
          <w:szCs w:val="20"/>
          <w:color w:val="auto"/>
        </w:rPr>
      </w:pP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7"/>
          <w:szCs w:val="17"/>
          <w:u w:val="single" w:color="auto"/>
          <w:color w:val="0000FF"/>
        </w:rPr>
        <w:t>Issuer and Guarantors of Guaranteed Securities</w:t>
      </w:r>
    </w:p>
    <w:p>
      <w:pPr>
        <w:spacing w:after="0" w:line="172" w:lineRule="exact"/>
        <w:rPr>
          <w:sz w:val="20"/>
          <w:szCs w:val="20"/>
          <w:color w:val="auto"/>
        </w:rPr>
      </w:pPr>
    </w:p>
    <w:p>
      <w:pPr>
        <w:ind w:left="160"/>
        <w:spacing w:after="0"/>
        <w:tabs>
          <w:tab w:leader="none" w:pos="66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Section 302 of the Sarbanes-Oxley Act of 2002.</w:t>
      </w:r>
    </w:p>
    <w:p>
      <w:pPr>
        <w:spacing w:after="0" w:line="172" w:lineRule="exact"/>
        <w:rPr>
          <w:sz w:val="20"/>
          <w:szCs w:val="20"/>
          <w:color w:val="auto"/>
        </w:rPr>
      </w:pPr>
    </w:p>
    <w:p>
      <w:pPr>
        <w:ind w:left="160"/>
        <w:spacing w:after="0"/>
        <w:tabs>
          <w:tab w:leader="none" w:pos="66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Section 302 of the Sarbanes-Oxley Act of 2002.</w:t>
      </w:r>
    </w:p>
    <w:p>
      <w:pPr>
        <w:spacing w:after="0" w:line="172" w:lineRule="exact"/>
        <w:rPr>
          <w:sz w:val="20"/>
          <w:szCs w:val="20"/>
          <w:color w:val="auto"/>
        </w:rPr>
      </w:pPr>
    </w:p>
    <w:p>
      <w:pPr>
        <w:ind w:left="680" w:right="100" w:hanging="550"/>
        <w:spacing w:after="0" w:line="297" w:lineRule="auto"/>
        <w:tabs>
          <w:tab w:leader="none" w:pos="660" w:val="left"/>
        </w:tabs>
        <w:rPr>
          <w:sz w:val="20"/>
          <w:szCs w:val="20"/>
          <w:color w:val="auto"/>
        </w:rPr>
      </w:pPr>
      <w:r>
        <w:rPr>
          <w:rFonts w:ascii="Times New Roman" w:cs="Times New Roman" w:eastAsia="Times New Roman" w:hAnsi="Times New Roman"/>
          <w:sz w:val="17"/>
          <w:szCs w:val="17"/>
          <w:color w:val="auto"/>
        </w:rPr>
        <w:t>32.1</w:t>
      </w:r>
      <w:r>
        <w:rPr>
          <w:sz w:val="20"/>
          <w:szCs w:val="20"/>
          <w:color w:val="auto"/>
        </w:rPr>
        <w:tab/>
      </w:r>
      <w:r>
        <w:rPr>
          <w:rFonts w:ascii="Times New Roman" w:cs="Times New Roman" w:eastAsia="Times New Roman" w:hAnsi="Times New Roman"/>
          <w:sz w:val="17"/>
          <w:szCs w:val="17"/>
          <w:u w:val="single" w:color="auto"/>
          <w:color w:val="0000FF"/>
        </w:rPr>
        <w:t>Certifications of the Chief Executive Officer and Chief Financial Officer pursuant to 18 U.S.C. Section 1350, as adopted pursuant to Section 906 of the Sarbanes-Oxley Act of 2002.</w:t>
      </w:r>
    </w:p>
    <w:p>
      <w:pPr>
        <w:spacing w:after="0" w:line="93" w:lineRule="exact"/>
        <w:rPr>
          <w:sz w:val="20"/>
          <w:szCs w:val="20"/>
          <w:color w:val="auto"/>
        </w:rPr>
      </w:pPr>
    </w:p>
    <w:p>
      <w:pPr>
        <w:ind w:left="720" w:hanging="558"/>
        <w:spacing w:after="0" w:line="270" w:lineRule="auto"/>
        <w:tabs>
          <w:tab w:leader="none" w:pos="64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Extra Space Storage Inc.’s Quarterly Report on Form 10-Q for the quarter ended June 30, 2022,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17" w:lineRule="exact"/>
        <w:rPr>
          <w:sz w:val="20"/>
          <w:szCs w:val="20"/>
          <w:color w:val="auto"/>
        </w:rPr>
      </w:pPr>
    </w:p>
    <w:p>
      <w:pPr>
        <w:ind w:left="640" w:hanging="438"/>
        <w:spacing w:after="0"/>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48"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378" w:right="47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right="120" w:firstLine="433"/>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INC.</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Registrant</w:t>
            </w:r>
          </w:p>
        </w:tc>
      </w:tr>
      <w:tr>
        <w:trPr>
          <w:trHeight w:val="485"/>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Date: August 5, 2022</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09"/>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178"/>
        </w:trPr>
        <w:tc>
          <w:tcPr>
            <w:tcW w:w="6300" w:type="dxa"/>
            <w:vAlign w:val="bottom"/>
          </w:tcPr>
          <w:p>
            <w:pPr>
              <w:spacing w:after="0"/>
              <w:rPr>
                <w:sz w:val="15"/>
                <w:szCs w:val="15"/>
                <w:color w:val="auto"/>
              </w:rPr>
            </w:pPr>
          </w:p>
        </w:tc>
        <w:tc>
          <w:tcPr>
            <w:tcW w:w="480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91"/>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Date: August 5, 2022</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09"/>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3"/>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180"/>
          </w:cols>
          <w:pgMar w:left="320" w:top="1378" w:right="3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and Guarantors of Guaranteed Securities</w:t>
      </w:r>
    </w:p>
    <w:p>
      <w:pPr>
        <w:spacing w:after="0" w:line="200" w:lineRule="exact"/>
        <w:rPr>
          <w:sz w:val="20"/>
          <w:szCs w:val="20"/>
          <w:color w:val="auto"/>
        </w:rPr>
      </w:pPr>
    </w:p>
    <w:p>
      <w:pPr>
        <w:spacing w:after="0" w:line="262"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17"/>
          <w:szCs w:val="17"/>
          <w:color w:val="auto"/>
        </w:rPr>
        <w:t>The following entities are included in the Obligated Group, as defined in the Quarterly Report on Form 10-Q of Extra Space Storage Inc. to which this document is being filed as an exhibit, for the 3.900% Senior Notes due 2029, the 2.550% Senior Notes due 2031 and the 2.350% Senior Notes due 2032 (collectively, the "Notes"). The guarantors have fully and unconditionally guaranteed the Notes on a joint and several basis.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Issuer or Guarantor</w:t>
            </w:r>
          </w:p>
        </w:tc>
        <w:tc>
          <w:tcPr>
            <w:tcW w:w="34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Reported as Issuer or Guarantor</w:t>
            </w:r>
          </w:p>
        </w:tc>
        <w:tc>
          <w:tcPr>
            <w:tcW w:w="29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State of Incorporation or Organization</w:t>
            </w:r>
          </w:p>
        </w:tc>
      </w:tr>
      <w:tr>
        <w:trPr>
          <w:trHeight w:val="24"/>
        </w:trPr>
        <w:tc>
          <w:tcPr>
            <w:tcW w:w="3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LP</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Issuer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Inc.</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Parent Guarantor</w:t>
            </w:r>
          </w:p>
        </w:tc>
        <w:tc>
          <w:tcPr>
            <w:tcW w:w="29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Maryland</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 Holdings Business Trust I</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Subsidiary Guarantor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Massachusetts</w:t>
            </w: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 Holdings Business Trust II</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Subsidiary Guarantor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Massachusetts</w:t>
            </w:r>
          </w:p>
        </w:tc>
      </w:tr>
    </w:tbl>
    <w:p>
      <w:pPr>
        <w:sectPr>
          <w:pgSz w:w="11900" w:h="16838" w:orient="portrait"/>
          <w:cols w:equalWidth="0" w:num="1">
            <w:col w:w="11240"/>
          </w:cols>
          <w:pgMar w:left="320" w:top="86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Joseph D. Margolis, certify that:</w:t>
      </w:r>
    </w:p>
    <w:p>
      <w:pPr>
        <w:spacing w:after="0" w:line="224" w:lineRule="exact"/>
        <w:rPr>
          <w:sz w:val="20"/>
          <w:szCs w:val="20"/>
          <w:color w:val="auto"/>
        </w:rPr>
      </w:pPr>
    </w:p>
    <w:p>
      <w:pPr>
        <w:ind w:left="640" w:hanging="635"/>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Extra Space Storage Inc.;</w:t>
      </w:r>
    </w:p>
    <w:p>
      <w:pPr>
        <w:spacing w:after="0" w:line="224" w:lineRule="exact"/>
        <w:rPr>
          <w:rFonts w:ascii="Times New Roman" w:cs="Times New Roman" w:eastAsia="Times New Roman" w:hAnsi="Times New Roman"/>
          <w:sz w:val="17"/>
          <w:szCs w:val="17"/>
          <w:color w:val="auto"/>
        </w:rPr>
      </w:pPr>
    </w:p>
    <w:p>
      <w:pPr>
        <w:jc w:val="both"/>
        <w:ind w:left="640" w:right="440" w:hanging="635"/>
        <w:spacing w:after="0" w:line="277" w:lineRule="auto"/>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7"/>
          <w:szCs w:val="17"/>
          <w:color w:val="auto"/>
        </w:rPr>
      </w:pPr>
    </w:p>
    <w:p>
      <w:pPr>
        <w:ind w:left="640" w:right="400" w:hanging="635"/>
        <w:spacing w:after="0" w:line="297" w:lineRule="auto"/>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ind w:left="640" w:right="20" w:hanging="635"/>
        <w:spacing w:after="0" w:line="277" w:lineRule="auto"/>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1260" w:right="100" w:hanging="626"/>
        <w:spacing w:after="0" w:line="277" w:lineRule="auto"/>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260" w:right="360" w:hanging="626"/>
        <w:spacing w:after="0" w:line="277" w:lineRule="auto"/>
        <w:tabs>
          <w:tab w:leader="none" w:pos="12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ind w:left="1260" w:right="100" w:hanging="626"/>
        <w:spacing w:after="0" w:line="277" w:lineRule="auto"/>
        <w:tabs>
          <w:tab w:leader="none" w:pos="12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640" w:right="320" w:hanging="635"/>
        <w:spacing w:after="0" w:line="297" w:lineRule="auto"/>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right="20" w:hanging="626"/>
        <w:spacing w:after="0" w:line="297" w:lineRule="auto"/>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1260" w:right="520" w:hanging="626"/>
        <w:spacing w:after="0" w:line="281" w:lineRule="auto"/>
        <w:tabs>
          <w:tab w:leader="none" w:pos="12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28"/>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Date: August 5, 2022</w:t>
            </w:r>
          </w:p>
        </w:tc>
        <w:tc>
          <w:tcPr>
            <w:tcW w:w="21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11"/>
        </w:trPr>
        <w:tc>
          <w:tcPr>
            <w:tcW w:w="2980" w:type="dxa"/>
            <w:vAlign w:val="bottom"/>
          </w:tcPr>
          <w:p>
            <w:pPr>
              <w:spacing w:after="0"/>
              <w:rPr>
                <w:sz w:val="18"/>
                <w:szCs w:val="18"/>
                <w:color w:val="auto"/>
              </w:rPr>
            </w:pPr>
          </w:p>
        </w:tc>
        <w:tc>
          <w:tcPr>
            <w:tcW w:w="21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228"/>
        </w:trPr>
        <w:tc>
          <w:tcPr>
            <w:tcW w:w="2980" w:type="dxa"/>
            <w:vAlign w:val="bottom"/>
          </w:tcPr>
          <w:p>
            <w:pPr>
              <w:spacing w:after="0"/>
              <w:rPr>
                <w:sz w:val="19"/>
                <w:szCs w:val="19"/>
                <w:color w:val="auto"/>
              </w:rPr>
            </w:pPr>
          </w:p>
        </w:tc>
        <w:tc>
          <w:tcPr>
            <w:tcW w:w="21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6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 Scott Stubbs, certify that:</w:t>
      </w:r>
    </w:p>
    <w:p>
      <w:pPr>
        <w:spacing w:after="0" w:line="224" w:lineRule="exact"/>
        <w:rPr>
          <w:sz w:val="20"/>
          <w:szCs w:val="20"/>
          <w:color w:val="auto"/>
        </w:rPr>
      </w:pPr>
    </w:p>
    <w:p>
      <w:pPr>
        <w:ind w:left="640" w:hanging="635"/>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Extra Space Storage Inc.;</w:t>
      </w:r>
    </w:p>
    <w:p>
      <w:pPr>
        <w:spacing w:after="0" w:line="224" w:lineRule="exact"/>
        <w:rPr>
          <w:rFonts w:ascii="Times New Roman" w:cs="Times New Roman" w:eastAsia="Times New Roman" w:hAnsi="Times New Roman"/>
          <w:sz w:val="17"/>
          <w:szCs w:val="17"/>
          <w:color w:val="auto"/>
        </w:rPr>
      </w:pPr>
    </w:p>
    <w:p>
      <w:pPr>
        <w:jc w:val="both"/>
        <w:ind w:left="640" w:right="440" w:hanging="635"/>
        <w:spacing w:after="0" w:line="277"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7"/>
          <w:szCs w:val="17"/>
          <w:color w:val="auto"/>
        </w:rPr>
      </w:pPr>
    </w:p>
    <w:p>
      <w:pPr>
        <w:ind w:left="640" w:right="400" w:hanging="635"/>
        <w:spacing w:after="0" w:line="297"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ind w:left="640" w:right="20" w:hanging="635"/>
        <w:spacing w:after="0" w:line="277"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1260" w:right="100" w:hanging="626"/>
        <w:spacing w:after="0" w:line="277" w:lineRule="auto"/>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260" w:right="360" w:hanging="626"/>
        <w:spacing w:after="0" w:line="277" w:lineRule="auto"/>
        <w:tabs>
          <w:tab w:leader="none" w:pos="12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ind w:left="1260" w:right="100" w:hanging="626"/>
        <w:spacing w:after="0" w:line="277" w:lineRule="auto"/>
        <w:tabs>
          <w:tab w:leader="none" w:pos="12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640" w:right="320" w:hanging="635"/>
        <w:spacing w:after="0" w:line="297"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right="20" w:hanging="626"/>
        <w:spacing w:after="0" w:line="297" w:lineRule="auto"/>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1260" w:right="520" w:hanging="626"/>
        <w:spacing w:after="0" w:line="281" w:lineRule="auto"/>
        <w:tabs>
          <w:tab w:leader="none" w:pos="12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28"/>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Date: August 5, 2022</w:t>
            </w:r>
          </w:p>
        </w:tc>
        <w:tc>
          <w:tcPr>
            <w:tcW w:w="21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11"/>
        </w:trPr>
        <w:tc>
          <w:tcPr>
            <w:tcW w:w="2980" w:type="dxa"/>
            <w:vAlign w:val="bottom"/>
          </w:tcPr>
          <w:p>
            <w:pPr>
              <w:spacing w:after="0"/>
              <w:rPr>
                <w:sz w:val="18"/>
                <w:szCs w:val="18"/>
                <w:color w:val="auto"/>
              </w:rPr>
            </w:pPr>
          </w:p>
        </w:tc>
        <w:tc>
          <w:tcPr>
            <w:tcW w:w="21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8"/>
        </w:trPr>
        <w:tc>
          <w:tcPr>
            <w:tcW w:w="2980" w:type="dxa"/>
            <w:vAlign w:val="bottom"/>
          </w:tcPr>
          <w:p>
            <w:pPr>
              <w:spacing w:after="0"/>
              <w:rPr>
                <w:sz w:val="19"/>
                <w:szCs w:val="19"/>
                <w:color w:val="auto"/>
              </w:rPr>
            </w:pPr>
          </w:p>
        </w:tc>
        <w:tc>
          <w:tcPr>
            <w:tcW w:w="21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ectPr>
          <w:pgSz w:w="11900" w:h="16838" w:orient="portrait"/>
          <w:cols w:equalWidth="0" w:num="1">
            <w:col w:w="11240"/>
          </w:cols>
          <w:pgMar w:left="320" w:top="86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June 30,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 w:lineRule="exact"/>
        <w:rPr>
          <w:sz w:val="20"/>
          <w:szCs w:val="20"/>
          <w:color w:val="auto"/>
        </w:rPr>
      </w:pPr>
    </w:p>
    <w:tbl>
      <w:tblPr>
        <w:tblLayout w:type="fixed"/>
        <w:tblInd w:w="504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11"/>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223"/>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5, 2022</w:t>
            </w:r>
          </w:p>
        </w:tc>
      </w:tr>
    </w:tbl>
    <w:p>
      <w:pPr>
        <w:spacing w:after="0" w:line="28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June 30,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 w:lineRule="exact"/>
        <w:rPr>
          <w:sz w:val="20"/>
          <w:szCs w:val="20"/>
          <w:color w:val="auto"/>
        </w:rPr>
      </w:pPr>
    </w:p>
    <w:tbl>
      <w:tblPr>
        <w:tblLayout w:type="fixed"/>
        <w:tblInd w:w="504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11"/>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3"/>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5, 2022</w:t>
            </w:r>
          </w:p>
        </w:tc>
      </w:tr>
    </w:tbl>
    <w:p>
      <w:pPr>
        <w:spacing w:after="0" w:line="1" w:lineRule="exact"/>
        <w:rPr>
          <w:sz w:val="20"/>
          <w:szCs w:val="20"/>
          <w:color w:val="auto"/>
        </w:rPr>
      </w:pPr>
    </w:p>
    <w:sectPr>
      <w:pgSz w:w="11900" w:h="16838" w:orient="portrait"/>
      <w:cols w:equalWidth="0" w:num="1">
        <w:col w:w="11240"/>
      </w:cols>
      <w:pgMar w:left="320"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1)"/>
      <w:numFmt w:val="lowerRoman"/>
      <w:start w:val="1"/>
    </w:lvl>
  </w:abstractNum>
  <w:abstractNum w:abstractNumId="8">
    <w:nsid w:val="109CF92E"/>
    <w:multiLevelType w:val="hybridMultilevel"/>
    <w:lvl w:ilvl="0">
      <w:lvlJc w:val="left"/>
      <w:lvlText w:val="%1"/>
      <w:numFmt w:val="decimal"/>
      <w:start w:val="1"/>
    </w:lvl>
    <w:lvl w:ilvl="1">
      <w:lvlJc w:val="left"/>
      <w:lvlText w:val="(%2)"/>
      <w:numFmt w:val="decimal"/>
      <w:start w:val="1"/>
    </w:lvl>
  </w:abstractNum>
  <w:abstractNum w:abstractNumId="9">
    <w:nsid w:val="DED7263"/>
    <w:multiLevelType w:val="hybridMultilevel"/>
    <w:lvl w:ilvl="0">
      <w:lvlJc w:val="left"/>
      <w:lvlText w:val="%1."/>
      <w:numFmt w:val="decimal"/>
      <w:start w:val="11"/>
    </w:lvl>
    <w:lvl w:ilvl="1">
      <w:lvlJc w:val="left"/>
      <w:lvlText w:val="%2"/>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1"/>
      <w:numFmt w:val="decimal"/>
      <w:start w:val="101"/>
    </w:lvl>
  </w:abstractNum>
  <w:abstractNum w:abstractNumId="15">
    <w:nsid w:val="25E45D32"/>
    <w:multiLevelType w:val="hybridMultilevel"/>
    <w:lvl w:ilvl="0">
      <w:lvlJc w:val="left"/>
      <w:lvlText w:val="%1"/>
      <w:numFmt w:val="decimal"/>
      <w:start w:val="104"/>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2022-08-05T15:39:01Z</dcterms:created>
  <dcterms:modified xsi:type="dcterms:W3CDTF">2022-08-05T15:39:01Z</dcterms:modified>
</cp:coreProperties>
</file>