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Dickens Zachary T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10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2795 EAST COTTONWOOD PARKWAY SUITE 300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Extra Space Storage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EXR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07/01/2025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5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EVP, Chief Investment Officer</w:t>
      </w:r>
    </w:p>
    <w:p>
      <w:pPr>
        <w:spacing w:after="0" w:line="56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60" w:type="dxa"/>
            <w:vAlign w:val="bottom"/>
            <w:gridSpan w:val="9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SALT LAKE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UT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84121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CITY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150.5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26,667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28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withheld by the Issuer in payment of the tax liability arising in connection with the settlement of vested restricted stock awards. Restricted stock awards vest 25% annually over four years, beginning on the first anniversary of the grant date.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2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Grace Kunde, Attorney-in- 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07/03/2025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195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95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799962" TargetMode="External"/><Relationship Id="rId14" Type="http://schemas.openxmlformats.org/officeDocument/2006/relationships/hyperlink" Target="http://www.sec.gov/cgi-bin/browse-edgar?action=getcompany&amp;CIK=00012894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2025-07-03T15:44:37Z</dcterms:created>
  <dcterms:modified xsi:type="dcterms:W3CDTF">2025-07-03T15:44:37Z</dcterms:modified>
</cp:coreProperties>
</file>