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1205230</wp:posOffset>
            </wp:positionH>
            <wp:positionV relativeFrom="paragraph">
              <wp:posOffset>51435</wp:posOffset>
            </wp:positionV>
            <wp:extent cx="4740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3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1205230</wp:posOffset>
            </wp:positionH>
            <wp:positionV relativeFrom="paragraph">
              <wp:posOffset>45085</wp:posOffset>
            </wp:positionV>
            <wp:extent cx="4740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October 27, 2026</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1205230</wp:posOffset>
            </wp:positionH>
            <wp:positionV relativeFrom="paragraph">
              <wp:posOffset>201295</wp:posOffset>
            </wp:positionV>
            <wp:extent cx="4740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90170</wp:posOffset>
            </wp:positionV>
            <wp:extent cx="4740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76" w:lineRule="exact"/>
        <w:rPr>
          <w:sz w:val="24"/>
          <w:szCs w:val="24"/>
          <w:color w:val="auto"/>
        </w:rPr>
      </w:pPr>
    </w:p>
    <w:tbl>
      <w:tblPr>
        <w:tblLayout w:type="fixed"/>
        <w:tblInd w:w="200" w:type="dxa"/>
        <w:tblCellMar>
          <w:top w:w="0" w:type="dxa"/>
          <w:left w:w="0" w:type="dxa"/>
          <w:bottom w:w="0" w:type="dxa"/>
          <w:right w:w="0" w:type="dxa"/>
        </w:tblCellMar>
      </w:tblPr>
      <w:tr>
        <w:trPr>
          <w:trHeight w:val="238"/>
        </w:trPr>
        <w:tc>
          <w:tcPr>
            <w:tcW w:w="338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3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001-32269</w:t>
            </w:r>
          </w:p>
        </w:tc>
        <w:tc>
          <w:tcPr>
            <w:tcW w:w="312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rPr>
              <w:t>20-1076777</w:t>
            </w:r>
          </w:p>
        </w:tc>
        <w:tc>
          <w:tcPr>
            <w:tcW w:w="0" w:type="dxa"/>
            <w:vAlign w:val="bottom"/>
          </w:tcPr>
          <w:p>
            <w:pPr>
              <w:spacing w:after="0"/>
              <w:rPr>
                <w:sz w:val="1"/>
                <w:szCs w:val="1"/>
                <w:color w:val="auto"/>
              </w:rPr>
            </w:pPr>
          </w:p>
        </w:tc>
      </w:tr>
      <w:tr>
        <w:trPr>
          <w:trHeight w:val="151"/>
        </w:trPr>
        <w:tc>
          <w:tcPr>
            <w:tcW w:w="3380" w:type="dxa"/>
            <w:vAlign w:val="bottom"/>
          </w:tcPr>
          <w:p>
            <w:pPr>
              <w:jc w:val="center"/>
              <w:ind w:right="44"/>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360" w:type="dxa"/>
            <w:vAlign w:val="bottom"/>
          </w:tcPr>
          <w:p>
            <w:pPr>
              <w:ind w:left="160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120" w:type="dxa"/>
            <w:vAlign w:val="bottom"/>
          </w:tcPr>
          <w:p>
            <w:pPr>
              <w:jc w:val="center"/>
              <w:ind w:right="20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36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1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514"/>
        </w:trPr>
        <w:tc>
          <w:tcPr>
            <w:tcW w:w="3380" w:type="dxa"/>
            <w:vAlign w:val="bottom"/>
          </w:tcPr>
          <w:p>
            <w:pPr>
              <w:spacing w:after="0"/>
              <w:rPr>
                <w:sz w:val="24"/>
                <w:szCs w:val="24"/>
                <w:color w:val="auto"/>
              </w:rPr>
            </w:pPr>
          </w:p>
        </w:tc>
        <w:tc>
          <w:tcPr>
            <w:tcW w:w="436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9"/>
              </w:rPr>
              <w:t>2795 East Cottonwood Parkway, Suite 300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18"/>
                <w:szCs w:val="18"/>
                <w:color w:val="auto"/>
              </w:rPr>
            </w:pPr>
          </w:p>
        </w:tc>
        <w:tc>
          <w:tcPr>
            <w:tcW w:w="4360" w:type="dxa"/>
            <w:vAlign w:val="bottom"/>
          </w:tcPr>
          <w:p>
            <w:pPr>
              <w:jc w:val="center"/>
              <w:ind w:right="178"/>
              <w:spacing w:after="0"/>
              <w:rPr>
                <w:sz w:val="20"/>
                <w:szCs w:val="20"/>
                <w:color w:val="auto"/>
              </w:rPr>
            </w:pPr>
            <w:r>
              <w:rPr>
                <w:rFonts w:ascii="Times New Roman" w:cs="Times New Roman" w:eastAsia="Times New Roman" w:hAnsi="Times New Roman"/>
                <w:sz w:val="18"/>
                <w:szCs w:val="18"/>
                <w:b w:val="1"/>
                <w:bCs w:val="1"/>
                <w:color w:val="auto"/>
                <w:w w:val="99"/>
              </w:rPr>
              <w:t>Salt Lake City, Utah 84121</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43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36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9"/>
              </w:rPr>
              <w:t>(801) 365-4600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43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00" w:hanging="647"/>
        <w:spacing w:after="0"/>
        <w:tabs>
          <w:tab w:leader="none" w:pos="7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54"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72"/>
        </w:trPr>
        <w:tc>
          <w:tcPr>
            <w:tcW w:w="38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7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EXR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06"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10800" w:type="dxa"/>
            <w:vAlign w:val="bottom"/>
          </w:tcPr>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0800" w:type="dxa"/>
            <w:vAlign w:val="bottom"/>
          </w:tcPr>
          <w:p>
            <w:pPr>
              <w:spacing w:after="0"/>
              <w:rPr>
                <w:sz w:val="20"/>
                <w:szCs w:val="20"/>
                <w:color w:val="auto"/>
              </w:rPr>
            </w:pPr>
            <w:r>
              <w:rPr>
                <w:rFonts w:ascii="Times New Roman" w:cs="Times New Roman" w:eastAsia="Times New Roman" w:hAnsi="Times New Roman"/>
                <w:sz w:val="17"/>
                <w:szCs w:val="17"/>
                <w:color w:val="auto"/>
              </w:rPr>
              <w:t>or revised financial accounting standards provided pursuant to Section 13(a) of the Exchange Act.</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9" w:right="519" w:bottom="1440" w:gutter="0" w:footer="0" w:header="0"/>
        </w:sectPr>
      </w:pPr>
    </w:p>
    <w:bookmarkStart w:id="1" w:name="page2"/>
    <w:bookmarkEnd w:id="1"/>
    <w:p>
      <w:pPr>
        <w:ind w:left="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October 27, 2026, Extra Space Storage Inc. (the “Company”) issued a press release announcing its financial results for the three and nine months ended September 30, 2026. A copy of the press release is furnished as Exhibit 99.1 to this report and is incorporated by reference herein.</w:t>
      </w:r>
    </w:p>
    <w:p>
      <w:pPr>
        <w:spacing w:after="0" w:line="27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including the exhibit referenced herein, is being furnished and shall not be deemed “filed” for purposes of Section 18 of the Securities Exchange Act of 1934, as amended, or otherwise subject to the liabilities of that section. Such information shall not be incorporated by reference into any filing of Extra Space Storage Inc., whether made before or after the date hereof, regardless of any general incorporation language in such filing.</w:t>
      </w:r>
    </w:p>
    <w:p>
      <w:pPr>
        <w:spacing w:after="0" w:line="33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furnished herewith: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64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56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020" w:type="dxa"/>
            <w:vAlign w:val="bottom"/>
          </w:tcPr>
          <w:p>
            <w:pPr>
              <w:spacing w:after="0"/>
              <w:rPr>
                <w:sz w:val="17"/>
                <w:szCs w:val="17"/>
                <w:color w:val="auto"/>
              </w:rPr>
            </w:pPr>
          </w:p>
        </w:tc>
        <w:tc>
          <w:tcPr>
            <w:tcW w:w="86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October 27, 2026</w:t>
            </w:r>
          </w:p>
        </w:tc>
        <w:tc>
          <w:tcPr>
            <w:tcW w:w="0" w:type="dxa"/>
            <w:vAlign w:val="bottom"/>
          </w:tcPr>
          <w:p>
            <w:pPr>
              <w:spacing w:after="0"/>
              <w:rPr>
                <w:sz w:val="1"/>
                <w:szCs w:val="1"/>
                <w:color w:val="auto"/>
              </w:rPr>
            </w:pPr>
          </w:p>
        </w:tc>
      </w:tr>
      <w:tr>
        <w:trPr>
          <w:trHeight w:val="263"/>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20" w:type="dxa"/>
            <w:vAlign w:val="bottom"/>
          </w:tcPr>
          <w:p>
            <w:pPr>
              <w:spacing w:after="0"/>
              <w:rPr>
                <w:sz w:val="22"/>
                <w:szCs w:val="22"/>
                <w:color w:val="auto"/>
              </w:rPr>
            </w:pPr>
          </w:p>
        </w:tc>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08"/>
        </w:trPr>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306" w:lineRule="exact"/>
        <w:rPr>
          <w:sz w:val="20"/>
          <w:szCs w:val="20"/>
          <w:color w:val="auto"/>
        </w:rPr>
      </w:pPr>
    </w:p>
    <w:p>
      <w:pPr>
        <w:ind w:left="20"/>
        <w:spacing w:after="0"/>
        <w:tabs>
          <w:tab w:leader="none" w:pos="660" w:val="left"/>
          <w:tab w:leader="none" w:pos="3400" w:val="left"/>
          <w:tab w:leader="none" w:pos="3820" w:val="left"/>
        </w:tabs>
        <w:rPr>
          <w:sz w:val="20"/>
          <w:szCs w:val="20"/>
          <w:color w:val="auto"/>
        </w:rPr>
      </w:pPr>
      <w:r>
        <w:rPr>
          <w:rFonts w:ascii="Times New Roman" w:cs="Times New Roman" w:eastAsia="Times New Roman" w:hAnsi="Times New Roman"/>
          <w:sz w:val="18"/>
          <w:szCs w:val="18"/>
          <w:color w:val="auto"/>
        </w:rPr>
        <w:t>Date:</w:t>
        <w:tab/>
        <w:t>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17145</wp:posOffset>
            </wp:positionV>
            <wp:extent cx="4688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30" w:lineRule="exact"/>
        <w:rPr>
          <w:sz w:val="20"/>
          <w:szCs w:val="20"/>
          <w:color w:val="auto"/>
        </w:rPr>
      </w:pPr>
    </w:p>
    <w:p>
      <w:pPr>
        <w:ind w:left="3840"/>
        <w:spacing w:after="0"/>
        <w:tabs>
          <w:tab w:leader="none" w:pos="4560" w:val="left"/>
        </w:tabs>
        <w:rPr>
          <w:sz w:val="20"/>
          <w:szCs w:val="20"/>
          <w:color w:val="auto"/>
        </w:rPr>
      </w:pPr>
      <w:r>
        <w:rPr>
          <w:rFonts w:ascii="Times New Roman" w:cs="Times New Roman" w:eastAsia="Times New Roman" w:hAnsi="Times New Roman"/>
          <w:sz w:val="18"/>
          <w:szCs w:val="18"/>
          <w:color w:val="auto"/>
        </w:rPr>
        <w:t>Name:</w:t>
        <w:tab/>
        <w:t>Jeff Norman</w:t>
      </w:r>
    </w:p>
    <w:p>
      <w:pPr>
        <w:spacing w:after="0" w:line="36" w:lineRule="exact"/>
        <w:rPr>
          <w:sz w:val="20"/>
          <w:szCs w:val="20"/>
          <w:color w:val="auto"/>
        </w:rPr>
      </w:pPr>
    </w:p>
    <w:p>
      <w:pPr>
        <w:ind w:left="3840"/>
        <w:spacing w:after="0"/>
        <w:tabs>
          <w:tab w:leader="none" w:pos="4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6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11430</wp:posOffset>
            </wp:positionV>
            <wp:extent cx="135445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7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 xml:space="preserve">PHONE </w:t>
      </w:r>
      <w:r>
        <w:rPr>
          <w:rFonts w:ascii="Times New Roman" w:cs="Times New Roman" w:eastAsia="Times New Roman" w:hAnsi="Times New Roman"/>
          <w:sz w:val="18"/>
          <w:szCs w:val="18"/>
          <w:color w:val="auto"/>
        </w:rPr>
        <w:t>(801) 365-4600</w:t>
      </w:r>
    </w:p>
    <w:p>
      <w:pPr>
        <w:spacing w:after="0" w:line="4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2795 East Cottonwood Parkway, Suite 300</w:t>
      </w:r>
    </w:p>
    <w:p>
      <w:pPr>
        <w:spacing w:after="0" w:line="6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Salt Lake City, Utah 84121</w:t>
      </w:r>
    </w:p>
    <w:p>
      <w:pPr>
        <w:spacing w:after="0" w:line="6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u w:val="single" w:color="auto"/>
          <w:color w:val="auto"/>
        </w:rPr>
        <w:t>www.extraspace.com</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 IMMEDIATE RELEASE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 Reports 2026 Third Quarter Results</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SALT LAKE CITY, October 27, 2026 — Extra Space Storage Inc. (NYSE: EXR) (the “Company”), a leading owner and operator of self-storage facilities in the United States and a member of the S&amp;P 500 index, announced operating results for the three and nine months ended September 30,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three months ended September 30, 2026:</w:t>
      </w:r>
    </w:p>
    <w:p>
      <w:pPr>
        <w:spacing w:after="0" w:line="135" w:lineRule="exact"/>
        <w:rPr>
          <w:sz w:val="20"/>
          <w:szCs w:val="20"/>
          <w:color w:val="auto"/>
        </w:rPr>
      </w:pPr>
    </w:p>
    <w:p>
      <w:pPr>
        <w:ind w:left="1300" w:right="40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net income attributable to common stockholders of $1.17 per diluted share, representing a 50.0% increase compared to the same period in the prior year, which included a loss from real estate assets sold in 2025.</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funds from operations attributable to common stockholders and unit holders (“FFO”) of $2.12 per diluted share. FFO, excluding adjustments (“Core FFO”), was $2.17 per diluted share, representing a 4.3% increase compared to the same period in the prior year.</w:t>
      </w:r>
    </w:p>
    <w:p>
      <w:pPr>
        <w:spacing w:after="0" w:line="67"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revenue increased by 2.7% and same-store expense decreased by 1.8%, resulting in a same-store net operating income (“NOI”) increase of 4.6% compared to the same period in the prior year.</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ending same-store occupancy of 94.0% as of September 30, 2026, compared to 93.7% as of September 30, 2025.</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leadership transition promoting Noah Springer, President, as next Chief Executive Officer effective January 1, 2027.</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2,390,497 shares of common stock for $327.1 million at an average price of $136.85 per share using its stock repurchase program.</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four operating stores for a total cost of $48.6 million.</w:t>
      </w:r>
    </w:p>
    <w:p>
      <w:pPr>
        <w:spacing w:after="0" w:line="11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a joint venture partner, completed the development of one store for a total cost of approximately $16.6 million, of which the Company invested $15.7 million.</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Originated $19.5 million in mortgage and mezzanine bridge loans.</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78 stores (-1 store net) to the Company's third-party management platform. As of September 30, 2026, the Company managed 1,963 stores for third parties and 408 stores in unconsolidated joint ventures, for a total of 2,371 managed stores.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 quarterly dividend of $1.62 per share.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nine months ended September 30, 2026:</w:t>
      </w:r>
    </w:p>
    <w:p>
      <w:pPr>
        <w:spacing w:after="0" w:line="256" w:lineRule="exact"/>
        <w:rPr>
          <w:sz w:val="20"/>
          <w:szCs w:val="20"/>
          <w:color w:val="auto"/>
        </w:rPr>
      </w:pPr>
    </w:p>
    <w:p>
      <w:pPr>
        <w:ind w:left="1300" w:right="4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net income attributable to common stockholders of $3.56 per diluted share, representing a 10.2% increase compared to the same period in the prior year, which included a loss from real estate assets sold in 2025.</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FFO of $6.16 per diluted share, and Core FFO of $6.37 per diluted share, representing a 3.9% increase compared to the same period in the prior year.</w:t>
      </w:r>
    </w:p>
    <w:p>
      <w:pPr>
        <w:sectPr>
          <w:pgSz w:w="11900" w:h="16838" w:orient="portrait"/>
          <w:cols w:equalWidth="0" w:num="1">
            <w:col w:w="11240"/>
          </w:cols>
          <w:pgMar w:left="320" w:top="1373" w:right="339" w:bottom="1440" w:gutter="0" w:footer="0" w:header="0"/>
        </w:sectPr>
      </w:pPr>
    </w:p>
    <w:bookmarkStart w:id="4" w:name="page5"/>
    <w:bookmarkEnd w:id="4"/>
    <w:p>
      <w:pPr>
        <w:ind w:left="1300" w:right="52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revenue increased by 2.3% and same-store expense increased by 0.1%, resulting in a same-store NOI increase of 3.2% compared to the same period in the prior year.</w:t>
      </w:r>
    </w:p>
    <w:p>
      <w:pPr>
        <w:spacing w:after="0" w:line="53"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2,401,606 shares of common stock for $328.6 million at an average price of $136.81 per share using its stock repurchase program.</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22 operating stores and acquired the ownership interest of our joint venture partner in one consolidated joint venture for a total cost of $151.9 million.</w:t>
      </w:r>
    </w:p>
    <w:p>
      <w:pPr>
        <w:spacing w:after="0" w:line="53"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joint venture partners, completed the development of two stores for a total cost of approximately $31.7 million, of which the Company invested $30.1 million.</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Originated $165.6 million in mortgage and mezzanine bridge loans and sold $30.8 million in mortgage bridge loans.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229 stores (107 stores net) to the Company's third-party management platform.</w:t>
      </w:r>
    </w:p>
    <w:p>
      <w:pPr>
        <w:spacing w:after="0" w:line="3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Joe Margolis, CEO of the Company, stated: “Our platform, portfolio and people continue to outperform, with Core FFO per share growth of 4.3% and accelerating same-store performance. We remain focused on disciplined capital allocation and compounding long-term value per share, including through the opportunistic repurchase of our shares this quarter. Our differentiating capabilities in pricing, customer acquisition and growth continue to drive strong results. Extra Space is entering its leadership transition from a position of strength, and I am confident in the opportunities ahead.”</w:t>
      </w:r>
    </w:p>
    <w:p>
      <w:pPr>
        <w:sectPr>
          <w:pgSz w:w="11900" w:h="16838" w:orient="portrait"/>
          <w:cols w:equalWidth="0" w:num="1">
            <w:col w:w="11200"/>
          </w:cols>
          <w:pgMar w:left="320" w:top="89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FFO Per Share: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(unaudited) outlines the Company’s FFO and Core FFO for the three and nine months ended September 30, 2026 and 2025. The table also provides a reconciliation to GAAP net income attributable to common stockholders and earnings per diluted share for each period presented (amounts shown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0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60" w:type="dxa"/>
            <w:vAlign w:val="bottom"/>
          </w:tcPr>
          <w:p>
            <w:pPr>
              <w:spacing w:after="0"/>
              <w:rPr>
                <w:sz w:val="20"/>
                <w:szCs w:val="20"/>
                <w:color w:val="auto"/>
              </w:rPr>
            </w:pPr>
          </w:p>
        </w:tc>
        <w:tc>
          <w:tcPr>
            <w:tcW w:w="4040" w:type="dxa"/>
            <w:vAlign w:val="bottom"/>
            <w:gridSpan w:val="10"/>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(per share)</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(per share)</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(per share)</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(per share)</w:t>
            </w:r>
            <w:r>
              <w:rPr>
                <w:rFonts w:ascii="Times New Roman" w:cs="Times New Roman" w:eastAsia="Times New Roman" w:hAnsi="Times New Roman"/>
                <w:sz w:val="17"/>
                <w:szCs w:val="17"/>
                <w:color w:val="auto"/>
                <w:vertAlign w:val="superscript"/>
              </w:rPr>
              <w:t>1</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Net income attributable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247,759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752,207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686,604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Impact of the difference in weighted</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center"/>
              <w:ind w:left="200"/>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average number of shares – diluted</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 depreciation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75"/>
        </w:trPr>
        <w:tc>
          <w:tcPr>
            <w:tcW w:w="25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Loss on real estate assets held for</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center"/>
              <w:ind w:left="22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70,231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 and sold, net</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5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Unconsolidated joint venture real</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estate depreciation and amortization</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Impairment loss on unconsolidated</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joint venture interests and (gain) 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sale of unconsolidated joint venture</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ind w:left="220"/>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5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Income allocated to Operating</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Partnership and other noncontrolling</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FFO</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445,144</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1,359,925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1,312,499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152"/>
        </w:trPr>
        <w:tc>
          <w:tcPr>
            <w:tcW w:w="2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5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Non-cash interest expense related to</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discount on</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unsecured senior notes, net</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Amortization of other intangibles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related to the Life Storage Merger,</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ind w:left="2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 benefit</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140"/>
              <w:spacing w:after="0" w:line="232"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CORE FFO</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461,148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1,405,837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center"/>
              <w:ind w:left="220"/>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1,360,034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Weighted average number of shares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diluted</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220,657,536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221,968,328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220,863,419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221,945,990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amounts may not recalculate due to rounding.</w:t>
      </w:r>
    </w:p>
    <w:p>
      <w:pPr>
        <w:spacing w:after="0" w:line="244" w:lineRule="exact"/>
        <w:rPr>
          <w:rFonts w:ascii="Times New Roman" w:cs="Times New Roman" w:eastAsia="Times New Roman" w:hAnsi="Times New Roman"/>
          <w:sz w:val="14"/>
          <w:szCs w:val="14"/>
          <w:color w:val="auto"/>
        </w:rPr>
      </w:pPr>
    </w:p>
    <w:p>
      <w:pPr>
        <w:ind w:left="660" w:right="20" w:hanging="652"/>
        <w:spacing w:after="0" w:line="281"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is to account for the difference between the number of shares used to calculate earnings per share and the number of shares used to calculate FFO per share. Earnings per share is calculated using the two-class method, which uses a lower number of shares than the calculation for FFO per share and Core FFO per share, which are calculated assuming full redemption of all OP units as described in note (3).</w:t>
      </w:r>
    </w:p>
    <w:p>
      <w:pPr>
        <w:spacing w:after="0" w:line="204" w:lineRule="exact"/>
        <w:rPr>
          <w:rFonts w:ascii="Times New Roman" w:cs="Times New Roman" w:eastAsia="Times New Roman" w:hAnsi="Times New Roman"/>
          <w:sz w:val="14"/>
          <w:szCs w:val="14"/>
          <w:color w:val="auto"/>
        </w:rPr>
      </w:pPr>
    </w:p>
    <w:p>
      <w:pPr>
        <w:ind w:left="660" w:right="60" w:hanging="652"/>
        <w:spacing w:after="0" w:line="268"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 Space Storage LP (the “Operating Partnership”) has outstanding preferred and common Operating Partnership units (“OP units”). These OP units can be redeemed for cash or, at the Company’s election, shares of the Company’s common stock. Redemption of all OP units for common stock has been assumed for purposes of calculating the weighted average number of shares — diluted, as presented above. The computation of weighted average number of shares — diluted, for FFO per share and Core FFO per share also includes the effect of share-based compensation plans.</w:t>
      </w:r>
    </w:p>
    <w:p>
      <w:pPr>
        <w:spacing w:after="0" w:line="212"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Core FFO relates to legal settlement costs with New York City.</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Results and Same-Store Performance:</w:t>
      </w:r>
    </w:p>
    <w:p>
      <w:pPr>
        <w:spacing w:after="0" w:line="121"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8"/>
          <w:szCs w:val="18"/>
          <w:color w:val="auto"/>
        </w:rPr>
        <w:t>The following table (unaudited) outlines the Company’s same-store performance for the three and nine months ended September 30, 2026 and 2025 (amounts shown in thousands, except store count data)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20" w:type="dxa"/>
            <w:vAlign w:val="bottom"/>
          </w:tcPr>
          <w:p>
            <w:pPr>
              <w:spacing w:after="0"/>
              <w:rPr>
                <w:sz w:val="17"/>
                <w:szCs w:val="17"/>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8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26"/>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20" w:type="dxa"/>
            <w:vAlign w:val="bottom"/>
          </w:tcPr>
          <w:p>
            <w:pPr>
              <w:spacing w:after="0"/>
              <w:rPr>
                <w:sz w:val="20"/>
                <w:szCs w:val="20"/>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Same-store property revenues</w:t>
            </w:r>
            <w:r>
              <w:rPr>
                <w:rFonts w:ascii="Times New Roman" w:cs="Times New Roman" w:eastAsia="Times New Roman" w:hAnsi="Times New Roman"/>
                <w:sz w:val="22"/>
                <w:szCs w:val="22"/>
                <w:color w:val="auto"/>
                <w:vertAlign w:val="superscript"/>
              </w:rPr>
              <w:t>2</w:t>
            </w: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rental income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675,218</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656,283</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1,993,254</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1,946,595</w:t>
            </w:r>
          </w:p>
        </w:tc>
        <w:tc>
          <w:tcPr>
            <w:tcW w:w="100" w:type="dxa"/>
            <w:vAlign w:val="bottom"/>
          </w:tcPr>
          <w:p>
            <w:pPr>
              <w:spacing w:after="0"/>
              <w:rPr>
                <w:sz w:val="20"/>
                <w:szCs w:val="20"/>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51"/>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26,717</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76,874</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same-store revenues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701,681</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683,000</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2,069,193</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2,023,469</w:t>
            </w:r>
          </w:p>
        </w:tc>
        <w:tc>
          <w:tcPr>
            <w:tcW w:w="100" w:type="dxa"/>
            <w:vAlign w:val="bottom"/>
          </w:tcPr>
          <w:p>
            <w:pPr>
              <w:spacing w:after="0"/>
              <w:rPr>
                <w:sz w:val="19"/>
                <w:szCs w:val="19"/>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78"/>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Same-store operating expenses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Payroll and benefits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125,385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5"/>
        </w:trPr>
        <w:tc>
          <w:tcPr>
            <w:tcW w:w="3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Marketing</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18,159</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49,969</w:t>
            </w:r>
          </w:p>
        </w:tc>
        <w:tc>
          <w:tcPr>
            <w:tcW w:w="100" w:type="dxa"/>
            <w:vAlign w:val="bottom"/>
          </w:tcPr>
          <w:p>
            <w:pPr>
              <w:spacing w:after="0"/>
              <w:rPr>
                <w:sz w:val="20"/>
                <w:szCs w:val="20"/>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51"/>
        </w:trPr>
        <w:tc>
          <w:tcPr>
            <w:tcW w:w="3700" w:type="dxa"/>
            <w:vAlign w:val="bottom"/>
            <w:shd w:val="clear" w:color="auto" w:fill="CCEEFF"/>
          </w:tcPr>
          <w:p>
            <w:pPr>
              <w:ind w:left="140"/>
              <w:spacing w:after="0" w:line="250" w:lineRule="exact"/>
              <w:rPr>
                <w:sz w:val="20"/>
                <w:szCs w:val="20"/>
                <w:color w:val="auto"/>
              </w:rPr>
            </w:pPr>
            <w:r>
              <w:rPr>
                <w:rFonts w:ascii="Times New Roman" w:cs="Times New Roman" w:eastAsia="Times New Roman" w:hAnsi="Times New Roman"/>
                <w:sz w:val="17"/>
                <w:szCs w:val="17"/>
                <w:color w:val="auto"/>
              </w:rPr>
              <w:t>Office expense</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53,624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43"/>
        </w:trPr>
        <w:tc>
          <w:tcPr>
            <w:tcW w:w="3700" w:type="dxa"/>
            <w:vAlign w:val="bottom"/>
          </w:tcPr>
          <w:p>
            <w:pPr>
              <w:ind w:left="140"/>
              <w:spacing w:after="0" w:line="243" w:lineRule="exact"/>
              <w:rPr>
                <w:sz w:val="20"/>
                <w:szCs w:val="20"/>
                <w:color w:val="auto"/>
              </w:rPr>
            </w:pPr>
            <w:r>
              <w:rPr>
                <w:rFonts w:ascii="Times New Roman" w:cs="Times New Roman" w:eastAsia="Times New Roman" w:hAnsi="Times New Roman"/>
                <w:sz w:val="17"/>
                <w:szCs w:val="17"/>
                <w:color w:val="auto"/>
              </w:rPr>
              <w:t>Property operating expense</w:t>
            </w:r>
            <w:r>
              <w:rPr>
                <w:rFonts w:ascii="Times New Roman" w:cs="Times New Roman" w:eastAsia="Times New Roman" w:hAnsi="Times New Roman"/>
                <w:sz w:val="22"/>
                <w:szCs w:val="22"/>
                <w:color w:val="auto"/>
                <w:vertAlign w:val="superscript"/>
              </w:rPr>
              <w:t>4</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22,082</w:t>
            </w: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63,645</w:t>
            </w:r>
          </w:p>
        </w:tc>
        <w:tc>
          <w:tcPr>
            <w:tcW w:w="100" w:type="dxa"/>
            <w:vAlign w:val="bottom"/>
          </w:tcPr>
          <w:p>
            <w:pPr>
              <w:spacing w:after="0"/>
              <w:rPr>
                <w:sz w:val="21"/>
                <w:szCs w:val="21"/>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Repairs and maintenance</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42,933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35"/>
        </w:trPr>
        <w:tc>
          <w:tcPr>
            <w:tcW w:w="3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taxes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77,050</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231,691</w:t>
            </w:r>
          </w:p>
        </w:tc>
        <w:tc>
          <w:tcPr>
            <w:tcW w:w="100" w:type="dxa"/>
            <w:vAlign w:val="bottom"/>
          </w:tcPr>
          <w:p>
            <w:pPr>
              <w:spacing w:after="0"/>
              <w:rPr>
                <w:sz w:val="20"/>
                <w:szCs w:val="20"/>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51"/>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Insurance</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8,921</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(16.5)%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24,979</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same-store operating expenses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197,007</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200,673</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592,773</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592,226</w:t>
            </w:r>
          </w:p>
        </w:tc>
        <w:tc>
          <w:tcPr>
            <w:tcW w:w="100" w:type="dxa"/>
            <w:vAlign w:val="bottom"/>
          </w:tcPr>
          <w:p>
            <w:pPr>
              <w:spacing w:after="0"/>
              <w:rPr>
                <w:sz w:val="19"/>
                <w:szCs w:val="19"/>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78"/>
        </w:trPr>
        <w:tc>
          <w:tcPr>
            <w:tcW w:w="37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line="237" w:lineRule="exact"/>
              <w:rPr>
                <w:sz w:val="20"/>
                <w:szCs w:val="20"/>
                <w:color w:val="auto"/>
              </w:rPr>
            </w:pPr>
            <w:r>
              <w:rPr>
                <w:rFonts w:ascii="Times New Roman" w:cs="Times New Roman" w:eastAsia="Times New Roman" w:hAnsi="Times New Roman"/>
                <w:sz w:val="17"/>
                <w:szCs w:val="17"/>
                <w:color w:val="auto"/>
              </w:rPr>
              <w:t>Same-store net operating income</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504,674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482,327</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4.6%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1,476,420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1,431,243</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Same-store square foot occupancy as of quarter end</w:t>
            </w:r>
          </w:p>
        </w:tc>
        <w:tc>
          <w:tcPr>
            <w:tcW w:w="200" w:type="dxa"/>
            <w:vAlign w:val="bottom"/>
          </w:tcPr>
          <w:p>
            <w:pPr>
              <w:spacing w:after="0"/>
              <w:rPr>
                <w:sz w:val="20"/>
                <w:szCs w:val="20"/>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94.0%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same-store square foot occupancy</w:t>
            </w:r>
          </w:p>
        </w:tc>
        <w:tc>
          <w:tcPr>
            <w:tcW w:w="200" w:type="dxa"/>
            <w:vAlign w:val="bottom"/>
          </w:tcPr>
          <w:p>
            <w:pPr>
              <w:spacing w:after="0"/>
              <w:rPr>
                <w:sz w:val="21"/>
                <w:szCs w:val="21"/>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94.1%</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8"/>
              </w:rPr>
              <w:t>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Properties included in same-store</w:t>
            </w:r>
            <w:r>
              <w:rPr>
                <w:rFonts w:ascii="Times New Roman" w:cs="Times New Roman" w:eastAsia="Times New Roman" w:hAnsi="Times New Roman"/>
                <w:sz w:val="22"/>
                <w:szCs w:val="22"/>
                <w:color w:val="auto"/>
                <w:vertAlign w:val="superscript"/>
              </w:rPr>
              <w:t>5</w:t>
            </w:r>
          </w:p>
        </w:tc>
        <w:tc>
          <w:tcPr>
            <w:tcW w:w="200" w:type="dxa"/>
            <w:vAlign w:val="bottom"/>
          </w:tcPr>
          <w:p>
            <w:pPr>
              <w:spacing w:after="0"/>
              <w:rPr>
                <w:sz w:val="24"/>
                <w:szCs w:val="24"/>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1,869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9"/>
              </w:rPr>
              <w:t>1,869</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1,869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1,869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660" w:right="180" w:hanging="652"/>
        <w:spacing w:after="0" w:line="272"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reconciliation of net income to same-store net operating income is provided later in this release,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Reconciliation of GAAP Net Income to Total Same-Store Net Operating Income.</w:t>
      </w:r>
      <w:r>
        <w:rPr>
          <w:rFonts w:ascii="Times New Roman" w:cs="Times New Roman" w:eastAsia="Times New Roman" w:hAnsi="Times New Roman"/>
          <w:sz w:val="17"/>
          <w:szCs w:val="17"/>
          <w:color w:val="auto"/>
        </w:rPr>
        <w:t>”</w:t>
      </w:r>
    </w:p>
    <w:p>
      <w:pPr>
        <w:ind w:left="640" w:hanging="632"/>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revenues, operating expenses and net operating income do not include tenant reinsurance revenue or expense.</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general office expenses, computer, bank fees, and credit card merchant fees.</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utilities and miscellaneous other store expenses.</w:t>
      </w:r>
    </w:p>
    <w:p>
      <w:pPr>
        <w:spacing w:after="0" w:line="14" w:lineRule="exact"/>
        <w:rPr>
          <w:rFonts w:ascii="Times New Roman" w:cs="Times New Roman" w:eastAsia="Times New Roman" w:hAnsi="Times New Roman"/>
          <w:sz w:val="14"/>
          <w:szCs w:val="14"/>
          <w:color w:val="auto"/>
        </w:rPr>
      </w:pPr>
    </w:p>
    <w:p>
      <w:pPr>
        <w:ind w:left="660" w:right="140" w:hanging="652"/>
        <w:spacing w:after="0" w:line="272"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2026, the Company updated the property count of the same-store pool from 1,804 to 1,871 stores. In the quarter ended March 31, 2026, one property was removed due to a casualty loss, reducing the same-store pool to 1,870 stores. In the quarter ended September 30, 2026, one property was removed due to redevelopment reducing the same-store pool to 1,869 stores.</w:t>
      </w:r>
    </w:p>
    <w:p>
      <w:pPr>
        <w:spacing w:after="0" w:line="200" w:lineRule="exact"/>
        <w:rPr>
          <w:sz w:val="20"/>
          <w:szCs w:val="20"/>
          <w:color w:val="auto"/>
        </w:rPr>
      </w:pPr>
    </w:p>
    <w:p>
      <w:pPr>
        <w:spacing w:after="0" w:line="2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Details related to the same-store performance of stores by metropolitan statistical area (“MSA”) for the three and nine months ended September 30, 2026 and 2025 are provided in the supplemental financial information published on the Company’s Investor Relations website at https://ir.extraspace.com/.</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and Property Management Activity:</w:t>
      </w:r>
    </w:p>
    <w:p>
      <w:pPr>
        <w:spacing w:after="0" w:line="229" w:lineRule="exact"/>
        <w:rPr>
          <w:sz w:val="20"/>
          <w:szCs w:val="20"/>
          <w:color w:val="auto"/>
        </w:rPr>
      </w:pPr>
    </w:p>
    <w:p>
      <w:pPr>
        <w:ind w:right="800"/>
        <w:spacing w:after="0" w:line="276" w:lineRule="auto"/>
        <w:rPr>
          <w:sz w:val="20"/>
          <w:szCs w:val="20"/>
          <w:color w:val="auto"/>
        </w:rPr>
      </w:pPr>
      <w:r>
        <w:rPr>
          <w:rFonts w:ascii="Times New Roman" w:cs="Times New Roman" w:eastAsia="Times New Roman" w:hAnsi="Times New Roman"/>
          <w:sz w:val="18"/>
          <w:szCs w:val="18"/>
          <w:color w:val="auto"/>
        </w:rPr>
        <w:t>The following table (unaudited) outlines the Company’s acquisitions and developments that are closed, completed or under agreement (dollars in thousands).</w:t>
      </w:r>
    </w:p>
    <w:tbl>
      <w:tblPr>
        <w:tblLayout w:type="fixed"/>
        <w:tblInd w:w="10" w:type="dxa"/>
        <w:tblCellMar>
          <w:top w:w="0" w:type="dxa"/>
          <w:left w:w="0" w:type="dxa"/>
          <w:bottom w:w="0" w:type="dxa"/>
          <w:right w:w="0" w:type="dxa"/>
        </w:tblCellMar>
      </w:tblPr>
      <w:tr>
        <w:trPr>
          <w:trHeight w:val="146"/>
        </w:trPr>
        <w:tc>
          <w:tcPr>
            <w:tcW w:w="40" w:type="dxa"/>
            <w:vAlign w:val="bottom"/>
            <w:tcBorders>
              <w:top w:val="single" w:sz="8" w:color="auto"/>
              <w:left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ind w:left="360"/>
              <w:spacing w:after="0" w:line="145" w:lineRule="exact"/>
              <w:rPr>
                <w:sz w:val="20"/>
                <w:szCs w:val="20"/>
                <w:color w:val="auto"/>
              </w:rPr>
            </w:pPr>
            <w:r>
              <w:rPr>
                <w:rFonts w:ascii="Times New Roman" w:cs="Times New Roman" w:eastAsia="Times New Roman" w:hAnsi="Times New Roman"/>
                <w:sz w:val="14"/>
                <w:szCs w:val="14"/>
                <w:b w:val="1"/>
                <w:bCs w:val="1"/>
                <w:color w:val="auto"/>
              </w:rPr>
              <w:t>Closed/Completed through</w:t>
            </w:r>
          </w:p>
        </w:tc>
        <w:tc>
          <w:tcPr>
            <w:tcW w:w="2460" w:type="dxa"/>
            <w:vAlign w:val="bottom"/>
            <w:tcBorders>
              <w:top w:val="single" w:sz="8" w:color="auto"/>
            </w:tcBorders>
            <w:gridSpan w:val="5"/>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Closed /Completed or Scheduled to</w:t>
            </w: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2026</w:t>
            </w:r>
          </w:p>
        </w:tc>
        <w:tc>
          <w:tcPr>
            <w:tcW w:w="8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24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Close/Complete in 2026</w:t>
            </w: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Borders>
              <w:lef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6"/>
                <w:szCs w:val="16"/>
                <w:b w:val="1"/>
                <w:bCs w:val="1"/>
                <w:color w:val="auto"/>
              </w:rPr>
              <w:t>Wholly-Owned Investment</w:t>
            </w:r>
            <w:r>
              <w:rPr>
                <w:rFonts w:ascii="Times New Roman" w:cs="Times New Roman" w:eastAsia="Times New Roman" w:hAnsi="Times New Roman"/>
                <w:sz w:val="20"/>
                <w:szCs w:val="20"/>
                <w:b w:val="1"/>
                <w:bCs w:val="1"/>
                <w:color w:val="auto"/>
                <w:vertAlign w:val="superscript"/>
              </w:rPr>
              <w:t>1</w:t>
            </w:r>
          </w:p>
        </w:tc>
        <w:tc>
          <w:tcPr>
            <w:tcW w:w="13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Borders>
              <w:right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CCEEFF"/>
            </w:tcBorders>
          </w:tcPr>
          <w:p>
            <w:pPr>
              <w:spacing w:after="0"/>
              <w:rPr>
                <w:sz w:val="2"/>
                <w:szCs w:val="2"/>
                <w:color w:val="auto"/>
              </w:rPr>
            </w:pPr>
          </w:p>
        </w:tc>
        <w:tc>
          <w:tcPr>
            <w:tcW w:w="1860" w:type="dxa"/>
            <w:vAlign w:val="bottom"/>
            <w:tcBorders>
              <w:top w:val="single" w:sz="8" w:color="auto"/>
              <w:bottom w:val="single" w:sz="8" w:color="CCEEFF"/>
            </w:tcBorders>
          </w:tcPr>
          <w:p>
            <w:pPr>
              <w:spacing w:after="0"/>
              <w:rPr>
                <w:sz w:val="2"/>
                <w:szCs w:val="2"/>
                <w:color w:val="auto"/>
              </w:rPr>
            </w:pPr>
          </w:p>
        </w:tc>
        <w:tc>
          <w:tcPr>
            <w:tcW w:w="100" w:type="dxa"/>
            <w:vAlign w:val="bottom"/>
            <w:tcBorders>
              <w:top w:val="single" w:sz="8" w:color="auto"/>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Borders>
              <w:left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Stores</w:t>
            </w:r>
          </w:p>
        </w:tc>
        <w:tc>
          <w:tcPr>
            <w:tcW w:w="560" w:type="dxa"/>
            <w:vAlign w:val="bottom"/>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22</w:t>
            </w: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147,787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7"/>
                <w:szCs w:val="17"/>
                <w:color w:val="auto"/>
              </w:rPr>
              <w:t>25</w:t>
            </w:r>
          </w:p>
        </w:tc>
        <w:tc>
          <w:tcPr>
            <w:tcW w:w="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172,567</w:t>
            </w: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7"/>
                <w:szCs w:val="17"/>
                <w:color w:val="auto"/>
              </w:rPr>
              <w:t>Buyout of JV Partners' Interest in Operating</w:t>
            </w:r>
          </w:p>
        </w:tc>
        <w:tc>
          <w:tcPr>
            <w:tcW w:w="560" w:type="dxa"/>
            <w:vAlign w:val="bottom"/>
            <w:vMerge w:val="restart"/>
          </w:tcPr>
          <w:p>
            <w:pPr>
              <w:jc w:val="center"/>
              <w:ind w:left="258"/>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4,080</w:t>
            </w:r>
          </w:p>
        </w:tc>
        <w:tc>
          <w:tcPr>
            <w:tcW w:w="120" w:type="dxa"/>
            <w:vAlign w:val="bottom"/>
          </w:tcPr>
          <w:p>
            <w:pPr>
              <w:spacing w:after="0"/>
              <w:rPr>
                <w:sz w:val="15"/>
                <w:szCs w:val="15"/>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Borders>
              <w:right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4,080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Store</w:t>
            </w:r>
          </w:p>
        </w:tc>
        <w:tc>
          <w:tcPr>
            <w:tcW w:w="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 w:type="dxa"/>
            <w:vAlign w:val="bottom"/>
            <w:tcBorders>
              <w:top w:val="single" w:sz="8" w:color="CCEEFF"/>
              <w:left w:val="single" w:sz="8" w:color="auto"/>
            </w:tcBorders>
            <w:shd w:val="clear" w:color="auto" w:fill="CCEEFF"/>
          </w:tcPr>
          <w:p>
            <w:pPr>
              <w:spacing w:after="0"/>
              <w:rPr>
                <w:sz w:val="13"/>
                <w:szCs w:val="13"/>
                <w:color w:val="auto"/>
              </w:rPr>
            </w:pPr>
          </w:p>
        </w:tc>
        <w:tc>
          <w:tcPr>
            <w:tcW w:w="3260" w:type="dxa"/>
            <w:vAlign w:val="bottom"/>
            <w:tcBorders>
              <w:top w:val="single" w:sz="8" w:color="CCEEFF"/>
            </w:tcBorders>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7"/>
                <w:szCs w:val="17"/>
                <w:b w:val="1"/>
                <w:bCs w:val="1"/>
                <w:color w:val="auto"/>
              </w:rPr>
              <w:t>EXR Investment in Wholly-Owned</w:t>
            </w:r>
          </w:p>
        </w:tc>
        <w:tc>
          <w:tcPr>
            <w:tcW w:w="560" w:type="dxa"/>
            <w:vAlign w:val="bottom"/>
            <w:tcBorders>
              <w:top w:val="single" w:sz="8" w:color="auto"/>
            </w:tcBorders>
            <w:vMerge w:val="restart"/>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151,867</w:t>
            </w: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24,780</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center"/>
              <w:ind w:left="58"/>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right w:val="single" w:sz="8" w:color="auto"/>
            </w:tcBorders>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176,647</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shd w:val="clear" w:color="auto" w:fill="CCEEFF"/>
          </w:tcPr>
          <w:p>
            <w:pPr>
              <w:spacing w:after="0"/>
              <w:rPr>
                <w:sz w:val="19"/>
                <w:szCs w:val="19"/>
                <w:color w:val="auto"/>
              </w:rPr>
            </w:pPr>
          </w:p>
        </w:tc>
        <w:tc>
          <w:tcPr>
            <w:tcW w:w="3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Stores</w:t>
            </w:r>
          </w:p>
        </w:tc>
        <w:tc>
          <w:tcPr>
            <w:tcW w:w="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tcBorders>
            <w:gridSpan w:val="4"/>
            <w:shd w:val="clear" w:color="auto" w:fill="CCEEFF"/>
          </w:tcPr>
          <w:p>
            <w:pPr>
              <w:ind w:left="40"/>
              <w:spacing w:after="0" w:line="189" w:lineRule="exact"/>
              <w:rPr>
                <w:sz w:val="20"/>
                <w:szCs w:val="20"/>
                <w:color w:val="auto"/>
              </w:rPr>
            </w:pPr>
            <w:r>
              <w:rPr>
                <w:rFonts w:ascii="Times New Roman" w:cs="Times New Roman" w:eastAsia="Times New Roman" w:hAnsi="Times New Roman"/>
                <w:sz w:val="16"/>
                <w:szCs w:val="16"/>
                <w:b w:val="1"/>
                <w:bCs w:val="1"/>
                <w:color w:val="auto"/>
              </w:rPr>
              <w:t>Joint Venture Investment</w:t>
            </w:r>
            <w:r>
              <w:rPr>
                <w:rFonts w:ascii="Times New Roman" w:cs="Times New Roman" w:eastAsia="Times New Roman" w:hAnsi="Times New Roman"/>
                <w:sz w:val="21"/>
                <w:szCs w:val="21"/>
                <w:b w:val="1"/>
                <w:bCs w:val="1"/>
                <w:color w:val="auto"/>
                <w:vertAlign w:val="superscript"/>
              </w:rPr>
              <w:t>1</w:t>
            </w: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left w:val="single" w:sz="8" w:color="auto"/>
            </w:tcBorders>
            <w:shd w:val="clear" w:color="auto" w:fill="CCEEFF"/>
          </w:tcPr>
          <w:p>
            <w:pPr>
              <w:spacing w:after="0"/>
              <w:rPr>
                <w:sz w:val="2"/>
                <w:szCs w:val="2"/>
                <w:color w:val="auto"/>
              </w:rPr>
            </w:pPr>
          </w:p>
        </w:tc>
        <w:tc>
          <w:tcPr>
            <w:tcW w:w="18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lef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7"/>
                <w:szCs w:val="17"/>
                <w:color w:val="auto"/>
              </w:rPr>
              <w:t>EXR Investment in JV Acquisition of</w:t>
            </w:r>
          </w:p>
        </w:tc>
        <w:tc>
          <w:tcPr>
            <w:tcW w:w="560" w:type="dxa"/>
            <w:vAlign w:val="bottom"/>
            <w:vMerge w:val="restart"/>
          </w:tcPr>
          <w:p>
            <w:pPr>
              <w:jc w:val="center"/>
              <w:ind w:left="258"/>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138,000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Operating Stores</w:t>
            </w:r>
          </w:p>
        </w:tc>
        <w:tc>
          <w:tcPr>
            <w:tcW w:w="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left="38"/>
              <w:spacing w:after="0"/>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138,000</w:t>
            </w:r>
          </w:p>
        </w:tc>
        <w:tc>
          <w:tcPr>
            <w:tcW w:w="0" w:type="dxa"/>
            <w:vAlign w:val="bottom"/>
          </w:tcPr>
          <w:p>
            <w:pPr>
              <w:spacing w:after="0"/>
              <w:rPr>
                <w:sz w:val="1"/>
                <w:szCs w:val="1"/>
                <w:color w:val="auto"/>
              </w:rPr>
            </w:pPr>
          </w:p>
        </w:tc>
      </w:tr>
      <w:tr>
        <w:trPr>
          <w:trHeight w:val="182"/>
        </w:trPr>
        <w:tc>
          <w:tcPr>
            <w:tcW w:w="3300" w:type="dxa"/>
            <w:vAlign w:val="bottom"/>
            <w:tcBorders>
              <w:left w:val="single" w:sz="8" w:color="auto"/>
            </w:tcBorders>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7"/>
                <w:szCs w:val="17"/>
                <w:color w:val="auto"/>
              </w:rPr>
              <w:t>EXR Investment in JV Development and C</w:t>
            </w:r>
          </w:p>
        </w:tc>
        <w:tc>
          <w:tcPr>
            <w:tcW w:w="560" w:type="dxa"/>
            <w:vAlign w:val="bottom"/>
            <w:vMerge w:val="restart"/>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30,114</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shd w:val="clear" w:color="auto" w:fill="CCEEFF"/>
          </w:tcPr>
          <w:p>
            <w:pPr>
              <w:spacing w:after="0"/>
              <w:rPr>
                <w:sz w:val="19"/>
                <w:szCs w:val="19"/>
                <w:color w:val="auto"/>
              </w:rPr>
            </w:pPr>
          </w:p>
        </w:tc>
        <w:tc>
          <w:tcPr>
            <w:tcW w:w="3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O</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56,748</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bottom w:val="single" w:sz="8" w:color="CCEEFF"/>
            </w:tcBorders>
          </w:tcPr>
          <w:p>
            <w:pPr>
              <w:spacing w:after="0"/>
              <w:rPr>
                <w:sz w:val="20"/>
                <w:szCs w:val="20"/>
                <w:color w:val="auto"/>
              </w:rPr>
            </w:pPr>
          </w:p>
        </w:tc>
        <w:tc>
          <w:tcPr>
            <w:tcW w:w="3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EXR Investment in Joint Ventures</w:t>
            </w:r>
          </w:p>
        </w:tc>
        <w:tc>
          <w:tcPr>
            <w:tcW w:w="56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30,114</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164,634</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6"/>
                <w:szCs w:val="16"/>
                <w:color w:val="auto"/>
                <w:w w:val="99"/>
              </w:rPr>
              <w:t>25</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194,748</w:t>
            </w: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auto"/>
            </w:tcBorders>
            <w:shd w:val="clear" w:color="auto" w:fill="CCEEFF"/>
          </w:tcPr>
          <w:p>
            <w:pPr>
              <w:spacing w:after="0"/>
              <w:rPr>
                <w:sz w:val="20"/>
                <w:szCs w:val="20"/>
                <w:color w:val="auto"/>
              </w:rPr>
            </w:pPr>
          </w:p>
        </w:tc>
        <w:tc>
          <w:tcPr>
            <w:tcW w:w="326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EXR Investment</w:t>
            </w:r>
          </w:p>
        </w:tc>
        <w:tc>
          <w:tcPr>
            <w:tcW w:w="56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b w:val="1"/>
                <w:bCs w:val="1"/>
                <w:color w:val="auto"/>
              </w:rPr>
              <w:t>25</w:t>
            </w:r>
          </w:p>
        </w:tc>
        <w:tc>
          <w:tcPr>
            <w:tcW w:w="760" w:type="dxa"/>
            <w:vAlign w:val="bottom"/>
            <w:tcBorders>
              <w:bottom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181,981</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26</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189,414</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w w:val="99"/>
              </w:rPr>
              <w:t>51</w:t>
            </w:r>
          </w:p>
        </w:tc>
        <w:tc>
          <w:tcPr>
            <w:tcW w:w="760" w:type="dxa"/>
            <w:vAlign w:val="bottom"/>
            <w:tcBorders>
              <w:bottom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371,395</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right="20" w:hanging="652"/>
        <w:spacing w:after="0" w:line="274" w:lineRule="auto"/>
        <w:tabs>
          <w:tab w:leader="none" w:pos="6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locations of certificate of occupancy ("C of O") and development stores and joint venture ownership interest details are included in the supplemental financial information published on the Company’s Investor Relations website at https://ir.extraspace.com/.</w:t>
      </w:r>
    </w:p>
    <w:p>
      <w:pPr>
        <w:spacing w:after="0" w:line="200" w:lineRule="exact"/>
        <w:rPr>
          <w:sz w:val="20"/>
          <w:szCs w:val="20"/>
          <w:color w:val="auto"/>
        </w:rPr>
      </w:pPr>
    </w:p>
    <w:p>
      <w:pPr>
        <w:spacing w:after="0" w:line="36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projected developments and acquisitions under agreement described above are subject to customary closing conditions and no assurance can be provided that these developments and acquisitions will be completed on the terms described, or at all.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August 24, 2026, the Company announced that Noah Springer, President, will become the Company's next chief executive officer, effective January 1, 2027. Current CEO, Joe Margolis, will retire at the end of the year and serve as an adviser to the Company's board of directors. The transition, unanimously approved by the board, follows a thoughtful, long-term succession planning process.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Sales: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one operating property, one land parcel and one property marketed for sale. The property held for sale was adjusted to fair value less selling costs. The properties sold and the property held for sale resulted in a net loss of $5.8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originated $19.5 million in bridge loans. Outstanding balances of the Company's bridge loans were approximately $1.4 billion at the end of the quarter. The Company has an additional $59.2 million in bridge loans that have closed subsequent to quarter end or are under agreement to close in 2026. Additional details related to the Company's loan activity and balances held are included in the supplemental financial information published on the Company’s Investor Relations website at https://ir.extraspace.com/.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Management: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managed 1,963 stores for third-party owners and 408 stores owned in unconsolidated joint ventures, for a total of 2,371 stores under management. The Company is the largest self-storage management company in the United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repurchased 2,390,497 shares of common stock for $327.1 million at an average price of $136.85 per share using its stock repurchase program. Subsequent to quarter end, the Company repurchased 164,724 shares of common stock for $21.8 million at an average price of $132.45, fully utilizing the capacity of the</w:t>
      </w:r>
    </w:p>
    <w:p>
      <w:pPr>
        <w:sectPr>
          <w:pgSz w:w="11900" w:h="16838" w:orient="portrait"/>
          <w:cols w:equalWidth="0" w:num="1">
            <w:col w:w="11240"/>
          </w:cols>
          <w:pgMar w:left="320" w:top="1386" w:right="339" w:bottom="1440" w:gutter="0" w:footer="0" w:header="0"/>
        </w:sectPr>
      </w:pPr>
    </w:p>
    <w:bookmarkStart w:id="8" w:name="page9"/>
    <w:bookmarkEnd w:id="8"/>
    <w:p>
      <w:pPr>
        <w:ind w:right="440"/>
        <w:spacing w:after="0" w:line="282" w:lineRule="auto"/>
        <w:rPr>
          <w:sz w:val="20"/>
          <w:szCs w:val="20"/>
          <w:color w:val="auto"/>
        </w:rPr>
      </w:pPr>
      <w:r>
        <w:rPr>
          <w:rFonts w:ascii="Times New Roman" w:cs="Times New Roman" w:eastAsia="Times New Roman" w:hAnsi="Times New Roman"/>
          <w:sz w:val="18"/>
          <w:szCs w:val="18"/>
          <w:color w:val="auto"/>
        </w:rPr>
        <w:t>Company's $500.0 million share repurchase program. On October 15, 2026, the Company's board of directors authorized an updated share repurchase program allowing for the repurchase of shares with an aggregate value up to $500.0 million.</w:t>
      </w:r>
    </w:p>
    <w:p>
      <w:pPr>
        <w:spacing w:after="0" w:line="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did not issue any shares on its ATM program, and as of September 30, 2026, the Company had $800.0 million available for issuance.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2026, the Company completed a public bond offering issuing $550.0 million aggregate principal amount of 4.90% unsecured senior notes due 2032.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Company's commercial paper program had total capacity of $1.0 billion, with $850.0 million in outstanding issuances.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Company’s percentage of fixed-rate debt to total debt was 79.6%. Net of the impact of variable rate receivables, the effective fixed-rate debt to total debt was 89.3%. The weighted average interest rates of the Company’s fixed and variable-rate debt were 4.3% and 4.8%, respectively. The combined weighted average interest rate was 4.4% with a weighted average maturity of approximately 4.0 years. Full details related to the Company's debt schedule are included in the supplemental financial information published on the Company’s Investor Relations website at https://ir.extraspace.com/.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September 30, 2026, the Company paid a third quarter common stock dividend of $1.62 per share to stockholders of record at the close of business on September 15, 2026.</w:t>
      </w:r>
    </w:p>
    <w:p>
      <w:pPr>
        <w:sectPr>
          <w:pgSz w:w="11900" w:h="16838" w:orient="portrait"/>
          <w:cols w:equalWidth="0" w:num="1">
            <w:col w:w="11240"/>
          </w:cols>
          <w:pgMar w:left="320" w:top="103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Company's Core FFO estimates and assumptions for the year ending December 31, 2026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68" w:lineRule="exact"/>
        <w:rPr>
          <w:sz w:val="20"/>
          <w:szCs w:val="20"/>
          <w:color w:val="auto"/>
        </w:rPr>
      </w:pPr>
    </w:p>
    <w:tbl>
      <w:tblPr>
        <w:tblLayout w:type="fixed"/>
        <w:tblInd w:w="3080" w:type="dxa"/>
        <w:tblCellMar>
          <w:top w:w="0" w:type="dxa"/>
          <w:left w:w="0" w:type="dxa"/>
          <w:bottom w:w="0" w:type="dxa"/>
          <w:right w:w="0" w:type="dxa"/>
        </w:tblCellMar>
      </w:tblPr>
      <w:tr>
        <w:trPr>
          <w:trHeight w:val="207"/>
        </w:trPr>
        <w:tc>
          <w:tcPr>
            <w:tcW w:w="25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Current Ranges for 2026</w:t>
            </w:r>
          </w:p>
        </w:tc>
        <w:tc>
          <w:tcPr>
            <w:tcW w:w="3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Prior Ranges for 2026</w:t>
            </w:r>
          </w:p>
        </w:tc>
        <w:tc>
          <w:tcPr>
            <w:tcW w:w="13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0" w:type="dxa"/>
            <w:vAlign w:val="bottom"/>
          </w:tcPr>
          <w:p>
            <w:pPr>
              <w:spacing w:after="0"/>
              <w:rPr>
                <w:sz w:val="1"/>
                <w:szCs w:val="1"/>
                <w:color w:val="auto"/>
              </w:rPr>
            </w:pPr>
          </w:p>
        </w:tc>
      </w:tr>
      <w:tr>
        <w:trPr>
          <w:trHeight w:val="238"/>
        </w:trPr>
        <w:tc>
          <w:tcPr>
            <w:tcW w:w="25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Annual Assumptions</w:t>
            </w:r>
          </w:p>
        </w:tc>
        <w:tc>
          <w:tcPr>
            <w:tcW w:w="3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Annual Assumptions</w:t>
            </w: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0</wp:posOffset>
            </wp:positionV>
            <wp:extent cx="5546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6"/>
          <w:szCs w:val="16"/>
          <w:b w:val="1"/>
          <w:bCs w:val="1"/>
          <w:i w:val="1"/>
          <w:iCs w:val="1"/>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22860</wp:posOffset>
            </wp:positionV>
            <wp:extent cx="19716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1" w:lineRule="exact"/>
        <w:rPr>
          <w:sz w:val="20"/>
          <w:szCs w:val="20"/>
          <w:color w:val="auto"/>
        </w:rPr>
      </w:pPr>
    </w:p>
    <w:p>
      <w:pPr>
        <w:ind w:left="3100"/>
        <w:spacing w:after="0"/>
        <w:tabs>
          <w:tab w:leader="none" w:pos="4680" w:val="left"/>
        </w:tabs>
        <w:rPr>
          <w:sz w:val="20"/>
          <w:szCs w:val="20"/>
          <w:color w:val="auto"/>
        </w:rPr>
      </w:pPr>
      <w:r>
        <w:rPr>
          <w:rFonts w:ascii="Times New Roman" w:cs="Times New Roman" w:eastAsia="Times New Roman" w:hAnsi="Times New Roman"/>
          <w:sz w:val="16"/>
          <w:szCs w:val="16"/>
          <w:b w:val="1"/>
          <w:bCs w:val="1"/>
          <w:color w:val="auto"/>
        </w:rPr>
        <w:t>Low</w:t>
      </w:r>
      <w:r>
        <w:rPr>
          <w:sz w:val="20"/>
          <w:szCs w:val="20"/>
          <w:color w:val="auto"/>
        </w:rPr>
        <w:tab/>
      </w:r>
      <w:r>
        <w:rPr>
          <w:rFonts w:ascii="Times New Roman" w:cs="Times New Roman" w:eastAsia="Times New Roman" w:hAnsi="Times New Roman"/>
          <w:sz w:val="16"/>
          <w:szCs w:val="16"/>
          <w:b w:val="1"/>
          <w:bCs w:val="1"/>
          <w:color w:val="auto"/>
        </w:rPr>
        <w:t>High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6"/>
          <w:szCs w:val="16"/>
          <w:b w:val="1"/>
          <w:bCs w:val="1"/>
          <w:i w:val="1"/>
          <w:iCs w:val="1"/>
          <w:color w:val="auto"/>
        </w:rPr>
        <w:t>(July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22860</wp:posOffset>
            </wp:positionV>
            <wp:extent cx="1774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4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Low</w:t>
      </w:r>
      <w:r>
        <w:rPr>
          <w:sz w:val="20"/>
          <w:szCs w:val="20"/>
          <w:color w:val="auto"/>
        </w:rPr>
        <w:tab/>
      </w:r>
      <w:r>
        <w:rPr>
          <w:rFonts w:ascii="Times New Roman" w:cs="Times New Roman" w:eastAsia="Times New Roman" w:hAnsi="Times New Roman"/>
          <w:sz w:val="16"/>
          <w:szCs w:val="16"/>
          <w:b w:val="1"/>
          <w:bCs w:val="1"/>
          <w:color w:val="auto"/>
        </w:rPr>
        <w:t>High</w:t>
      </w:r>
    </w:p>
    <w:p>
      <w:pPr>
        <w:spacing w:after="0" w:line="28" w:lineRule="exact"/>
        <w:rPr>
          <w:sz w:val="20"/>
          <w:szCs w:val="20"/>
          <w:color w:val="auto"/>
        </w:rPr>
      </w:pPr>
    </w:p>
    <w:p>
      <w:pPr>
        <w:sectPr>
          <w:pgSz w:w="11900" w:h="16838" w:orient="portrait"/>
          <w:cols w:equalWidth="0" w:num="2">
            <w:col w:w="5540" w:space="720"/>
            <w:col w:w="498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52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FFO</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$8.40</w:t>
            </w:r>
          </w:p>
        </w:tc>
        <w:tc>
          <w:tcPr>
            <w:tcW w:w="15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$8.25</w:t>
            </w:r>
          </w:p>
        </w:tc>
        <w:tc>
          <w:tcPr>
            <w:tcW w:w="14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$8.40</w:t>
            </w:r>
          </w:p>
        </w:tc>
        <w:tc>
          <w:tcPr>
            <w:tcW w:w="26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2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Dilution per share from C of O and</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$0.17</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right w:val="single" w:sz="8" w:color="auto"/>
            </w:tcBorders>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$0.17</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$0.17</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value add acquisitions</w:t>
            </w:r>
          </w:p>
        </w:tc>
        <w:tc>
          <w:tcPr>
            <w:tcW w:w="1540" w:type="dxa"/>
            <w:vAlign w:val="bottom"/>
            <w:vMerge w:val="continue"/>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80" w:type="dxa"/>
            <w:vAlign w:val="bottom"/>
            <w:vMerge w:val="continue"/>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Same-store revenue growth</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right w:val="single" w:sz="8" w:color="auto"/>
            </w:tcBorders>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Same-store pool of 1,869 stores</w:t>
            </w:r>
          </w:p>
        </w:tc>
        <w:tc>
          <w:tcPr>
            <w:tcW w:w="0" w:type="dxa"/>
            <w:vAlign w:val="bottom"/>
          </w:tcPr>
          <w:p>
            <w:pPr>
              <w:spacing w:after="0"/>
              <w:rPr>
                <w:sz w:val="1"/>
                <w:szCs w:val="1"/>
                <w:color w:val="auto"/>
              </w:rPr>
            </w:pPr>
          </w:p>
        </w:tc>
      </w:tr>
      <w:tr>
        <w:trPr>
          <w:trHeight w:val="226"/>
        </w:trPr>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Same-store expense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Same-store pool of 1,869 stores</w:t>
            </w:r>
          </w:p>
        </w:tc>
        <w:tc>
          <w:tcPr>
            <w:tcW w:w="0" w:type="dxa"/>
            <w:vAlign w:val="bottom"/>
          </w:tcPr>
          <w:p>
            <w:pPr>
              <w:spacing w:after="0"/>
              <w:rPr>
                <w:sz w:val="1"/>
                <w:szCs w:val="1"/>
                <w:color w:val="auto"/>
              </w:rPr>
            </w:pPr>
          </w:p>
        </w:tc>
      </w:tr>
      <w:tr>
        <w:trPr>
          <w:trHeight w:val="233"/>
        </w:trPr>
        <w:tc>
          <w:tcPr>
            <w:tcW w:w="25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Same-store NOI growth</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2.50%</w:t>
            </w:r>
          </w:p>
        </w:tc>
        <w:tc>
          <w:tcPr>
            <w:tcW w:w="1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right w:val="single" w:sz="8" w:color="auto"/>
            </w:tcBorders>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0.50%</w:t>
            </w:r>
          </w:p>
        </w:tc>
        <w:tc>
          <w:tcPr>
            <w:tcW w:w="1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2.50%</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Same-store pool of 1,869 stores</w:t>
            </w:r>
          </w:p>
        </w:tc>
        <w:tc>
          <w:tcPr>
            <w:tcW w:w="0" w:type="dxa"/>
            <w:vAlign w:val="bottom"/>
          </w:tcPr>
          <w:p>
            <w:pPr>
              <w:spacing w:after="0"/>
              <w:rPr>
                <w:sz w:val="1"/>
                <w:szCs w:val="1"/>
                <w:color w:val="auto"/>
              </w:rPr>
            </w:pPr>
          </w:p>
        </w:tc>
      </w:tr>
      <w:tr>
        <w:trPr>
          <w:trHeight w:val="270"/>
        </w:trPr>
        <w:tc>
          <w:tcPr>
            <w:tcW w:w="2520" w:type="dxa"/>
            <w:vAlign w:val="bottom"/>
            <w:tcBorders>
              <w:right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one-month SOFR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3.71%</w:t>
            </w:r>
          </w:p>
        </w:tc>
        <w:tc>
          <w:tcPr>
            <w:tcW w:w="1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right w:val="single" w:sz="8" w:color="auto"/>
            </w:tcBorders>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20" w:type="dxa"/>
            <w:vAlign w:val="bottom"/>
            <w:tcBorders>
              <w:right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tenant reinsurance income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$298,000,000</w:t>
            </w:r>
          </w:p>
        </w:tc>
        <w:tc>
          <w:tcPr>
            <w:tcW w:w="1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$300,000,000</w:t>
            </w:r>
          </w:p>
        </w:tc>
        <w:tc>
          <w:tcPr>
            <w:tcW w:w="120" w:type="dxa"/>
            <w:vAlign w:val="bottom"/>
            <w:tcBorders>
              <w:right w:val="single" w:sz="8" w:color="auto"/>
            </w:tcBorders>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$294,000,000</w:t>
            </w:r>
          </w:p>
        </w:tc>
        <w:tc>
          <w:tcPr>
            <w:tcW w:w="1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$296,000,000</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$138,000,000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$139,000,000</w:t>
            </w:r>
          </w:p>
        </w:tc>
        <w:tc>
          <w:tcPr>
            <w:tcW w:w="12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$139,000,000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$140,000,000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520" w:type="dxa"/>
            <w:vAlign w:val="bottom"/>
            <w:tcBorders>
              <w:right w:val="single" w:sz="8" w:color="auto"/>
            </w:tcBorders>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58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26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Includes interest from bridge loans and</w:t>
            </w:r>
          </w:p>
        </w:tc>
        <w:tc>
          <w:tcPr>
            <w:tcW w:w="0" w:type="dxa"/>
            <w:vAlign w:val="bottom"/>
          </w:tcPr>
          <w:p>
            <w:pPr>
              <w:spacing w:after="0"/>
              <w:rPr>
                <w:sz w:val="1"/>
                <w:szCs w:val="1"/>
                <w:color w:val="auto"/>
              </w:rPr>
            </w:pPr>
          </w:p>
        </w:tc>
      </w:tr>
      <w:tr>
        <w:trPr>
          <w:trHeight w:val="162"/>
        </w:trPr>
        <w:tc>
          <w:tcPr>
            <w:tcW w:w="25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$152,500,000</w:t>
            </w:r>
          </w:p>
        </w:tc>
        <w:tc>
          <w:tcPr>
            <w:tcW w:w="1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$153,500,000</w:t>
            </w: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$153,000,000</w:t>
            </w: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$154,000,000</w:t>
            </w:r>
          </w:p>
        </w:tc>
        <w:tc>
          <w:tcPr>
            <w:tcW w:w="26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dividends from NexPoint preferred</w:t>
            </w: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58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20" w:type="dxa"/>
            <w:vAlign w:val="bottom"/>
            <w:tcBorders>
              <w:right w:val="single" w:sz="8" w:color="auto"/>
            </w:tcBorders>
            <w:vMerge w:val="continue"/>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w:t>
            </w:r>
          </w:p>
        </w:tc>
        <w:tc>
          <w:tcPr>
            <w:tcW w:w="0" w:type="dxa"/>
            <w:vAlign w:val="bottom"/>
          </w:tcPr>
          <w:p>
            <w:pPr>
              <w:spacing w:after="0"/>
              <w:rPr>
                <w:sz w:val="1"/>
                <w:szCs w:val="1"/>
                <w:color w:val="auto"/>
              </w:rPr>
            </w:pPr>
          </w:p>
        </w:tc>
      </w:tr>
      <w:tr>
        <w:trPr>
          <w:trHeight w:val="227"/>
        </w:trPr>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$188,500,000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$189,500,000</w:t>
            </w:r>
          </w:p>
        </w:tc>
        <w:tc>
          <w:tcPr>
            <w:tcW w:w="12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$188,000,000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$189,500,000</w:t>
            </w:r>
          </w:p>
        </w:tc>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Includes non-cash compensation</w:t>
            </w:r>
          </w:p>
        </w:tc>
        <w:tc>
          <w:tcPr>
            <w:tcW w:w="0" w:type="dxa"/>
            <w:vAlign w:val="bottom"/>
          </w:tcPr>
          <w:p>
            <w:pPr>
              <w:spacing w:after="0"/>
              <w:rPr>
                <w:sz w:val="1"/>
                <w:szCs w:val="1"/>
                <w:color w:val="auto"/>
              </w:rPr>
            </w:pPr>
          </w:p>
        </w:tc>
      </w:tr>
      <w:tr>
        <w:trPr>
          <w:trHeight w:val="178"/>
        </w:trPr>
        <w:tc>
          <w:tcPr>
            <w:tcW w:w="2520" w:type="dxa"/>
            <w:vAlign w:val="bottom"/>
            <w:tcBorders>
              <w:right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Equity in earnings of real estate</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$65,000,000</w:t>
            </w:r>
          </w:p>
        </w:tc>
        <w:tc>
          <w:tcPr>
            <w:tcW w:w="1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$66,000,000</w:t>
            </w:r>
          </w:p>
        </w:tc>
        <w:tc>
          <w:tcPr>
            <w:tcW w:w="120" w:type="dxa"/>
            <w:vAlign w:val="bottom"/>
            <w:tcBorders>
              <w:right w:val="single" w:sz="8" w:color="auto"/>
            </w:tcBorders>
            <w:shd w:val="clear" w:color="auto" w:fill="CCEEFF"/>
          </w:tcPr>
          <w:p>
            <w:pPr>
              <w:spacing w:after="0"/>
              <w:rPr>
                <w:sz w:val="15"/>
                <w:szCs w:val="15"/>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$63,500,000</w:t>
            </w: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$64,500,000</w:t>
            </w:r>
          </w:p>
        </w:tc>
        <w:tc>
          <w:tcPr>
            <w:tcW w:w="26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Includes dividends from SmartStop</w:t>
            </w: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540" w:type="dxa"/>
            <w:vAlign w:val="bottom"/>
            <w:vMerge w:val="continue"/>
            <w:shd w:val="clear" w:color="auto" w:fill="CCEEFF"/>
          </w:tcPr>
          <w:p>
            <w:pPr>
              <w:spacing w:after="0"/>
              <w:rPr>
                <w:sz w:val="18"/>
                <w:szCs w:val="18"/>
                <w:color w:val="auto"/>
              </w:rPr>
            </w:pPr>
          </w:p>
        </w:tc>
        <w:tc>
          <w:tcPr>
            <w:tcW w:w="158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20" w:type="dxa"/>
            <w:vAlign w:val="bottom"/>
            <w:tcBorders>
              <w:right w:val="single" w:sz="8" w:color="auto"/>
            </w:tcBorders>
            <w:vMerge w:val="continue"/>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investments</w:t>
            </w:r>
          </w:p>
        </w:tc>
        <w:tc>
          <w:tcPr>
            <w:tcW w:w="0" w:type="dxa"/>
            <w:vAlign w:val="bottom"/>
          </w:tcPr>
          <w:p>
            <w:pPr>
              <w:spacing w:after="0"/>
              <w:rPr>
                <w:sz w:val="1"/>
                <w:szCs w:val="1"/>
                <w:color w:val="auto"/>
              </w:rPr>
            </w:pPr>
          </w:p>
        </w:tc>
      </w:tr>
      <w:tr>
        <w:trPr>
          <w:trHeight w:val="175"/>
        </w:trPr>
        <w:tc>
          <w:tcPr>
            <w:tcW w:w="2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$602,000,000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$604,000,000</w:t>
            </w:r>
          </w:p>
        </w:tc>
        <w:tc>
          <w:tcPr>
            <w:tcW w:w="120" w:type="dxa"/>
            <w:vAlign w:val="bottom"/>
            <w:tcBorders>
              <w:right w:val="single" w:sz="8" w:color="auto"/>
            </w:tcBorders>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$595,000,000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$598,000,000</w:t>
            </w:r>
          </w:p>
        </w:tc>
        <w:tc>
          <w:tcPr>
            <w:tcW w:w="26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Excludes non-cash interest expense</w:t>
            </w:r>
          </w:p>
        </w:tc>
        <w:tc>
          <w:tcPr>
            <w:tcW w:w="0" w:type="dxa"/>
            <w:vAlign w:val="bottom"/>
          </w:tcPr>
          <w:p>
            <w:pPr>
              <w:spacing w:after="0"/>
              <w:rPr>
                <w:sz w:val="1"/>
                <w:szCs w:val="1"/>
                <w:color w:val="auto"/>
              </w:rPr>
            </w:pPr>
          </w:p>
        </w:tc>
      </w:tr>
      <w:tr>
        <w:trPr>
          <w:trHeight w:val="213"/>
        </w:trPr>
        <w:tc>
          <w:tcPr>
            <w:tcW w:w="2520" w:type="dxa"/>
            <w:vAlign w:val="bottom"/>
            <w:tcBorders>
              <w:right w:val="single" w:sz="8" w:color="auto"/>
            </w:tcBorders>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80" w:type="dxa"/>
            <w:vAlign w:val="bottom"/>
            <w:vMerge w:val="continue"/>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shown below</w:t>
            </w:r>
          </w:p>
        </w:tc>
        <w:tc>
          <w:tcPr>
            <w:tcW w:w="0" w:type="dxa"/>
            <w:vAlign w:val="bottom"/>
          </w:tcPr>
          <w:p>
            <w:pPr>
              <w:spacing w:after="0"/>
              <w:rPr>
                <w:sz w:val="1"/>
                <w:szCs w:val="1"/>
                <w:color w:val="auto"/>
              </w:rPr>
            </w:pPr>
          </w:p>
        </w:tc>
      </w:tr>
      <w:tr>
        <w:trPr>
          <w:trHeight w:val="178"/>
        </w:trPr>
        <w:tc>
          <w:tcPr>
            <w:tcW w:w="2520" w:type="dxa"/>
            <w:vAlign w:val="bottom"/>
            <w:tcBorders>
              <w:right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Non-cash interest expense related to</w:t>
            </w:r>
          </w:p>
        </w:tc>
        <w:tc>
          <w:tcPr>
            <w:tcW w:w="1540" w:type="dxa"/>
            <w:vAlign w:val="bottom"/>
            <w:shd w:val="clear" w:color="auto" w:fill="CCEEFF"/>
          </w:tcPr>
          <w:p>
            <w:pPr>
              <w:spacing w:after="0"/>
              <w:rPr>
                <w:sz w:val="15"/>
                <w:szCs w:val="15"/>
                <w:color w:val="auto"/>
              </w:rPr>
            </w:pPr>
          </w:p>
        </w:tc>
        <w:tc>
          <w:tcPr>
            <w:tcW w:w="158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26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debt mark-to-market;</w:t>
            </w:r>
          </w:p>
        </w:tc>
        <w:tc>
          <w:tcPr>
            <w:tcW w:w="0" w:type="dxa"/>
            <w:vAlign w:val="bottom"/>
          </w:tcPr>
          <w:p>
            <w:pPr>
              <w:spacing w:after="0"/>
              <w:rPr>
                <w:sz w:val="1"/>
                <w:szCs w:val="1"/>
                <w:color w:val="auto"/>
              </w:rPr>
            </w:pPr>
          </w:p>
        </w:tc>
      </w:tr>
      <w:tr>
        <w:trPr>
          <w:trHeight w:val="162"/>
        </w:trPr>
        <w:tc>
          <w:tcPr>
            <w:tcW w:w="2520" w:type="dxa"/>
            <w:vAlign w:val="bottom"/>
            <w:tcBorders>
              <w:right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discount on</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$44,000,000</w:t>
            </w:r>
          </w:p>
        </w:tc>
        <w:tc>
          <w:tcPr>
            <w:tcW w:w="1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$45,000,000</w:t>
            </w: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$44,000,000</w:t>
            </w: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$45,000,000</w:t>
            </w:r>
          </w:p>
        </w:tc>
        <w:tc>
          <w:tcPr>
            <w:tcW w:w="2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senior notes, net</w:t>
            </w:r>
          </w:p>
        </w:tc>
        <w:tc>
          <w:tcPr>
            <w:tcW w:w="1540" w:type="dxa"/>
            <w:vAlign w:val="bottom"/>
            <w:vMerge w:val="continue"/>
            <w:shd w:val="clear" w:color="auto" w:fill="CCEEFF"/>
          </w:tcPr>
          <w:p>
            <w:pPr>
              <w:spacing w:after="0"/>
              <w:rPr>
                <w:sz w:val="18"/>
                <w:szCs w:val="18"/>
                <w:color w:val="auto"/>
              </w:rPr>
            </w:pPr>
          </w:p>
        </w:tc>
        <w:tc>
          <w:tcPr>
            <w:tcW w:w="158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20" w:type="dxa"/>
            <w:vAlign w:val="bottom"/>
            <w:tcBorders>
              <w:right w:val="single" w:sz="8" w:color="auto"/>
            </w:tcBorders>
            <w:vMerge w:val="continue"/>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excluded from Core FFO</w:t>
            </w:r>
          </w:p>
        </w:tc>
        <w:tc>
          <w:tcPr>
            <w:tcW w:w="0" w:type="dxa"/>
            <w:vAlign w:val="bottom"/>
          </w:tcPr>
          <w:p>
            <w:pPr>
              <w:spacing w:after="0"/>
              <w:rPr>
                <w:sz w:val="1"/>
                <w:szCs w:val="1"/>
                <w:color w:val="auto"/>
              </w:rPr>
            </w:pPr>
          </w:p>
        </w:tc>
      </w:tr>
      <w:tr>
        <w:trPr>
          <w:trHeight w:val="176"/>
        </w:trPr>
        <w:tc>
          <w:tcPr>
            <w:tcW w:w="2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$48,000,000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$49,000,000</w:t>
            </w:r>
          </w:p>
        </w:tc>
        <w:tc>
          <w:tcPr>
            <w:tcW w:w="120" w:type="dxa"/>
            <w:vAlign w:val="bottom"/>
            <w:tcBorders>
              <w:right w:val="single" w:sz="8" w:color="auto"/>
            </w:tcBorders>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$48,000,000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$49,000,000</w:t>
            </w:r>
          </w:p>
        </w:tc>
        <w:tc>
          <w:tcPr>
            <w:tcW w:w="26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Taxes associated with the Company's</w:t>
            </w:r>
          </w:p>
        </w:tc>
        <w:tc>
          <w:tcPr>
            <w:tcW w:w="0" w:type="dxa"/>
            <w:vAlign w:val="bottom"/>
          </w:tcPr>
          <w:p>
            <w:pPr>
              <w:spacing w:after="0"/>
              <w:rPr>
                <w:sz w:val="1"/>
                <w:szCs w:val="1"/>
                <w:color w:val="auto"/>
              </w:rPr>
            </w:pPr>
          </w:p>
        </w:tc>
      </w:tr>
      <w:tr>
        <w:trPr>
          <w:trHeight w:val="213"/>
        </w:trPr>
        <w:tc>
          <w:tcPr>
            <w:tcW w:w="2520" w:type="dxa"/>
            <w:vAlign w:val="bottom"/>
            <w:tcBorders>
              <w:right w:val="single" w:sz="8" w:color="auto"/>
            </w:tcBorders>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80" w:type="dxa"/>
            <w:vAlign w:val="bottom"/>
            <w:vMerge w:val="continue"/>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taxable REIT subsidiary</w:t>
            </w:r>
          </w:p>
        </w:tc>
        <w:tc>
          <w:tcPr>
            <w:tcW w:w="0" w:type="dxa"/>
            <w:vAlign w:val="bottom"/>
          </w:tcPr>
          <w:p>
            <w:pPr>
              <w:spacing w:after="0"/>
              <w:rPr>
                <w:sz w:val="1"/>
                <w:szCs w:val="1"/>
                <w:color w:val="auto"/>
              </w:rPr>
            </w:pPr>
          </w:p>
        </w:tc>
      </w:tr>
      <w:tr>
        <w:trPr>
          <w:trHeight w:val="178"/>
        </w:trPr>
        <w:tc>
          <w:tcPr>
            <w:tcW w:w="2520" w:type="dxa"/>
            <w:vAlign w:val="bottom"/>
            <w:tcBorders>
              <w:right w:val="single" w:sz="8" w:color="auto"/>
            </w:tcBorders>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58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26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Includes wholly-owned acquisitions</w:t>
            </w:r>
          </w:p>
        </w:tc>
        <w:tc>
          <w:tcPr>
            <w:tcW w:w="0" w:type="dxa"/>
            <w:vAlign w:val="bottom"/>
          </w:tcPr>
          <w:p>
            <w:pPr>
              <w:spacing w:after="0"/>
              <w:rPr>
                <w:sz w:val="1"/>
                <w:szCs w:val="1"/>
                <w:color w:val="auto"/>
              </w:rPr>
            </w:pPr>
          </w:p>
        </w:tc>
      </w:tr>
      <w:tr>
        <w:trPr>
          <w:trHeight w:val="162"/>
        </w:trPr>
        <w:tc>
          <w:tcPr>
            <w:tcW w:w="25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$400,000,000</w:t>
            </w:r>
          </w:p>
        </w:tc>
        <w:tc>
          <w:tcPr>
            <w:tcW w:w="1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$400,000,000</w:t>
            </w:r>
          </w:p>
        </w:tc>
        <w:tc>
          <w:tcPr>
            <w:tcW w:w="120" w:type="dxa"/>
            <w:vAlign w:val="bottom"/>
            <w:tcBorders>
              <w:right w:val="single" w:sz="8" w:color="auto"/>
            </w:tcBorders>
            <w:shd w:val="clear" w:color="auto" w:fill="CCEEFF"/>
          </w:tcPr>
          <w:p>
            <w:pPr>
              <w:spacing w:after="0"/>
              <w:rPr>
                <w:sz w:val="14"/>
                <w:szCs w:val="14"/>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$300,000,000</w:t>
            </w: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$300,000,000</w:t>
            </w:r>
          </w:p>
        </w:tc>
        <w:tc>
          <w:tcPr>
            <w:tcW w:w="26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and the Company's investment in joint</w:t>
            </w: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58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20" w:type="dxa"/>
            <w:vAlign w:val="bottom"/>
            <w:tcBorders>
              <w:right w:val="single" w:sz="8" w:color="auto"/>
            </w:tcBorders>
            <w:vMerge w:val="continue"/>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ventures</w:t>
            </w:r>
          </w:p>
        </w:tc>
        <w:tc>
          <w:tcPr>
            <w:tcW w:w="0" w:type="dxa"/>
            <w:vAlign w:val="bottom"/>
          </w:tcPr>
          <w:p>
            <w:pPr>
              <w:spacing w:after="0"/>
              <w:rPr>
                <w:sz w:val="1"/>
                <w:szCs w:val="1"/>
                <w:color w:val="auto"/>
              </w:rPr>
            </w:pPr>
          </w:p>
        </w:tc>
      </w:tr>
      <w:tr>
        <w:trPr>
          <w:trHeight w:val="175"/>
        </w:trPr>
        <w:tc>
          <w:tcPr>
            <w:tcW w:w="2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Bridge loans outstanding</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$1,425,000,000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$1,425,000,000</w:t>
            </w:r>
          </w:p>
        </w:tc>
        <w:tc>
          <w:tcPr>
            <w:tcW w:w="120" w:type="dxa"/>
            <w:vAlign w:val="bottom"/>
            <w:tcBorders>
              <w:right w:val="single" w:sz="8" w:color="auto"/>
            </w:tcBorders>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$1,475,000,000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$1,475,000,000</w:t>
            </w:r>
          </w:p>
        </w:tc>
        <w:tc>
          <w:tcPr>
            <w:tcW w:w="26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Represents the Company's average</w:t>
            </w:r>
          </w:p>
        </w:tc>
        <w:tc>
          <w:tcPr>
            <w:tcW w:w="0" w:type="dxa"/>
            <w:vAlign w:val="bottom"/>
          </w:tcPr>
          <w:p>
            <w:pPr>
              <w:spacing w:after="0"/>
              <w:rPr>
                <w:sz w:val="1"/>
                <w:szCs w:val="1"/>
                <w:color w:val="auto"/>
              </w:rPr>
            </w:pPr>
          </w:p>
        </w:tc>
      </w:tr>
      <w:tr>
        <w:trPr>
          <w:trHeight w:val="213"/>
        </w:trPr>
        <w:tc>
          <w:tcPr>
            <w:tcW w:w="2520" w:type="dxa"/>
            <w:vAlign w:val="bottom"/>
            <w:tcBorders>
              <w:right w:val="single" w:sz="8" w:color="auto"/>
            </w:tcBorders>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80" w:type="dxa"/>
            <w:vAlign w:val="bottom"/>
            <w:vMerge w:val="continue"/>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loan balances for the year</w:t>
            </w:r>
          </w:p>
        </w:tc>
        <w:tc>
          <w:tcPr>
            <w:tcW w:w="0" w:type="dxa"/>
            <w:vAlign w:val="bottom"/>
          </w:tcPr>
          <w:p>
            <w:pPr>
              <w:spacing w:after="0"/>
              <w:rPr>
                <w:sz w:val="1"/>
                <w:szCs w:val="1"/>
                <w:color w:val="auto"/>
              </w:rPr>
            </w:pPr>
          </w:p>
        </w:tc>
      </w:tr>
      <w:tr>
        <w:trPr>
          <w:trHeight w:val="178"/>
        </w:trPr>
        <w:tc>
          <w:tcPr>
            <w:tcW w:w="25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 count</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220,500,000</w:t>
            </w:r>
          </w:p>
        </w:tc>
        <w:tc>
          <w:tcPr>
            <w:tcW w:w="15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220,500,000</w:t>
            </w:r>
          </w:p>
        </w:tc>
        <w:tc>
          <w:tcPr>
            <w:tcW w:w="120" w:type="dxa"/>
            <w:vAlign w:val="bottom"/>
            <w:tcBorders>
              <w:right w:val="single" w:sz="8" w:color="auto"/>
            </w:tcBorders>
            <w:shd w:val="clear" w:color="auto" w:fill="CCEEFF"/>
          </w:tcPr>
          <w:p>
            <w:pPr>
              <w:spacing w:after="0"/>
              <w:rPr>
                <w:sz w:val="15"/>
                <w:szCs w:val="15"/>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221,000,000</w:t>
            </w: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221,000,000</w:t>
            </w:r>
          </w:p>
        </w:tc>
        <w:tc>
          <w:tcPr>
            <w:tcW w:w="26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Assumes redemption of all OP units</w:t>
            </w:r>
          </w:p>
        </w:tc>
        <w:tc>
          <w:tcPr>
            <w:tcW w:w="0" w:type="dxa"/>
            <w:vAlign w:val="bottom"/>
          </w:tcPr>
          <w:p>
            <w:pPr>
              <w:spacing w:after="0"/>
              <w:rPr>
                <w:sz w:val="1"/>
                <w:szCs w:val="1"/>
                <w:color w:val="auto"/>
              </w:rPr>
            </w:pPr>
          </w:p>
        </w:tc>
      </w:tr>
      <w:tr>
        <w:trPr>
          <w:trHeight w:val="218"/>
        </w:trPr>
        <w:tc>
          <w:tcPr>
            <w:tcW w:w="2520" w:type="dxa"/>
            <w:vAlign w:val="bottom"/>
            <w:tcBorders>
              <w:right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 common stock</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 reconciliation of net income outlook to same-store net operating income outlook is provided later in this release entitled "Reconciliation of Estimated GAAP Net Income to Estimated</w:t>
      </w:r>
    </w:p>
    <w:p>
      <w:pPr>
        <w:spacing w:after="0" w:line="28"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4"/>
          <w:szCs w:val="14"/>
          <w:color w:val="auto"/>
        </w:rPr>
        <w:t>Same-Store Net Operating Income." The reconciliation includes details related to same-store revenue and same-store expense outlooks. A reconciliation of net income per share outlook to funds from operations per share outlook is provided later in this release entitled "Reconciliation of the Range of Estimated GAAP Fully Diluted Earnings Per Share to Estimated Fully Diluted FFO Per Share."</w:t>
      </w:r>
    </w:p>
    <w:p>
      <w:pPr>
        <w:spacing w:after="0" w:line="168"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8"/>
          <w:szCs w:val="18"/>
          <w:color w:val="auto"/>
        </w:rPr>
        <w:t>FFO estimates for the year are fully diluted for an estimated average number of shares and OP units outstanding during the year. The Company’s estimates are forward-looking and based on management’s view of current and future market conditions. The Company’s actual results may differ materially from these estimates.</w:t>
      </w:r>
    </w:p>
    <w:p>
      <w:pPr>
        <w:sectPr>
          <w:pgSz w:w="11900" w:h="16838" w:orient="portrait"/>
          <w:cols w:equalWidth="0" w:num="1">
            <w:col w:w="11240"/>
          </w:cols>
          <w:pgMar w:left="320" w:top="103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Supplemental unaudited financial information regarding the Company’s performance can be found on the Company’s website at www.extraspace.com. Under the "Company Info" navigation menu on the home page, click on “Investor Relations,” then under the “Financials” navigation menu click on “Quarterly Results.” This supplemental information provides additional detail on items that include store occupancy and financial performance by portfolio and market, debt maturity schedules and performance of lease-up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will host a conference call at 1:00 p.m. Eastern Time on Wednesday, October 28, 2026, to discuss its financial results. Telephone participants may avoid any delays in joining the conference call by pre-registering for the call using the following link to receive a special dial-in number and PIN: https://events.q4inc.com/analyst/975210601?pwd=f5UpngAK</w:t>
      </w:r>
    </w:p>
    <w:p>
      <w:pPr>
        <w:spacing w:after="0" w:line="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live webcast of the call will also be available on the Company’s investor relations website at https://ir.extraspace.com. To listen to the live webcast, go to the site at least 15 minutes prior to the scheduled start time in order to register, download and install any necessary audio software.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for 30 days on the investor relations section of the Company’s website beginning at 5:00 p.m. Eastern Time on October 28,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information set forth in this release contains “forward-looking statements” within the meaning of the federal securities laws. Forward-looking statements include statements concerning the benefits of store acquisitions, developments, market conditions, our outlook and estimates for the year and other statements concerning our plans, objectives, goals, strategies, future events, future revenues or performance, capital expenditures, financing needs, the competitive landscape, the impact of broader economic trends on the storage industry, our plans or intentions relating to acquisitions and developments, and other information that is not historical information. In some cases, forward-looking statements can be identified by terminology such as “believes,” “estimates,” “expects,” “may,” “will,” “should,” “anticipates,” “outlook,”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 There are a number of risks and uncertainties that could cause our actual results to differ materially from the forward-looking statements contained in or contemplated by this release. Any forward-looking statements should be considered in light of the risks referenced in the “Risk Factors” section included in our most recent Annual Report on Form 10-K and Quarterly Reports on Form 10-Q. Such factors include, but are not limited to:</w:t>
      </w:r>
    </w:p>
    <w:p>
      <w:pPr>
        <w:spacing w:after="0" w:line="84" w:lineRule="exact"/>
        <w:rPr>
          <w:sz w:val="20"/>
          <w:szCs w:val="20"/>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the markets in which we operate;</w:t>
      </w:r>
    </w:p>
    <w:p>
      <w:pPr>
        <w:spacing w:after="0" w:line="117"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117"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117" w:lineRule="exact"/>
        <w:rPr>
          <w:rFonts w:ascii="Times New Roman" w:cs="Times New Roman" w:eastAsia="Times New Roman" w:hAnsi="Times New Roman"/>
          <w:sz w:val="18"/>
          <w:szCs w:val="18"/>
          <w:color w:val="auto"/>
        </w:rPr>
      </w:pPr>
    </w:p>
    <w:p>
      <w:pPr>
        <w:ind w:left="940" w:right="480" w:hanging="325"/>
        <w:spacing w:after="0" w:line="266"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67" w:lineRule="exact"/>
        <w:rPr>
          <w:rFonts w:ascii="Times New Roman" w:cs="Times New Roman" w:eastAsia="Times New Roman" w:hAnsi="Times New Roman"/>
          <w:sz w:val="18"/>
          <w:szCs w:val="18"/>
          <w:color w:val="auto"/>
        </w:rPr>
      </w:pPr>
    </w:p>
    <w:p>
      <w:pPr>
        <w:ind w:left="940" w:right="220" w:hanging="325"/>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including increased or unanticipated competition for our properties, which could cause rents and occupancy rates to decline;</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117" w:lineRule="exact"/>
        <w:rPr>
          <w:rFonts w:ascii="Times New Roman" w:cs="Times New Roman" w:eastAsia="Times New Roman" w:hAnsi="Times New Roman"/>
          <w:sz w:val="18"/>
          <w:szCs w:val="18"/>
          <w:color w:val="auto"/>
        </w:rPr>
      </w:pPr>
    </w:p>
    <w:p>
      <w:pPr>
        <w:ind w:left="940" w:right="600" w:hanging="325"/>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dispositions and development of properties, including increased development costs due to additional regulatory requirements related to climate change and other factors;</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117" w:lineRule="exact"/>
        <w:rPr>
          <w:rFonts w:ascii="Times New Roman" w:cs="Times New Roman" w:eastAsia="Times New Roman" w:hAnsi="Times New Roman"/>
          <w:sz w:val="18"/>
          <w:szCs w:val="18"/>
          <w:color w:val="auto"/>
        </w:rPr>
      </w:pPr>
    </w:p>
    <w:p>
      <w:pPr>
        <w:ind w:left="940" w:right="240" w:hanging="325"/>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53" w:lineRule="exact"/>
        <w:rPr>
          <w:rFonts w:ascii="Times New Roman" w:cs="Times New Roman" w:eastAsia="Times New Roman" w:hAnsi="Times New Roman"/>
          <w:sz w:val="18"/>
          <w:szCs w:val="18"/>
          <w:color w:val="auto"/>
        </w:rPr>
      </w:pPr>
    </w:p>
    <w:p>
      <w:pPr>
        <w:jc w:val="both"/>
        <w:ind w:left="940" w:right="40" w:hanging="325"/>
        <w:spacing w:after="0" w:line="266"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67"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117"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ectPr>
          <w:pgSz w:w="11900" w:h="16838" w:orient="portrait"/>
          <w:cols w:equalWidth="0" w:num="1">
            <w:col w:w="11240"/>
          </w:cols>
          <w:pgMar w:left="320" w:top="1022" w:right="339" w:bottom="1440" w:gutter="0" w:footer="0" w:header="0"/>
        </w:sectPr>
      </w:pPr>
    </w:p>
    <w:bookmarkStart w:id="11" w:name="page12"/>
    <w:bookmarkEnd w:id="11"/>
    <w:p>
      <w:pPr>
        <w:ind w:left="940" w:right="340" w:hanging="325"/>
        <w:spacing w:after="0" w:line="282"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and capital, the levels of debt that we maintain and our credit ratings;</w:t>
      </w:r>
    </w:p>
    <w:p>
      <w:pPr>
        <w:spacing w:after="0" w:line="117" w:lineRule="exact"/>
        <w:rPr>
          <w:rFonts w:ascii="Times New Roman" w:cs="Times New Roman" w:eastAsia="Times New Roman" w:hAnsi="Times New Roman"/>
          <w:sz w:val="18"/>
          <w:szCs w:val="18"/>
          <w:color w:val="auto"/>
        </w:rPr>
      </w:pPr>
    </w:p>
    <w:p>
      <w:pPr>
        <w:ind w:left="940" w:right="640" w:hanging="325"/>
        <w:spacing w:after="0" w:line="282"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increases in interest rates and the impact of enacted and proposed U.S. tariffs on global economic conditions;</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 and</w:t>
      </w:r>
    </w:p>
    <w:p>
      <w:pPr>
        <w:spacing w:after="0" w:line="117"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forward-looking statements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FFO:</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FFO provides relevant and meaningful information about the Company’s operating performance that is necessary, along with net income and cash flows, for an understanding of the Company’s operating results. The Company believes FFO is a meaningful disclosure as a supplement to net income. Net income assumes that the values of real estate assets diminish predictably over time as reflected through depreciation and amortization expenses. The values of real estate assets fluctuate due to market conditions and the Company believes FFO more accurately reflects the value of the Company’s real estate assets. FFO is defined by the National Association of Real Estate Investment Trusts, Inc. (“NAREIT”) as net income computed in accordance with U.S. generally accepted accounting principles (“GAAP”), excluding gains or losses on sales of operating stores and impairment write downs of depreciable real estate assets, plus depreciation and amortization related to real estate and after adjustments to record unconsolidated partnerships and joint ventures on the same basis. The Company believes that to further understand the Company’s performance, FFO should be considered along with the reported net income and cash flows in accordance with GAAP, as presented in the Company’s consolidated financial statements. FFO should not be considered a replacement of net income computed in accordance with GAAP.</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informational purposes, the Company also presents Core FFO. Core FFO excludes revenues and expenses not core to our operations and transaction costs. It also includes certain costs associated with the Life Storage Merger including non-cash interest related to the amortization of discount on unsecured senior notes and amortization of other intangibles, net of tax benefit. Although the Company’s calculation of Core FFO differs from NAREIT’s definition of FFO and may not be comparable to that of other REITs and real estate companies, the Company believes it provides a meaningful supplemental measure of operating performance. The Company believes that by excluding revenues and expenses not core to our operations and non-cash interest charges, stockholders and potential investors are presented with an indicator of our operating performance that more closely achieves the objectives of the real estate industry in presenting FFO. Core FFO by the Company should not be considered a replacement of the NAREIT definition of FFO. 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the Company’s performance, as an alternative to net cash flow from operating activities as a measure of liquidity, or as an indicator of the Company’s ability to make cash distributions.</w:t>
      </w:r>
    </w:p>
    <w:p>
      <w:pPr>
        <w:sectPr>
          <w:pgSz w:w="11900" w:h="16838" w:orient="portrait"/>
          <w:cols w:equalWidth="0" w:num="1">
            <w:col w:w="11220"/>
          </w:cols>
          <w:pgMar w:left="320" w:top="103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Same-Store: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same-store pool for the periods presented consists of 1,869 stores that are wholly-owned and operated and that were stabilized by the first day of the earliest calendar year presented, or January 1, 2025. The Company considers a store to be stabilized once it has been open for three years or has sustained average square foot occupancy of 80.0% or more for one calendar year. The Company believes that by providing same-store results from a stabilized pool of stores, with accompanying operating metrics including, but not limited to, occupancy, rental revenue (growth), operating expenses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the Company’s stores as a whole.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Extra Space Storage Inc.:</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Extra Space Storage Inc., headquartered in Salt Lake City, Utah, is a self-administered and self-managed REIT and a member of the S&amp;P 500. As of September 30, 2026, the Company owned and/or operated 4,411 self-storage stores in 43 states and Washington, D.C. The Company’s stores comprise approximately 3.0 million units and approximately 342.2 million square feet of rentable space operating under the Extra Space brand. The Company offers customers a wide selection of conveniently located and secure storage units across the country, including boat storage, RV storage and business storage. It is the largest operator of self-storage properties in the United States.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 Conley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 365-1759</w:t>
      </w:r>
    </w:p>
    <w:p>
      <w:pPr>
        <w:sectPr>
          <w:pgSz w:w="11900" w:h="16838" w:orient="portrait"/>
          <w:cols w:equalWidth="0" w:num="1">
            <w:col w:w="11240"/>
          </w:cols>
          <w:pgMar w:left="320" w:top="10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 except share data</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9"/>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assets,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24,900,147</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25,004,350</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assets - operating lease right-of-use assets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727,627</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732,176</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real estate entities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1,045,395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1,066,783</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debt securities and notes receivable</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1,707,526</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1,806,526</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138,920</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515,291</w:t>
            </w:r>
          </w:p>
        </w:tc>
      </w:tr>
      <w:tr>
        <w:trPr>
          <w:trHeight w:val="236"/>
        </w:trPr>
        <w:tc>
          <w:tcPr>
            <w:tcW w:w="7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28,963,119</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29,264,046</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Noncontrolling Interests and Equity: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1,070,062</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1,079,565</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 term loans, net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1,495,717</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1,494,659</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Unsecured senior notes, net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9,416,025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9,432,427</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lines of credit and commercial paper</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1,424,000</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1,224,000</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761,106</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distributions in unconsolidated real estate ventures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73,701</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458,777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357,583</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494,835</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516,969</w:t>
            </w:r>
          </w:p>
        </w:tc>
      </w:tr>
      <w:tr>
        <w:trPr>
          <w:trHeight w:val="237"/>
        </w:trPr>
        <w:tc>
          <w:tcPr>
            <w:tcW w:w="74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15,201,035</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14,940,010</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 and Equity:</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Extra Space Storage Inc. stockholders’ equity: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or outstanding</w:t>
            </w:r>
          </w:p>
        </w:tc>
        <w:tc>
          <w:tcPr>
            <w:tcW w:w="180" w:type="dxa"/>
            <w:vAlign w:val="bottom"/>
          </w:tcPr>
          <w:p>
            <w:pPr>
              <w:spacing w:after="0"/>
              <w:rPr>
                <w:sz w:val="21"/>
                <w:szCs w:val="21"/>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740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Common stock, $0.01 par value, 500,000,000 shares authorized, 208,884,163 and 211,155,322</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September 30, 2026 and December 31, 2025, respectively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14,895,156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14,880,646</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4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(2,050,907)</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(1,449,172)</w:t>
            </w:r>
          </w:p>
        </w:tc>
      </w:tr>
      <w:tr>
        <w:trPr>
          <w:trHeight w:val="237"/>
        </w:trPr>
        <w:tc>
          <w:tcPr>
            <w:tcW w:w="74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Extra Space Storage Inc. stockholders’ equity</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12,846,249</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13,433,166</w:t>
            </w: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 represented by Preferred Operating Partnership units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53,827</w:t>
            </w:r>
          </w:p>
        </w:tc>
      </w:tr>
      <w:tr>
        <w:trPr>
          <w:trHeight w:val="24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 in Operating Partnership, net and other 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868,008</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837,043</w:t>
            </w:r>
          </w:p>
        </w:tc>
      </w:tr>
      <w:tr>
        <w:trPr>
          <w:trHeight w:val="237"/>
        </w:trPr>
        <w:tc>
          <w:tcPr>
            <w:tcW w:w="74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noncontrolling interests and equity</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13,762,084</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14,324,036</w:t>
            </w:r>
          </w:p>
        </w:tc>
      </w:tr>
      <w:tr>
        <w:trPr>
          <w:trHeight w:val="261"/>
        </w:trPr>
        <w:tc>
          <w:tcPr>
            <w:tcW w:w="74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28,963,119</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29,264,046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4" w:name="page15"/>
    <w:bookmarkEnd w:id="14"/>
    <w:p>
      <w:pPr>
        <w:ind w:right="3600" w:hanging="86"/>
        <w:spacing w:after="0" w:line="285" w:lineRule="auto"/>
        <w:rPr>
          <w:sz w:val="20"/>
          <w:szCs w:val="20"/>
          <w:color w:val="auto"/>
        </w:rPr>
      </w:pPr>
      <w:r>
        <w:rPr>
          <w:rFonts w:ascii="Times New Roman" w:cs="Times New Roman" w:eastAsia="Times New Roman" w:hAnsi="Times New Roman"/>
          <w:sz w:val="18"/>
          <w:szCs w:val="18"/>
          <w:b w:val="1"/>
          <w:bCs w:val="1"/>
          <w:color w:val="auto"/>
        </w:rPr>
        <w:t>lidated Statement of Operations for the Three and Nine Months Ended September 30, 2026 and 2025 (</w:t>
      </w:r>
      <w:r>
        <w:rPr>
          <w:rFonts w:ascii="Times New Roman" w:cs="Times New Roman" w:eastAsia="Times New Roman" w:hAnsi="Times New Roman"/>
          <w:sz w:val="18"/>
          <w:szCs w:val="18"/>
          <w:color w:val="auto"/>
        </w:rPr>
        <w:t>In thousands, except share and per share data) - Unaudited</w:t>
      </w:r>
    </w:p>
    <w:tbl>
      <w:tblPr>
        <w:tblLayout w:type="fixed"/>
        <w:tblInd w:w="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80" w:type="dxa"/>
            <w:vAlign w:val="bottom"/>
          </w:tcPr>
          <w:p>
            <w:pPr>
              <w:spacing w:after="0"/>
              <w:rPr>
                <w:sz w:val="14"/>
                <w:szCs w:val="14"/>
                <w:color w:val="auto"/>
              </w:rPr>
            </w:pPr>
          </w:p>
        </w:tc>
        <w:tc>
          <w:tcPr>
            <w:tcW w:w="2280" w:type="dxa"/>
            <w:vAlign w:val="bottom"/>
            <w:gridSpan w:val="4"/>
          </w:tcPr>
          <w:p>
            <w:pPr>
              <w:jc w:val="right"/>
              <w:ind w:right="179"/>
              <w:spacing w:after="0" w:line="165"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2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2"/>
        </w:trPr>
        <w:tc>
          <w:tcPr>
            <w:tcW w:w="6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rental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760,837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735,581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2,240,214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2,160,965</w:t>
            </w:r>
          </w:p>
        </w:tc>
        <w:tc>
          <w:tcPr>
            <w:tcW w:w="0" w:type="dxa"/>
            <w:vAlign w:val="bottom"/>
          </w:tcPr>
          <w:p>
            <w:pPr>
              <w:spacing w:after="0"/>
              <w:rPr>
                <w:sz w:val="1"/>
                <w:szCs w:val="1"/>
                <w:color w:val="auto"/>
              </w:rPr>
            </w:pPr>
          </w:p>
        </w:tc>
      </w:tr>
      <w:tr>
        <w:trPr>
          <w:trHeight w:val="232"/>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Tenant reinsurance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94,197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90,341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263,625</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103,357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95,485</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889,792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858,460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2,619,971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2,520,075</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operations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238,837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235,486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708,858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686,689</w:t>
            </w:r>
          </w:p>
        </w:tc>
        <w:tc>
          <w:tcPr>
            <w:tcW w:w="0" w:type="dxa"/>
            <w:vAlign w:val="bottom"/>
          </w:tcPr>
          <w:p>
            <w:pPr>
              <w:spacing w:after="0"/>
              <w:rPr>
                <w:sz w:val="1"/>
                <w:szCs w:val="1"/>
                <w:color w:val="auto"/>
              </w:rPr>
            </w:pPr>
          </w:p>
        </w:tc>
      </w:tr>
      <w:tr>
        <w:trPr>
          <w:trHeight w:val="226"/>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Tenant reinsurance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51,842</w:t>
            </w:r>
          </w:p>
        </w:tc>
        <w:tc>
          <w:tcPr>
            <w:tcW w:w="0" w:type="dxa"/>
            <w:vAlign w:val="bottom"/>
          </w:tcPr>
          <w:p>
            <w:pPr>
              <w:spacing w:after="0"/>
              <w:rPr>
                <w:sz w:val="1"/>
                <w:szCs w:val="1"/>
                <w:color w:val="auto"/>
              </w:rPr>
            </w:pPr>
          </w:p>
        </w:tc>
      </w:tr>
      <w:tr>
        <w:trPr>
          <w:trHeight w:val="23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134,405</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189,598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177,466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561,003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535,088</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1,462,544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1,408,024</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Loss on real estate assets held for sale and sold,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(105,128)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(70,231)</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1,041,820</w:t>
            </w:r>
          </w:p>
        </w:tc>
        <w:tc>
          <w:tcPr>
            <w:tcW w:w="0" w:type="dxa"/>
            <w:vAlign w:val="bottom"/>
          </w:tcPr>
          <w:p>
            <w:pPr>
              <w:spacing w:after="0"/>
              <w:rPr>
                <w:sz w:val="1"/>
                <w:szCs w:val="1"/>
                <w:color w:val="auto"/>
              </w:rPr>
            </w:pPr>
          </w:p>
        </w:tc>
      </w:tr>
      <w:tr>
        <w:trPr>
          <w:trHeight w:val="227"/>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(438,177)</w:t>
            </w:r>
          </w:p>
        </w:tc>
        <w:tc>
          <w:tcPr>
            <w:tcW w:w="0" w:type="dxa"/>
            <w:vAlign w:val="bottom"/>
          </w:tcPr>
          <w:p>
            <w:pPr>
              <w:spacing w:after="0"/>
              <w:rPr>
                <w:sz w:val="1"/>
                <w:szCs w:val="1"/>
                <w:color w:val="auto"/>
              </w:rPr>
            </w:pPr>
          </w:p>
        </w:tc>
      </w:tr>
      <w:tr>
        <w:trPr>
          <w:trHeight w:val="23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unsecured senior notes, net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43,588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115,720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124,553</w:t>
            </w:r>
          </w:p>
        </w:tc>
        <w:tc>
          <w:tcPr>
            <w:tcW w:w="0" w:type="dxa"/>
            <w:vAlign w:val="bottom"/>
          </w:tcPr>
          <w:p>
            <w:pPr>
              <w:spacing w:after="0"/>
              <w:rPr>
                <w:sz w:val="1"/>
                <w:szCs w:val="1"/>
                <w:color w:val="auto"/>
              </w:rPr>
            </w:pPr>
          </w:p>
        </w:tc>
      </w:tr>
      <w:tr>
        <w:trPr>
          <w:trHeight w:val="158"/>
        </w:trPr>
        <w:tc>
          <w:tcPr>
            <w:tcW w:w="62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Income before equity in earnings and dividend income from unconsolidated real estate entities</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268,388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160,972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787,136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693,027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income tax expense</w:t>
            </w: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51,884</w:t>
            </w:r>
          </w:p>
        </w:tc>
        <w:tc>
          <w:tcPr>
            <w:tcW w:w="0" w:type="dxa"/>
            <w:vAlign w:val="bottom"/>
          </w:tcPr>
          <w:p>
            <w:pPr>
              <w:spacing w:after="0"/>
              <w:rPr>
                <w:sz w:val="1"/>
                <w:szCs w:val="1"/>
                <w:color w:val="auto"/>
              </w:rPr>
            </w:pPr>
          </w:p>
        </w:tc>
      </w:tr>
      <w:tr>
        <w:trPr>
          <w:trHeight w:val="178"/>
        </w:trPr>
        <w:tc>
          <w:tcPr>
            <w:tcW w:w="62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 impairment (loss) on joint venture</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 and gain on sale of joint venture interests</w:t>
            </w: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(32,591)</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787,744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721,674</w:t>
            </w:r>
          </w:p>
        </w:tc>
        <w:tc>
          <w:tcPr>
            <w:tcW w:w="0" w:type="dxa"/>
            <w:vAlign w:val="bottom"/>
          </w:tcPr>
          <w:p>
            <w:pPr>
              <w:spacing w:after="0"/>
              <w:rPr>
                <w:sz w:val="1"/>
                <w:szCs w:val="1"/>
                <w:color w:val="auto"/>
              </w:rPr>
            </w:pP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3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(33,517)</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(32,899)</w:t>
            </w:r>
          </w:p>
        </w:tc>
        <w:tc>
          <w:tcPr>
            <w:tcW w:w="0" w:type="dxa"/>
            <w:vAlign w:val="bottom"/>
          </w:tcPr>
          <w:p>
            <w:pPr>
              <w:spacing w:after="0"/>
              <w:rPr>
                <w:sz w:val="1"/>
                <w:szCs w:val="1"/>
                <w:color w:val="auto"/>
              </w:rPr>
            </w:pPr>
          </w:p>
        </w:tc>
      </w:tr>
      <w:tr>
        <w:trPr>
          <w:trHeight w:val="22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247,759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165,998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752,207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686,604</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210,646,953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211,963,870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210,834,426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211,918,589</w:t>
            </w:r>
          </w:p>
        </w:tc>
        <w:tc>
          <w:tcPr>
            <w:tcW w:w="0" w:type="dxa"/>
            <w:vAlign w:val="bottom"/>
          </w:tcPr>
          <w:p>
            <w:pPr>
              <w:spacing w:after="0"/>
              <w:rPr>
                <w:sz w:val="1"/>
                <w:szCs w:val="1"/>
                <w:color w:val="auto"/>
              </w:rPr>
            </w:pPr>
          </w:p>
        </w:tc>
      </w:tr>
      <w:tr>
        <w:trPr>
          <w:trHeight w:val="226"/>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220,026,029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221,304,958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220,236,197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211,918,589</w:t>
            </w:r>
          </w:p>
        </w:tc>
        <w:tc>
          <w:tcPr>
            <w:tcW w:w="0" w:type="dxa"/>
            <w:vAlign w:val="bottom"/>
          </w:tcPr>
          <w:p>
            <w:pPr>
              <w:spacing w:after="0"/>
              <w:rPr>
                <w:sz w:val="1"/>
                <w:szCs w:val="1"/>
                <w:color w:val="auto"/>
              </w:rPr>
            </w:pP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5" w:name="page16"/>
    <w:bookmarkEnd w:id="15"/>
    <w:p>
      <w:pPr>
        <w:ind w:right="192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Reconciliation of GAAP Net Income to Total Same-Store Net Operating Income — for the Three and Nine Months Ended September 30, 2026 and 2025 </w:t>
      </w:r>
      <w:r>
        <w:rPr>
          <w:rFonts w:ascii="Times New Roman" w:cs="Times New Roman" w:eastAsia="Times New Roman" w:hAnsi="Times New Roman"/>
          <w:sz w:val="18"/>
          <w:szCs w:val="18"/>
          <w:color w:val="auto"/>
        </w:rPr>
        <w:t>(In thousands) - Unaudited</w:t>
      </w: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jc w:val="center"/>
              <w:ind w:right="3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0" w:type="dxa"/>
            <w:vAlign w:val="bottom"/>
          </w:tcPr>
          <w:p>
            <w:pPr>
              <w:spacing w:after="0"/>
              <w:rPr>
                <w:sz w:val="16"/>
                <w:szCs w:val="16"/>
                <w:color w:val="auto"/>
              </w:rPr>
            </w:pPr>
          </w:p>
        </w:tc>
        <w:tc>
          <w:tcPr>
            <w:tcW w:w="2500" w:type="dxa"/>
            <w:vAlign w:val="bottom"/>
            <w:gridSpan w:val="4"/>
          </w:tcPr>
          <w:p>
            <w:pPr>
              <w:jc w:val="right"/>
              <w:ind w:right="190"/>
              <w:spacing w:after="0" w:line="186" w:lineRule="exact"/>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1"/>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5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9"/>
        </w:trPr>
        <w:tc>
          <w:tcPr>
            <w:tcW w:w="56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259,445</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787,744</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721,674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 assets held for sale and sold, net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70,231</w:t>
            </w:r>
          </w:p>
        </w:tc>
      </w:tr>
      <w:tr>
        <w:trPr>
          <w:trHeight w:val="189"/>
        </w:trPr>
        <w:tc>
          <w:tcPr>
            <w:tcW w:w="5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in earnings and dividend income from unconsolidated real estate</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r>
      <w:tr>
        <w:trPr>
          <w:trHeight w:val="189"/>
        </w:trPr>
        <w:tc>
          <w:tcPr>
            <w:tcW w:w="5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Impairment loss on unconsolidated joint venture interests and (gain) on sale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unconsolidated joint venture interests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445,189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438,177</w:t>
            </w:r>
          </w:p>
        </w:tc>
      </w:tr>
      <w:tr>
        <w:trPr>
          <w:trHeight w:val="189"/>
        </w:trPr>
        <w:tc>
          <w:tcPr>
            <w:tcW w:w="5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Non-cash interest expense related to amortization of discount on unsecured</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561,003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535,088</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134,405</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 other income and interest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(219,077)</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(220,038)</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tenant insurance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(223,281)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(211,783)</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same-store rental revenue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(59,156)</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(137,496)</w:t>
            </w:r>
          </w:p>
        </w:tc>
      </w:tr>
      <w:tr>
        <w:trPr>
          <w:trHeight w:val="24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 same-store operating expense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41,830</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116,085</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94,463</w:t>
            </w:r>
          </w:p>
        </w:tc>
      </w:tr>
      <w:tr>
        <w:trPr>
          <w:trHeight w:val="26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same-store net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504,674</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1,476,420</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701,681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683,000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2,069,193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2,023,469</w:t>
            </w:r>
          </w:p>
        </w:tc>
      </w:tr>
      <w:tr>
        <w:trPr>
          <w:trHeight w:val="24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197,007</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592,773</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592,226</w:t>
            </w:r>
          </w:p>
        </w:tc>
      </w:tr>
      <w:tr>
        <w:trPr>
          <w:trHeight w:val="26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Same-store net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504,674</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1,476,420</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6" w:name="page17"/>
    <w:bookmarkEnd w:id="16"/>
    <w:p>
      <w:pPr>
        <w:ind w:right="46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Reconciliation of the Range of Estimated GAAP Fully Diluted Earnings Per Share to Estimated Fully Diluted FFO Per Share — for the Year Ending December 31, 2026 </w:t>
      </w:r>
      <w:r>
        <w:rPr>
          <w:rFonts w:ascii="Times New Roman" w:cs="Times New Roman" w:eastAsia="Times New Roman" w:hAnsi="Times New Roman"/>
          <w:sz w:val="18"/>
          <w:szCs w:val="18"/>
          <w:color w:val="auto"/>
        </w:rPr>
        <w:t>- Unaudited</w:t>
      </w: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3480" w:type="dxa"/>
            <w:vAlign w:val="bottom"/>
            <w:gridSpan w:val="4"/>
          </w:tcPr>
          <w:p>
            <w:pPr>
              <w:jc w:val="right"/>
              <w:ind w:right="650"/>
              <w:spacing w:after="0" w:line="186" w:lineRule="exact"/>
              <w:rPr>
                <w:sz w:val="20"/>
                <w:szCs w:val="20"/>
                <w:color w:val="auto"/>
              </w:rPr>
            </w:pPr>
            <w:r>
              <w:rPr>
                <w:rFonts w:ascii="Times New Roman" w:cs="Times New Roman" w:eastAsia="Times New Roman" w:hAnsi="Times New Roman"/>
                <w:sz w:val="18"/>
                <w:szCs w:val="18"/>
                <w:b w:val="1"/>
                <w:bCs w:val="1"/>
                <w:color w:val="auto"/>
              </w:rPr>
              <w:t>For the Year Ending</w:t>
            </w:r>
          </w:p>
        </w:tc>
        <w:tc>
          <w:tcPr>
            <w:tcW w:w="480" w:type="dxa"/>
            <w:vAlign w:val="bottom"/>
          </w:tcPr>
          <w:p>
            <w:pPr>
              <w:spacing w:after="0"/>
              <w:rPr>
                <w:sz w:val="16"/>
                <w:szCs w:val="16"/>
                <w:color w:val="auto"/>
              </w:rPr>
            </w:pPr>
          </w:p>
        </w:tc>
      </w:tr>
      <w:tr>
        <w:trPr>
          <w:trHeight w:val="241"/>
        </w:trPr>
        <w:tc>
          <w:tcPr>
            <w:tcW w:w="728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2026</w:t>
            </w:r>
          </w:p>
        </w:tc>
        <w:tc>
          <w:tcPr>
            <w:tcW w:w="480" w:type="dxa"/>
            <w:vAlign w:val="bottom"/>
            <w:tcBorders>
              <w:bottom w:val="single" w:sz="8" w:color="auto"/>
            </w:tcBorders>
          </w:tcPr>
          <w:p>
            <w:pPr>
              <w:spacing w:after="0"/>
              <w:rPr>
                <w:sz w:val="20"/>
                <w:szCs w:val="20"/>
                <w:color w:val="auto"/>
              </w:rPr>
            </w:pPr>
          </w:p>
        </w:tc>
      </w:tr>
      <w:tr>
        <w:trPr>
          <w:trHeight w:val="239"/>
        </w:trPr>
        <w:tc>
          <w:tcPr>
            <w:tcW w:w="7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Low End</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High End</w:t>
            </w:r>
          </w:p>
        </w:tc>
        <w:tc>
          <w:tcPr>
            <w:tcW w:w="480" w:type="dxa"/>
            <w:vAlign w:val="bottom"/>
            <w:tcBorders>
              <w:bottom w:val="single" w:sz="8" w:color="auto"/>
            </w:tcBorders>
          </w:tcPr>
          <w:p>
            <w:pPr>
              <w:spacing w:after="0"/>
              <w:rPr>
                <w:sz w:val="20"/>
                <w:szCs w:val="20"/>
                <w:color w:val="auto"/>
              </w:rPr>
            </w:pPr>
          </w:p>
        </w:tc>
      </w:tr>
      <w:tr>
        <w:trPr>
          <w:trHeight w:val="23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 per diluted share</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189"/>
        </w:trPr>
        <w:tc>
          <w:tcPr>
            <w:tcW w:w="7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allocated to noncontrolling interest - Preferred Operating Partnership and Operating</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4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Partnership</w:t>
            </w:r>
          </w:p>
        </w:tc>
        <w:tc>
          <w:tcPr>
            <w:tcW w:w="1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for diluted computations</w:t>
            </w:r>
          </w:p>
        </w:tc>
        <w:tc>
          <w:tcPr>
            <w:tcW w:w="1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70"/>
        </w:trPr>
        <w:tc>
          <w:tcPr>
            <w:tcW w:w="7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depreciation</w:t>
            </w:r>
          </w:p>
        </w:tc>
        <w:tc>
          <w:tcPr>
            <w:tcW w:w="13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3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Unconsolidated joint venture real estate depreciation and amortization</w:t>
            </w:r>
          </w:p>
        </w:tc>
        <w:tc>
          <w:tcPr>
            <w:tcW w:w="13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189"/>
        </w:trPr>
        <w:tc>
          <w:tcPr>
            <w:tcW w:w="7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in earnings of unconsolidated real estate ventures - impairment loss on joint venture</w:t>
            </w:r>
          </w:p>
        </w:tc>
        <w:tc>
          <w:tcPr>
            <w:tcW w:w="1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43"/>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13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loss on real estate assets held for sale and sold, net</w:t>
            </w:r>
          </w:p>
        </w:tc>
        <w:tc>
          <w:tcPr>
            <w:tcW w:w="1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attributable to common stockholders</w:t>
            </w:r>
          </w:p>
        </w:tc>
        <w:tc>
          <w:tcPr>
            <w:tcW w:w="1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0"/>
        </w:trPr>
        <w:tc>
          <w:tcPr>
            <w:tcW w:w="7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amortization of discount on unsecured senior notes, net</w:t>
            </w:r>
          </w:p>
        </w:tc>
        <w:tc>
          <w:tcPr>
            <w:tcW w:w="13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other intangibles related to the Life Storage Merger, net of tax benefit</w:t>
            </w:r>
          </w:p>
        </w:tc>
        <w:tc>
          <w:tcPr>
            <w:tcW w:w="13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728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62"/>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Core funds from operations attributable to common stockholders</w:t>
            </w: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Core FFO relates to legal settlement costs with New York City.</w:t>
      </w:r>
    </w:p>
    <w:p>
      <w:pPr>
        <w:sectPr>
          <w:pgSz w:w="11900" w:h="16838" w:orient="portrait"/>
          <w:cols w:equalWidth="0" w:num="1">
            <w:col w:w="11240"/>
          </w:cols>
          <w:pgMar w:left="320" w:top="887" w:right="339" w:bottom="1440" w:gutter="0" w:footer="0" w:header="0"/>
        </w:sectPr>
      </w:pPr>
    </w:p>
    <w:bookmarkStart w:id="17" w:name="page18"/>
    <w:bookmarkEnd w:id="17"/>
    <w:p>
      <w:pPr>
        <w:ind w:right="36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Reconciliation of Estimated GAAP Net Income to Estimated Same-Store Net Operating Income — for the Year Ending December 31, 2026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thousands) -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Ending December 31, 2026</w:t>
            </w:r>
          </w:p>
        </w:tc>
        <w:tc>
          <w:tcPr>
            <w:tcW w:w="820" w:type="dxa"/>
            <w:vAlign w:val="bottom"/>
            <w:tcBorders>
              <w:bottom w:val="single" w:sz="8" w:color="auto"/>
            </w:tcBorders>
          </w:tcPr>
          <w:p>
            <w:pPr>
              <w:spacing w:after="0"/>
              <w:rPr>
                <w:sz w:val="20"/>
                <w:szCs w:val="20"/>
                <w:color w:val="auto"/>
              </w:rPr>
            </w:pPr>
          </w:p>
        </w:tc>
      </w:tr>
      <w:tr>
        <w:trPr>
          <w:trHeight w:val="237"/>
        </w:trPr>
        <w:tc>
          <w:tcPr>
            <w:tcW w:w="64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8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820" w:type="dxa"/>
            <w:vAlign w:val="bottom"/>
            <w:tcBorders>
              <w:bottom w:val="single" w:sz="8" w:color="auto"/>
            </w:tcBorders>
          </w:tcPr>
          <w:p>
            <w:pPr>
              <w:spacing w:after="0"/>
              <w:rPr>
                <w:sz w:val="20"/>
                <w:szCs w:val="20"/>
                <w:color w:val="auto"/>
              </w:rPr>
            </w:pPr>
          </w:p>
        </w:tc>
      </w:tr>
      <w:tr>
        <w:trPr>
          <w:trHeight w:val="250"/>
        </w:trPr>
        <w:tc>
          <w:tcPr>
            <w:tcW w:w="6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1,057,400</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1,086,700</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w:t>
            </w:r>
          </w:p>
        </w:tc>
        <w:tc>
          <w:tcPr>
            <w:tcW w:w="1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1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604,000</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602,000</w:t>
            </w:r>
          </w:p>
        </w:tc>
      </w:tr>
      <w:tr>
        <w:trPr>
          <w:trHeight w:val="189"/>
        </w:trPr>
        <w:tc>
          <w:tcPr>
            <w:tcW w:w="64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Non-cash interest expense related to amortization of discount on unsecured senior</w:t>
            </w:r>
          </w:p>
        </w:tc>
        <w:tc>
          <w:tcPr>
            <w:tcW w:w="1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4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net</w:t>
            </w:r>
          </w:p>
        </w:tc>
        <w:tc>
          <w:tcPr>
            <w:tcW w:w="1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4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189,500</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188,500</w:t>
            </w:r>
          </w:p>
        </w:tc>
      </w:tr>
      <w:tr>
        <w:trPr>
          <w:trHeight w:val="24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1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(139,000)</w:t>
            </w: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w:t>
            </w:r>
          </w:p>
        </w:tc>
      </w:tr>
      <w:tr>
        <w:trPr>
          <w:trHeight w:val="24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tenant reinsurance income</w:t>
            </w:r>
          </w:p>
        </w:tc>
        <w:tc>
          <w:tcPr>
            <w:tcW w:w="1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(298,000)</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 same-store rental revenues</w:t>
            </w:r>
          </w:p>
        </w:tc>
        <w:tc>
          <w:tcPr>
            <w:tcW w:w="1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r>
      <w:tr>
        <w:trPr>
          <w:trHeight w:val="24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 same-store operating expenses</w:t>
            </w:r>
          </w:p>
        </w:tc>
        <w:tc>
          <w:tcPr>
            <w:tcW w:w="1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154,500</w:t>
            </w:r>
          </w:p>
        </w:tc>
        <w:tc>
          <w:tcPr>
            <w:tcW w:w="3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w:t>
            </w:r>
          </w:p>
        </w:tc>
      </w:tr>
      <w:tr>
        <w:trPr>
          <w:trHeight w:val="237"/>
        </w:trPr>
        <w:tc>
          <w:tcPr>
            <w:tcW w:w="648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Total same-store net operating income</w:t>
            </w:r>
            <w:r>
              <w:rPr>
                <w:rFonts w:ascii="Times New Roman" w:cs="Times New Roman" w:eastAsia="Times New Roman" w:hAnsi="Times New Roman"/>
                <w:sz w:val="23"/>
                <w:szCs w:val="23"/>
                <w:b w:val="1"/>
                <w:bCs w:val="1"/>
                <w:color w:val="auto"/>
                <w:vertAlign w:val="superscript"/>
              </w:rPr>
              <w:t>1</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1,965,900</w:t>
            </w:r>
          </w:p>
        </w:tc>
        <w:tc>
          <w:tcPr>
            <w:tcW w:w="380" w:type="dxa"/>
            <w:vAlign w:val="bottom"/>
          </w:tcPr>
          <w:p>
            <w:pPr>
              <w:spacing w:after="0"/>
              <w:rPr>
                <w:sz w:val="20"/>
                <w:szCs w:val="20"/>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1,983,700</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43"/>
        </w:trPr>
        <w:tc>
          <w:tcPr>
            <w:tcW w:w="648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Same-store rental revenues</w:t>
            </w:r>
            <w:r>
              <w:rPr>
                <w:rFonts w:ascii="Times New Roman" w:cs="Times New Roman" w:eastAsia="Times New Roman" w:hAnsi="Times New Roman"/>
                <w:sz w:val="23"/>
                <w:szCs w:val="23"/>
                <w:color w:val="auto"/>
                <w:vertAlign w:val="superscript"/>
              </w:rPr>
              <w:t>1</w:t>
            </w:r>
          </w:p>
        </w:tc>
        <w:tc>
          <w:tcPr>
            <w:tcW w:w="1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2,756,000</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2,770,000</w:t>
            </w:r>
          </w:p>
        </w:tc>
      </w:tr>
      <w:tr>
        <w:trPr>
          <w:trHeight w:val="243"/>
        </w:trPr>
        <w:tc>
          <w:tcPr>
            <w:tcW w:w="64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Same-store operating expenses</w:t>
            </w:r>
            <w:r>
              <w:rPr>
                <w:rFonts w:ascii="Times New Roman" w:cs="Times New Roman" w:eastAsia="Times New Roman" w:hAnsi="Times New Roman"/>
                <w:sz w:val="23"/>
                <w:szCs w:val="23"/>
                <w:color w:val="auto"/>
                <w:vertAlign w:val="superscript"/>
              </w:rPr>
              <w:t>1</w:t>
            </w:r>
          </w:p>
        </w:tc>
        <w:tc>
          <w:tcPr>
            <w:tcW w:w="1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790,100</w:t>
            </w:r>
          </w:p>
        </w:tc>
        <w:tc>
          <w:tcPr>
            <w:tcW w:w="3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786,300</w:t>
            </w:r>
          </w:p>
        </w:tc>
      </w:tr>
      <w:tr>
        <w:trPr>
          <w:trHeight w:val="236"/>
        </w:trPr>
        <w:tc>
          <w:tcPr>
            <w:tcW w:w="648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Total same-store net operating income</w:t>
            </w:r>
            <w:r>
              <w:rPr>
                <w:rFonts w:ascii="Times New Roman" w:cs="Times New Roman" w:eastAsia="Times New Roman" w:hAnsi="Times New Roman"/>
                <w:sz w:val="23"/>
                <w:szCs w:val="23"/>
                <w:b w:val="1"/>
                <w:bCs w:val="1"/>
                <w:color w:val="auto"/>
                <w:vertAlign w:val="superscript"/>
              </w:rPr>
              <w:t>1</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1,965,900</w:t>
            </w:r>
          </w:p>
        </w:tc>
        <w:tc>
          <w:tcPr>
            <w:tcW w:w="380" w:type="dxa"/>
            <w:vAlign w:val="bottom"/>
          </w:tcPr>
          <w:p>
            <w:pPr>
              <w:spacing w:after="0"/>
              <w:rPr>
                <w:sz w:val="20"/>
                <w:szCs w:val="20"/>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1,983,700</w:t>
            </w:r>
          </w:p>
        </w:tc>
      </w:tr>
      <w:tr>
        <w:trPr>
          <w:trHeight w:val="20"/>
        </w:trPr>
        <w:tc>
          <w:tcPr>
            <w:tcW w:w="6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60" w:right="280" w:hanging="652"/>
        <w:spacing w:after="0" w:line="271"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same-store rental revenues, operating expenses and net operating income are for the Company's 2026 same-store pool of 1,869 stores. On January 1, 2026, the Company updated the property count of the same-store pool from 1,804 to 1,871 stores. In the quarter ended March 31, 2026, one property was removed due to a casualty loss, reducing the same-store pool to 1,870 stores. In the quarter ended September 30, 2026, one property was removed due to redevelopment reducing the same-store pool to 1,869 stores.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2026-10-27T15:27:10Z</dcterms:created>
  <dcterms:modified xsi:type="dcterms:W3CDTF">2026-10-27T15:27:10Z</dcterms:modified>
</cp:coreProperties>
</file>