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81280</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30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5" w:lineRule="exact"/>
        <w:rPr>
          <w:sz w:val="24"/>
          <w:szCs w:val="24"/>
          <w:color w:val="auto"/>
        </w:rPr>
      </w:pPr>
    </w:p>
    <w:p>
      <w:pPr>
        <w:ind w:left="2400"/>
        <w:spacing w:after="0"/>
        <w:tabs>
          <w:tab w:leader="none" w:pos="8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20-1076777</w:t>
      </w:r>
    </w:p>
    <w:p>
      <w:pPr>
        <w:spacing w:after="0" w:line="8" w:lineRule="exact"/>
        <w:rPr>
          <w:sz w:val="24"/>
          <w:szCs w:val="24"/>
          <w:color w:val="auto"/>
        </w:rPr>
      </w:pPr>
    </w:p>
    <w:p>
      <w:pPr>
        <w:ind w:left="1880"/>
        <w:spacing w:after="0"/>
        <w:tabs>
          <w:tab w:leader="none" w:pos="80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40"/>
        <w:spacing w:after="0"/>
        <w:tabs>
          <w:tab w:leader="none" w:pos="79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2795 East Cottonwood Parkway, Suite 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36"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20"/>
        </w:trPr>
        <w:tc>
          <w:tcPr>
            <w:tcW w:w="384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Common Stock, $0.01 par value</w:t>
            </w:r>
          </w:p>
        </w:tc>
        <w:tc>
          <w:tcPr>
            <w:tcW w:w="2760" w:type="dxa"/>
            <w:vAlign w:val="bottom"/>
            <w:gridSpan w:val="2"/>
          </w:tcPr>
          <w:p>
            <w:pPr>
              <w:jc w:val="center"/>
              <w:ind w:right="1520"/>
              <w:spacing w:after="0"/>
              <w:rPr>
                <w:sz w:val="20"/>
                <w:szCs w:val="20"/>
                <w:color w:val="auto"/>
              </w:rPr>
            </w:pPr>
            <w:r>
              <w:rPr>
                <w:rFonts w:ascii="Arial" w:cs="Arial" w:eastAsia="Arial" w:hAnsi="Arial"/>
                <w:sz w:val="18"/>
                <w:szCs w:val="18"/>
                <w:color w:val="auto"/>
                <w:w w:val="97"/>
              </w:rPr>
              <w:t>EXR</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39"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00"/>
          </w:cols>
          <w:pgMar w:left="320" w:top="544" w:right="379" w:bottom="1440" w:gutter="0" w:footer="0" w:header="0"/>
        </w:sectPr>
      </w:pP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par value $0.01 per share, as of November 1, 2021, was 133,891,804.</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60" w:type="dxa"/>
            <w:vAlign w:val="bottom"/>
            <w:gridSpan w:val="2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98"/>
              </w:rPr>
              <w:t>EXTRA SPACE STORAGE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6"/>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STATEMENT ON FORWARD-LOOKING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gridSpan w:val="1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1620" w:type="dxa"/>
            <w:vAlign w:val="bottom"/>
            <w:gridSpan w:val="5"/>
          </w:tcPr>
          <w:p>
            <w:pPr>
              <w:spacing w:after="0"/>
              <w:rPr>
                <w:sz w:val="22"/>
                <w:szCs w:val="22"/>
                <w:color w:val="auto"/>
              </w:rPr>
            </w:pPr>
          </w:p>
        </w:tc>
        <w:tc>
          <w:tcPr>
            <w:tcW w:w="5340" w:type="dxa"/>
            <w:vAlign w:val="bottom"/>
            <w:gridSpan w:val="5"/>
          </w:tcPr>
          <w:p>
            <w:pPr>
              <w:spacing w:after="0"/>
              <w:rPr>
                <w:sz w:val="22"/>
                <w:szCs w:val="22"/>
                <w:color w:val="auto"/>
              </w:rPr>
            </w:pPr>
          </w:p>
        </w:tc>
        <w:tc>
          <w:tcPr>
            <w:tcW w:w="11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 FINANCIAL STATEMENTS (unaudited)</w:t>
              </w:r>
            </w:hyperlink>
          </w:p>
        </w:tc>
        <w:tc>
          <w:tcPr>
            <w:tcW w:w="11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80" w:type="dxa"/>
            <w:vAlign w:val="bottom"/>
            <w:gridSpan w:val="18"/>
          </w:tcPr>
          <w:p>
            <w:pPr>
              <w:spacing w:after="0"/>
              <w:rPr>
                <w:rFonts w:ascii="Arial" w:cs="Arial" w:eastAsia="Arial" w:hAnsi="Arial"/>
                <w:sz w:val="18"/>
                <w:szCs w:val="18"/>
                <w:b w:val="1"/>
                <w:bCs w:val="1"/>
                <w:color w:val="0000FF"/>
              </w:rPr>
            </w:pPr>
            <w:hyperlink w:anchor="page12">
              <w:r>
                <w:rPr>
                  <w:rFonts w:ascii="Arial" w:cs="Arial" w:eastAsia="Arial" w:hAnsi="Arial"/>
                  <w:sz w:val="18"/>
                  <w:szCs w:val="18"/>
                  <w:b w:val="1"/>
                  <w:bCs w:val="1"/>
                  <w:color w:val="0000FF"/>
                </w:rPr>
                <w:t>NOTES TO CONDENSED CONSOLIDATED FINANCIAL STATEMENTS</w:t>
              </w:r>
            </w:hyperlink>
          </w:p>
        </w:tc>
        <w:tc>
          <w:tcPr>
            <w:tcW w:w="112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0" w:type="dxa"/>
            <w:vAlign w:val="bottom"/>
            <w:tcBorders>
              <w:bottom w:val="single" w:sz="8" w:color="0000FF"/>
            </w:tcBorders>
            <w:gridSpan w:val="18"/>
          </w:tcPr>
          <w:p>
            <w:pPr>
              <w:ind w:left="20"/>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82" w:lineRule="exact"/>
              <w:rPr>
                <w:rFonts w:ascii="Arial" w:cs="Arial" w:eastAsia="Arial" w:hAnsi="Arial"/>
                <w:sz w:val="18"/>
                <w:szCs w:val="18"/>
                <w:b w:val="1"/>
                <w:bCs w:val="1"/>
                <w:color w:val="0000FF"/>
                <w:w w:val="97"/>
              </w:rPr>
            </w:pPr>
            <w:hyperlink w:anchor="page28">
              <w:r>
                <w:rPr>
                  <w:rFonts w:ascii="Arial" w:cs="Arial" w:eastAsia="Arial" w:hAnsi="Arial"/>
                  <w:sz w:val="18"/>
                  <w:szCs w:val="18"/>
                  <w:b w:val="1"/>
                  <w:bCs w:val="1"/>
                  <w:color w:val="0000FF"/>
                  <w:w w:val="97"/>
                </w:rPr>
                <w:t>OPERATIONS</w:t>
              </w:r>
            </w:hyperlink>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0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9"/>
            <w:vMerge w:val="restart"/>
          </w:tcPr>
          <w:p>
            <w:pPr>
              <w:ind w:left="20"/>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3. QUANTITATIVE AND QUALITATIVE DISCLOSURES ABOUT MARKET RISK</w:t>
              </w:r>
            </w:hyperlink>
          </w:p>
        </w:tc>
        <w:tc>
          <w:tcPr>
            <w:tcW w:w="94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19"/>
            <w:vMerge w:val="continue"/>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60" w:type="dxa"/>
            <w:vAlign w:val="bottom"/>
            <w:tcBorders>
              <w:top w:val="single" w:sz="8" w:color="0000FF"/>
            </w:tcBorders>
            <w:gridSpan w:val="17"/>
          </w:tcPr>
          <w:p>
            <w:pPr>
              <w:ind w:left="20"/>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4. CONTROLS AND PROCEDURES</w:t>
              </w:r>
            </w:hyperlink>
          </w:p>
        </w:tc>
        <w:tc>
          <w:tcPr>
            <w:tcW w:w="25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 OTHER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1. LEGAL PROCEEDINGS</w:t>
              </w:r>
            </w:hyperlink>
          </w:p>
        </w:tc>
        <w:tc>
          <w:tcPr>
            <w:tcW w:w="11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Borders>
              <w:top w:val="single" w:sz="8" w:color="0000FF"/>
              <w:bottom w:val="single" w:sz="8" w:color="0000FF"/>
            </w:tcBorders>
            <w:gridSpan w:val="6"/>
          </w:tcPr>
          <w:p>
            <w:pPr>
              <w:ind w:left="20"/>
              <w:spacing w:after="0"/>
              <w:rPr>
                <w:rFonts w:ascii="Arial" w:cs="Arial" w:eastAsia="Arial" w:hAnsi="Arial"/>
                <w:sz w:val="18"/>
                <w:szCs w:val="18"/>
                <w:b w:val="1"/>
                <w:bCs w:val="1"/>
                <w:color w:val="0000FF"/>
                <w:w w:val="99"/>
              </w:rPr>
            </w:pPr>
            <w:hyperlink w:anchor="page42">
              <w:r>
                <w:rPr>
                  <w:rFonts w:ascii="Arial" w:cs="Arial" w:eastAsia="Arial" w:hAnsi="Arial"/>
                  <w:sz w:val="18"/>
                  <w:szCs w:val="18"/>
                  <w:b w:val="1"/>
                  <w:bCs w:val="1"/>
                  <w:color w:val="0000FF"/>
                  <w:w w:val="99"/>
                </w:rPr>
                <w:t>ITEM 1A. RISK FACTORS</w:t>
              </w:r>
            </w:hyperlink>
          </w:p>
        </w:tc>
        <w:tc>
          <w:tcPr>
            <w:tcW w:w="520" w:type="dxa"/>
            <w:vAlign w:val="bottom"/>
            <w:tcBorders>
              <w:top w:val="single" w:sz="8" w:color="0000FF"/>
            </w:tcBorders>
            <w:gridSpan w:val="2"/>
          </w:tcPr>
          <w:p>
            <w:pPr>
              <w:spacing w:after="0"/>
              <w:rPr>
                <w:sz w:val="18"/>
                <w:szCs w:val="18"/>
                <w:color w:val="auto"/>
              </w:rPr>
            </w:pPr>
          </w:p>
        </w:tc>
        <w:tc>
          <w:tcPr>
            <w:tcW w:w="702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2. UNREGISTERED SALES OF EQUITY SECURITIES AND USE OF PROCEEDS</w:t>
              </w:r>
            </w:hyperlink>
          </w:p>
        </w:tc>
        <w:tc>
          <w:tcPr>
            <w:tcW w:w="11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tcBorders>
              <w:top w:val="single" w:sz="8" w:color="0000FF"/>
            </w:tcBorders>
            <w:gridSpan w:val="16"/>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3. DEFAULTS UPON SENIOR SECURITIES</w:t>
              </w:r>
            </w:hyperlink>
          </w:p>
        </w:tc>
        <w:tc>
          <w:tcPr>
            <w:tcW w:w="262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Borders>
              <w:top w:val="single" w:sz="8" w:color="0000FF"/>
              <w:bottom w:val="single" w:sz="8" w:color="0000FF"/>
            </w:tcBorders>
            <w:gridSpan w:val="10"/>
          </w:tcPr>
          <w:p>
            <w:pPr>
              <w:ind w:left="20"/>
              <w:spacing w:after="0"/>
              <w:rPr>
                <w:rFonts w:ascii="Arial" w:cs="Arial" w:eastAsia="Arial" w:hAnsi="Arial"/>
                <w:sz w:val="18"/>
                <w:szCs w:val="18"/>
                <w:b w:val="1"/>
                <w:bCs w:val="1"/>
                <w:color w:val="0000FF"/>
                <w:w w:val="99"/>
              </w:rPr>
            </w:pPr>
            <w:hyperlink w:anchor="page42">
              <w:r>
                <w:rPr>
                  <w:rFonts w:ascii="Arial" w:cs="Arial" w:eastAsia="Arial" w:hAnsi="Arial"/>
                  <w:sz w:val="18"/>
                  <w:szCs w:val="18"/>
                  <w:b w:val="1"/>
                  <w:bCs w:val="1"/>
                  <w:color w:val="0000FF"/>
                  <w:w w:val="99"/>
                </w:rPr>
                <w:t>ITEM 4. MINE SAFETY DISCLOSURES</w:t>
              </w:r>
            </w:hyperlink>
          </w:p>
        </w:tc>
        <w:tc>
          <w:tcPr>
            <w:tcW w:w="780" w:type="dxa"/>
            <w:vAlign w:val="bottom"/>
            <w:tcBorders>
              <w:top w:val="single" w:sz="8" w:color="0000FF"/>
            </w:tcBorders>
            <w:gridSpan w:val="3"/>
          </w:tcPr>
          <w:p>
            <w:pPr>
              <w:spacing w:after="0"/>
              <w:rPr>
                <w:sz w:val="18"/>
                <w:szCs w:val="18"/>
                <w:color w:val="auto"/>
              </w:rPr>
            </w:pPr>
          </w:p>
        </w:tc>
        <w:tc>
          <w:tcPr>
            <w:tcW w:w="566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Borders>
              <w:bottom w:val="single" w:sz="8" w:color="0000FF"/>
            </w:tcBorders>
            <w:gridSpan w:val="9"/>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5. OTHER INFORMATION</w:t>
              </w:r>
            </w:hyperlink>
          </w:p>
        </w:tc>
        <w:tc>
          <w:tcPr>
            <w:tcW w:w="696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6. EXHIBITS</w:t>
              </w:r>
            </w:hyperlink>
          </w:p>
        </w:tc>
        <w:tc>
          <w:tcPr>
            <w:tcW w:w="11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0000FF"/>
            </w:tcBorders>
            <w:gridSpan w:val="4"/>
          </w:tcPr>
          <w:p>
            <w:pPr>
              <w:ind w:left="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SIGNATURES</w:t>
              </w:r>
            </w:hyperlink>
          </w:p>
        </w:tc>
        <w:tc>
          <w:tcPr>
            <w:tcW w:w="8140" w:type="dxa"/>
            <w:vAlign w:val="bottom"/>
            <w:gridSpan w:val="15"/>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80" w:hanging="329"/>
        <w:spacing w:after="0" w:line="263"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color w:val="auto"/>
                <w:w w:val="87"/>
              </w:rPr>
              <w:t>(amounts in thousands, except share data)</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7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Real estate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8,272,671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7,893,802</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 estate assets - 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Investments in unconsolidated real estate entities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397,444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in debt securities and notes receivable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109,124</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130,611</w:t>
            </w: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Noncontrolling Interests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payable,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4,797,303</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Revolving lines of credit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949,000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263,485</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distributions in unconsolidated real estate ventures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272,798</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6,325,484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6,459,724</w:t>
            </w:r>
          </w:p>
        </w:tc>
        <w:tc>
          <w:tcPr>
            <w:tcW w:w="0" w:type="dxa"/>
            <w:vAlign w:val="bottom"/>
          </w:tcPr>
          <w:p>
            <w:pPr>
              <w:spacing w:after="0"/>
              <w:rPr>
                <w:sz w:val="1"/>
                <w:szCs w:val="1"/>
                <w:color w:val="auto"/>
              </w:rPr>
            </w:pP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Extra Space Storage Inc. 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5"/>
              </w:rPr>
              <w:t>Common stock, $0.01 par value, 500,000,000 shares authorized, 133,819,163 and 131,357,961</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7840" w:type="dxa"/>
            <w:vAlign w:val="bottom"/>
            <w:gridSpan w:val="2"/>
          </w:tcPr>
          <w:p>
            <w:pPr>
              <w:ind w:left="520"/>
              <w:spacing w:after="0"/>
              <w:rPr>
                <w:sz w:val="20"/>
                <w:szCs w:val="20"/>
                <w:color w:val="auto"/>
              </w:rPr>
            </w:pPr>
            <w:r>
              <w:rPr>
                <w:rFonts w:ascii="Arial" w:cs="Arial" w:eastAsia="Arial" w:hAnsi="Arial"/>
                <w:sz w:val="18"/>
                <w:szCs w:val="18"/>
                <w:color w:val="auto"/>
                <w:w w:val="99"/>
              </w:rPr>
              <w:t>shares issued and outstanding at September 30, 2021 and December 31, 2020, respectively</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3,000,458</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(99,093)</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Extra Space Storage Inc. stockholders' equity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2,991,762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2,547,779</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216,293</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noncontrolling interests and equity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2,936,124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liabilities, noncontrolling interests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9,708,359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w:t>
            </w: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For the Nine Months Ended September</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3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Property rental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351,355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290,423</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976,448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856,438</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reinsurance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107,985</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Management fees and other income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38,299</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343,024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1,149,979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1,002,722</w:t>
            </w:r>
          </w:p>
        </w:tc>
        <w:tc>
          <w:tcPr>
            <w:tcW w:w="0" w:type="dxa"/>
            <w:vAlign w:val="bottom"/>
          </w:tcPr>
          <w:p>
            <w:pPr>
              <w:spacing w:after="0"/>
              <w:rPr>
                <w:sz w:val="1"/>
                <w:szCs w:val="1"/>
                <w:color w:val="auto"/>
              </w:rPr>
            </w:pPr>
          </w:p>
        </w:tc>
      </w:tr>
      <w:tr>
        <w:trPr>
          <w:trHeight w:val="193"/>
        </w:trPr>
        <w:tc>
          <w:tcPr>
            <w:tcW w:w="61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271,659</w:t>
            </w: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Tenant reinsurance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20,725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72,242</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167,705</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532,331</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664,180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470,391</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(127,610)</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Non-cash interest expense related to amortization of discount on equity component of</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exchangeable senior notes</w:t>
            </w: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9"/>
              </w:rPr>
              <w:t>Income before equity in earnings and dividend income from unconsolidated real estate</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198,337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122,906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580,446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345,594</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ventures and income tax expense</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15,692</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Equity in earnings of unconsolidated real estate ventures - gain on sale of real estate assets</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purchase of joint venture partner's interest</w:t>
            </w: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(10,013)</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351,273</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(9,498)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(16,052)</w:t>
            </w: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114,633</w:t>
            </w:r>
          </w:p>
        </w:tc>
        <w:tc>
          <w:tcPr>
            <w:tcW w:w="16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559,222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325,723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6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133,809,750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128,862,341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133,197,903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129,044,954</w:t>
            </w: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140,425,269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129,871,096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139,854,881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130,066,121</w:t>
            </w: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per common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88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8"/>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88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70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r>
      <w:tr>
        <w:trPr>
          <w:trHeight w:val="211"/>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351,273</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interest rate swaps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11,181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36,685</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(83,791)</w:t>
            </w:r>
          </w:p>
        </w:tc>
      </w:tr>
      <w:tr>
        <w:trPr>
          <w:trHeight w:val="206"/>
        </w:trPr>
        <w:tc>
          <w:tcPr>
            <w:tcW w:w="70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207,875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135,035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630,585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267,482</w:t>
            </w:r>
          </w:p>
        </w:tc>
      </w:tr>
      <w:tr>
        <w:trPr>
          <w:trHeight w:val="216"/>
        </w:trPr>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21,501</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195,951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125,181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594,160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245,981</w:t>
            </w: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Noncontrolling Interests and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3400" w:type="dxa"/>
        <w:tblCellMar>
          <w:top w:w="0" w:type="dxa"/>
          <w:left w:w="0" w:type="dxa"/>
          <w:bottom w:w="0" w:type="dxa"/>
          <w:right w:w="0" w:type="dxa"/>
        </w:tblCellMar>
      </w:tblPr>
      <w:tr>
        <w:trPr>
          <w:trHeight w:val="192"/>
        </w:trPr>
        <w:tc>
          <w:tcPr>
            <w:tcW w:w="2280" w:type="dxa"/>
            <w:vAlign w:val="bottom"/>
            <w:gridSpan w:val="3"/>
          </w:tcPr>
          <w:p>
            <w:pPr>
              <w:ind w:left="360"/>
              <w:spacing w:after="0"/>
              <w:rPr>
                <w:sz w:val="20"/>
                <w:szCs w:val="20"/>
                <w:color w:val="auto"/>
              </w:rPr>
            </w:pPr>
            <w:r>
              <w:rPr>
                <w:rFonts w:ascii="Arial" w:cs="Arial" w:eastAsia="Arial" w:hAnsi="Arial"/>
                <w:sz w:val="14"/>
                <w:szCs w:val="14"/>
                <w:b w:val="1"/>
                <w:bCs w:val="1"/>
                <w:color w:val="auto"/>
              </w:rPr>
              <w:t>Noncontrolling Interests</w:t>
            </w:r>
          </w:p>
        </w:tc>
        <w:tc>
          <w:tcPr>
            <w:tcW w:w="740" w:type="dxa"/>
            <w:vAlign w:val="bottom"/>
          </w:tcPr>
          <w:p>
            <w:pPr>
              <w:spacing w:after="0"/>
              <w:rPr>
                <w:sz w:val="16"/>
                <w:szCs w:val="16"/>
                <w:color w:val="auto"/>
              </w:rPr>
            </w:pPr>
          </w:p>
        </w:tc>
        <w:tc>
          <w:tcPr>
            <w:tcW w:w="3740" w:type="dxa"/>
            <w:vAlign w:val="bottom"/>
            <w:gridSpan w:val="4"/>
          </w:tcPr>
          <w:p>
            <w:pPr>
              <w:ind w:left="80"/>
              <w:spacing w:after="0"/>
              <w:rPr>
                <w:sz w:val="20"/>
                <w:szCs w:val="20"/>
                <w:color w:val="auto"/>
              </w:rPr>
            </w:pPr>
            <w:r>
              <w:rPr>
                <w:rFonts w:ascii="Arial" w:cs="Arial" w:eastAsia="Arial" w:hAnsi="Arial"/>
                <w:sz w:val="14"/>
                <w:szCs w:val="14"/>
                <w:b w:val="1"/>
                <w:bCs w:val="1"/>
                <w:color w:val="auto"/>
              </w:rPr>
              <w:t>Extra Space Storage Inc. Stockholders' 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tcBorders>
              <w:top w:val="single" w:sz="8" w:color="auto"/>
            </w:tcBorders>
          </w:tcPr>
          <w:p>
            <w:pPr>
              <w:spacing w:after="0"/>
              <w:rPr>
                <w:sz w:val="11"/>
                <w:szCs w:val="11"/>
                <w:color w:val="auto"/>
              </w:rPr>
            </w:pP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820" w:type="dxa"/>
            <w:vAlign w:val="bottom"/>
            <w:vMerge w:val="continue"/>
          </w:tcPr>
          <w:p>
            <w:pPr>
              <w:spacing w:after="0"/>
              <w:rPr>
                <w:sz w:val="11"/>
                <w:szCs w:val="11"/>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Operating</w:t>
            </w:r>
          </w:p>
        </w:tc>
        <w:tc>
          <w:tcPr>
            <w:tcW w:w="740" w:type="dxa"/>
            <w:vAlign w:val="bottom"/>
          </w:tcPr>
          <w:p>
            <w:pPr>
              <w:spacing w:after="0"/>
              <w:rPr>
                <w:sz w:val="11"/>
                <w:szCs w:val="11"/>
                <w:color w:val="auto"/>
              </w:rPr>
            </w:pPr>
          </w:p>
        </w:tc>
        <w:tc>
          <w:tcPr>
            <w:tcW w:w="8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7"/>
              </w:rPr>
              <w:t>Par</w:t>
            </w:r>
          </w:p>
        </w:tc>
        <w:tc>
          <w:tcPr>
            <w:tcW w:w="88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Operating</w:t>
            </w:r>
          </w:p>
        </w:tc>
        <w:tc>
          <w:tcPr>
            <w:tcW w:w="1460" w:type="dxa"/>
            <w:vAlign w:val="bottom"/>
            <w:gridSpan w:val="2"/>
            <w:vMerge w:val="continue"/>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Shares</w:t>
            </w:r>
          </w:p>
        </w:tc>
        <w:tc>
          <w:tcPr>
            <w:tcW w:w="86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vMerge w:val="continue"/>
          </w:tcPr>
          <w:p>
            <w:pPr>
              <w:spacing w:after="0"/>
              <w:rPr>
                <w:sz w:val="11"/>
                <w:szCs w:val="11"/>
                <w:color w:val="auto"/>
              </w:rPr>
            </w:pP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6"/>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Partnership  Other</w:t>
            </w:r>
          </w:p>
        </w:tc>
        <w:tc>
          <w:tcPr>
            <w:tcW w:w="740" w:type="dxa"/>
            <w:vAlign w:val="bottom"/>
            <w:vMerge w:val="continue"/>
          </w:tcPr>
          <w:p>
            <w:pPr>
              <w:spacing w:after="0"/>
              <w:rPr>
                <w:sz w:val="16"/>
                <w:szCs w:val="16"/>
                <w:color w:val="auto"/>
              </w:rPr>
            </w:pP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175,948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205,419</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$ 366</w:t>
            </w:r>
          </w:p>
        </w:tc>
        <w:tc>
          <w:tcPr>
            <w:tcW w:w="0" w:type="dxa"/>
            <w:vAlign w:val="bottom"/>
          </w:tcPr>
          <w:p>
            <w:pPr>
              <w:spacing w:after="0"/>
              <w:rPr>
                <w:sz w:val="1"/>
                <w:szCs w:val="1"/>
                <w:color w:val="auto"/>
              </w:rPr>
            </w:pPr>
          </w:p>
        </w:tc>
      </w:tr>
      <w:tr>
        <w:trPr>
          <w:trHeight w:val="162"/>
        </w:trPr>
        <w:tc>
          <w:tcPr>
            <w:tcW w:w="3400" w:type="dxa"/>
            <w:vAlign w:val="bottom"/>
          </w:tcPr>
          <w:p>
            <w:pPr>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Buyback of common stock, net of offering costs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4,877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(3,178)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(5,327)</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w w:val="91"/>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175,319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200,832</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$ 360</w:t>
            </w:r>
          </w:p>
        </w:tc>
        <w:tc>
          <w:tcPr>
            <w:tcW w:w="0" w:type="dxa"/>
            <w:vAlign w:val="bottom"/>
          </w:tcPr>
          <w:p>
            <w:pPr>
              <w:spacing w:after="0"/>
              <w:rPr>
                <w:sz w:val="1"/>
                <w:szCs w:val="1"/>
                <w:color w:val="auto"/>
              </w:rPr>
            </w:pPr>
          </w:p>
        </w:tc>
      </w:tr>
      <w:tr>
        <w:trPr>
          <w:trHeight w:val="151"/>
        </w:trPr>
        <w:tc>
          <w:tcPr>
            <w:tcW w:w="3400" w:type="dxa"/>
            <w:vAlign w:val="bottom"/>
          </w:tcPr>
          <w:p>
            <w:pPr>
              <w:spacing w:after="0" w:line="152"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Buyback of common stock, net of offering costs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(3,675)</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6"/>
              </w:rPr>
              <w:t>Redemption of Preferred D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Partnership for Stock</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venture</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5,216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(3,151)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(5,235)</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w w:val="91"/>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172,542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196,867</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$ 419</w:t>
            </w:r>
          </w:p>
        </w:tc>
        <w:tc>
          <w:tcPr>
            <w:tcW w:w="0" w:type="dxa"/>
            <w:vAlign w:val="bottom"/>
          </w:tcPr>
          <w:p>
            <w:pPr>
              <w:spacing w:after="0"/>
              <w:rPr>
                <w:sz w:val="1"/>
                <w:szCs w:val="1"/>
                <w:color w:val="auto"/>
              </w:rPr>
            </w:pPr>
          </w:p>
        </w:tc>
      </w:tr>
      <w:tr>
        <w:trPr>
          <w:trHeight w:val="151"/>
        </w:trPr>
        <w:tc>
          <w:tcPr>
            <w:tcW w:w="3400" w:type="dxa"/>
            <w:vAlign w:val="bottom"/>
          </w:tcPr>
          <w:p>
            <w:pPr>
              <w:spacing w:after="0" w:line="152"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-4436110</wp:posOffset>
            </wp:positionV>
            <wp:extent cx="71323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-4058920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-3681730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-3407410</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-3030220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-2644140</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-2266950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-1890395</wp:posOffset>
            </wp:positionV>
            <wp:extent cx="71323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-1136015</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-758190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-372745</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129,534,407</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$1,295</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$2,868,681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(28,966)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(301,049)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2,921,694</w:t>
            </w:r>
          </w:p>
        </w:tc>
      </w:tr>
      <w:tr>
        <w:trPr>
          <w:trHeight w:val="374"/>
        </w:trPr>
        <w:tc>
          <w:tcPr>
            <w:tcW w:w="940" w:type="dxa"/>
            <w:vAlign w:val="bottom"/>
          </w:tcPr>
          <w:p>
            <w:pPr>
              <w:jc w:val="right"/>
              <w:spacing w:after="0"/>
              <w:rPr>
                <w:sz w:val="20"/>
                <w:szCs w:val="20"/>
                <w:color w:val="auto"/>
              </w:rPr>
            </w:pPr>
            <w:r>
              <w:rPr>
                <w:rFonts w:ascii="Arial" w:cs="Arial" w:eastAsia="Arial" w:hAnsi="Arial"/>
                <w:sz w:val="16"/>
                <w:szCs w:val="16"/>
                <w:color w:val="auto"/>
              </w:rPr>
              <w:t>77,400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73,602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(653,597)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(52,204)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8,862</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116,162</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(89,244)</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(8,505)</w:t>
            </w:r>
          </w:p>
        </w:tc>
      </w:tr>
      <w:tr>
        <w:trPr>
          <w:trHeight w:val="219"/>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(117,197)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(117,197)</w:t>
            </w:r>
          </w:p>
        </w:tc>
      </w:tr>
      <w:tr>
        <w:trPr>
          <w:trHeight w:val="210"/>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129,038,907</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2,872,933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(113,840)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(362,264)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2,774,630</w:t>
            </w:r>
          </w:p>
        </w:tc>
      </w:tr>
      <w:tr>
        <w:trPr>
          <w:trHeight w:val="355"/>
        </w:trPr>
        <w:tc>
          <w:tcPr>
            <w:tcW w:w="940" w:type="dxa"/>
            <w:vAlign w:val="bottom"/>
          </w:tcPr>
          <w:p>
            <w:pPr>
              <w:jc w:val="right"/>
              <w:spacing w:after="0"/>
              <w:rPr>
                <w:sz w:val="20"/>
                <w:szCs w:val="20"/>
                <w:color w:val="auto"/>
              </w:rPr>
            </w:pPr>
            <w:r>
              <w:rPr>
                <w:rFonts w:ascii="Arial" w:cs="Arial" w:eastAsia="Arial" w:hAnsi="Arial"/>
                <w:sz w:val="16"/>
                <w:szCs w:val="16"/>
                <w:color w:val="auto"/>
              </w:rPr>
              <w:t>13,610</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60,032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4,884</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(889)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(172,600)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(15,615)</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30,495</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102,911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111,257</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(5,728)</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(8,386)</w:t>
            </w:r>
          </w:p>
        </w:tc>
      </w:tr>
      <w:tr>
        <w:trPr>
          <w:trHeight w:val="219"/>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(116,318)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(116,318)</w:t>
            </w:r>
          </w:p>
        </w:tc>
      </w:tr>
      <w:tr>
        <w:trPr>
          <w:trHeight w:val="210"/>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129,069,555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1,291</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2,884,940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(119,256)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(391,285)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2,745,518</w:t>
            </w:r>
          </w:p>
        </w:tc>
      </w:tr>
      <w:tr>
        <w:trPr>
          <w:trHeight w:val="355"/>
        </w:trPr>
        <w:tc>
          <w:tcPr>
            <w:tcW w:w="940" w:type="dxa"/>
            <w:vAlign w:val="bottom"/>
          </w:tcPr>
          <w:p>
            <w:pPr>
              <w:jc w:val="right"/>
              <w:spacing w:after="0"/>
              <w:rPr>
                <w:sz w:val="20"/>
                <w:szCs w:val="20"/>
                <w:color w:val="auto"/>
              </w:rPr>
            </w:pPr>
            <w:r>
              <w:rPr>
                <w:rFonts w:ascii="Arial" w:cs="Arial" w:eastAsia="Arial" w:hAnsi="Arial"/>
                <w:sz w:val="16"/>
                <w:szCs w:val="16"/>
                <w:color w:val="auto"/>
              </w:rPr>
              <w:t>18,605</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8,289</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3,452</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(949)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5600" w:space="80"/>
            <w:col w:w="5540"/>
          </w:cols>
          <w:pgMar w:left="340" w:top="121"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280" w:type="dxa"/>
            <w:vAlign w:val="bottom"/>
            <w:gridSpan w:val="6"/>
          </w:tcPr>
          <w:p>
            <w:pPr>
              <w:ind w:left="360"/>
              <w:spacing w:after="0"/>
              <w:rPr>
                <w:sz w:val="20"/>
                <w:szCs w:val="20"/>
                <w:color w:val="auto"/>
              </w:rPr>
            </w:pPr>
            <w:r>
              <w:rPr>
                <w:rFonts w:ascii="Arial" w:cs="Arial" w:eastAsia="Arial" w:hAnsi="Arial"/>
                <w:sz w:val="14"/>
                <w:szCs w:val="14"/>
                <w:b w:val="1"/>
                <w:bCs w:val="1"/>
                <w:color w:val="auto"/>
              </w:rPr>
              <w:t>Noncontrolling Interests</w:t>
            </w:r>
          </w:p>
        </w:tc>
        <w:tc>
          <w:tcPr>
            <w:tcW w:w="4560" w:type="dxa"/>
            <w:vAlign w:val="bottom"/>
            <w:gridSpan w:val="10"/>
          </w:tcPr>
          <w:p>
            <w:pPr>
              <w:ind w:left="820"/>
              <w:spacing w:after="0"/>
              <w:rPr>
                <w:sz w:val="20"/>
                <w:szCs w:val="20"/>
                <w:color w:val="auto"/>
              </w:rPr>
            </w:pPr>
            <w:r>
              <w:rPr>
                <w:rFonts w:ascii="Arial" w:cs="Arial" w:eastAsia="Arial" w:hAnsi="Arial"/>
                <w:sz w:val="14"/>
                <w:szCs w:val="14"/>
                <w:b w:val="1"/>
                <w:bCs w:val="1"/>
                <w:color w:val="auto"/>
              </w:rPr>
              <w:t>Extra Space Storage Inc. Stockholders' Equity</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900" w:type="dxa"/>
            <w:vAlign w:val="bottom"/>
            <w:gridSpan w:val="2"/>
            <w:vMerge w:val="continue"/>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80" w:type="dxa"/>
            <w:vAlign w:val="bottom"/>
            <w:gridSpan w:val="2"/>
            <w:vMerge w:val="continue"/>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Buyback of common stock, net of offering costs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6"/>
        </w:trPr>
        <w:tc>
          <w:tcPr>
            <w:tcW w:w="3420" w:type="dxa"/>
            <w:vAlign w:val="bottom"/>
          </w:tcPr>
          <w:p>
            <w:pPr>
              <w:ind w:left="20"/>
              <w:spacing w:after="0" w:line="166" w:lineRule="exact"/>
              <w:rPr>
                <w:sz w:val="20"/>
                <w:szCs w:val="20"/>
                <w:color w:val="auto"/>
              </w:rPr>
            </w:pPr>
            <w:r>
              <w:rPr>
                <w:rFonts w:ascii="Arial" w:cs="Arial" w:eastAsia="Arial" w:hAnsi="Arial"/>
                <w:sz w:val="16"/>
                <w:szCs w:val="16"/>
                <w:color w:val="auto"/>
                <w:w w:val="95"/>
              </w:rPr>
              <w:t>Repayment of receivable with Preferred operating</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8,226</w:t>
            </w:r>
          </w:p>
        </w:tc>
        <w:tc>
          <w:tcPr>
            <w:tcW w:w="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6"/>
                <w:szCs w:val="16"/>
                <w:color w:val="auto"/>
              </w:rPr>
              <w:t>units pledged as collateral on loan</w:t>
            </w:r>
          </w:p>
        </w:tc>
        <w:tc>
          <w:tcPr>
            <w:tcW w:w="8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Redemption of Preferred B Units in the Operating</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for cash</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780" w:type="dxa"/>
            <w:vAlign w:val="bottom"/>
          </w:tcPr>
          <w:p>
            <w:pPr>
              <w:jc w:val="right"/>
              <w:spacing w:after="0"/>
              <w:rPr>
                <w:sz w:val="20"/>
                <w:szCs w:val="20"/>
                <w:color w:val="auto"/>
              </w:rPr>
            </w:pPr>
            <w:r>
              <w:rPr>
                <w:rFonts w:ascii="Arial" w:cs="Arial" w:eastAsia="Arial" w:hAnsi="Arial"/>
                <w:sz w:val="16"/>
                <w:szCs w:val="16"/>
                <w:color w:val="auto"/>
              </w:rPr>
              <w:t>3,248</w:t>
            </w:r>
          </w:p>
        </w:tc>
        <w:tc>
          <w:tcPr>
            <w:tcW w:w="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5,986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114,633</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123,854</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11,181</w:t>
            </w:r>
          </w:p>
        </w:tc>
        <w:tc>
          <w:tcPr>
            <w:tcW w:w="0" w:type="dxa"/>
            <w:vAlign w:val="bottom"/>
          </w:tcPr>
          <w:p>
            <w:pPr>
              <w:spacing w:after="0"/>
              <w:rPr>
                <w:sz w:val="1"/>
                <w:szCs w:val="1"/>
                <w:color w:val="auto"/>
              </w:rPr>
            </w:pPr>
          </w:p>
        </w:tc>
      </w:tr>
      <w:tr>
        <w:trPr>
          <w:trHeight w:val="166"/>
        </w:trPr>
        <w:tc>
          <w:tcPr>
            <w:tcW w:w="3420" w:type="dxa"/>
            <w:vAlign w:val="bottom"/>
          </w:tcPr>
          <w:p>
            <w:pPr>
              <w:ind w:left="20"/>
              <w:spacing w:after="0" w:line="166" w:lineRule="exact"/>
              <w:rPr>
                <w:sz w:val="20"/>
                <w:szCs w:val="20"/>
                <w:color w:val="auto"/>
              </w:rPr>
            </w:pPr>
            <w:r>
              <w:rPr>
                <w:rFonts w:ascii="Arial" w:cs="Arial" w:eastAsia="Arial" w:hAnsi="Arial"/>
                <w:sz w:val="16"/>
                <w:szCs w:val="16"/>
                <w:color w:val="auto"/>
                <w:w w:val="93"/>
              </w:rPr>
              <w:t>Distributions to Operating Partnership units held by</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(3,135)</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(5,235)</w:t>
            </w:r>
          </w:p>
        </w:tc>
        <w:tc>
          <w:tcPr>
            <w:tcW w:w="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(8,370)</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Dividends paid on common stock at $0.90 per share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(116,185)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(116,185)</w:t>
            </w:r>
          </w:p>
        </w:tc>
        <w:tc>
          <w:tcPr>
            <w:tcW w:w="0" w:type="dxa"/>
            <w:vAlign w:val="bottom"/>
          </w:tcPr>
          <w:p>
            <w:pPr>
              <w:spacing w:after="0"/>
              <w:rPr>
                <w:sz w:val="1"/>
                <w:szCs w:val="1"/>
                <w:color w:val="auto"/>
              </w:rPr>
            </w:pPr>
          </w:p>
        </w:tc>
      </w:tr>
      <w:tr>
        <w:trPr>
          <w:trHeight w:val="207"/>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$ 171,738</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8"/>
              </w:rPr>
              <w:t>$ 206,394</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$ 406</w:t>
            </w: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129,094,900</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2,889,592</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(108,708)</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(392,891)</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2,767,822</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3740" w:type="dxa"/>
            <w:vAlign w:val="bottom"/>
            <w:gridSpan w:val="10"/>
          </w:tcPr>
          <w:p>
            <w:pPr>
              <w:jc w:val="right"/>
              <w:ind w:right="2"/>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172,052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215,892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$ 401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131,357,961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$1,314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$3,000,458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(99,093)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(354,900)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2,936,124</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56,722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89,793</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2,185,685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273,720</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8,828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215,501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23,013</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(5,801)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(132,540)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172,652</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219,682</w:t>
            </w: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$ 346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133,692,662</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$1,336</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$3,282,255</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(77,180)</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(284,442)</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3,314,649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3740" w:type="dxa"/>
            <w:vAlign w:val="bottom"/>
            <w:gridSpan w:val="10"/>
          </w:tcPr>
          <w:p>
            <w:pPr>
              <w:jc w:val="right"/>
              <w:ind w:right="2"/>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1"/>
                <w:szCs w:val="11"/>
                <w:color w:val="auto"/>
              </w:rPr>
            </w:pPr>
          </w:p>
        </w:tc>
        <w:tc>
          <w:tcPr>
            <w:tcW w:w="9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7"/>
        </w:trPr>
        <w:tc>
          <w:tcPr>
            <w:tcW w:w="348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44,990</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(4,972)</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Offering costs associated with previous stock</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(2,185)</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58,429</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Redemption of Operating Partnership units for cash</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Repayment of receivable with Operating</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Partnership units pledged as collateral</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167,948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178,579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(3,223)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(5,751)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(8,974)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(133,777)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(133,777)</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172,902</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219,466</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$ 499</w:t>
            </w:r>
          </w:p>
        </w:tc>
        <w:tc>
          <w:tcPr>
            <w:tcW w:w="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133,791,109</w:t>
            </w:r>
          </w:p>
        </w:tc>
        <w:tc>
          <w:tcPr>
            <w:tcW w:w="8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1,337</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3,288,852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(71,830)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(250,271)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3,360,955</w:t>
            </w:r>
          </w:p>
        </w:tc>
        <w:tc>
          <w:tcPr>
            <w:tcW w:w="0" w:type="dxa"/>
            <w:vAlign w:val="bottom"/>
          </w:tcPr>
          <w:p>
            <w:pPr>
              <w:spacing w:after="0"/>
              <w:rPr>
                <w:sz w:val="1"/>
                <w:szCs w:val="1"/>
                <w:color w:val="auto"/>
              </w:rPr>
            </w:pPr>
          </w:p>
        </w:tc>
      </w:tr>
      <w:tr>
        <w:trPr>
          <w:trHeight w:val="148"/>
        </w:trPr>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10,913</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4,012</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Offering costs associated with previous stock</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issuance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8"/>
              </w:rPr>
              <w:t>Redemption of Preferred B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(2,834)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15,265</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Partnership for stock</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remaining equity interest in existing</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consolidated joint 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199,820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8,055</w:t>
            </w: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(7,186)</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Dividends paid on common stock at $1.25 per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6"/>
              </w:rPr>
              <w:t>(167,274)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(167,274)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170,248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220,591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133,819,163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1,338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3,283,848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(229,269)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3,382,875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593,900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351,273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179,685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167,705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166"/>
        </w:trPr>
        <w:tc>
          <w:tcPr>
            <w:tcW w:w="7840" w:type="dxa"/>
            <w:vAlign w:val="bottom"/>
          </w:tcPr>
          <w:p>
            <w:pPr>
              <w:ind w:left="680"/>
              <w:spacing w:after="0" w:line="166" w:lineRule="exact"/>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240" w:type="dxa"/>
            <w:vAlign w:val="bottom"/>
          </w:tcPr>
          <w:p>
            <w:pPr>
              <w:spacing w:after="0"/>
              <w:rPr>
                <w:sz w:val="14"/>
                <w:szCs w:val="14"/>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3,675</w:t>
            </w:r>
          </w:p>
        </w:tc>
        <w:tc>
          <w:tcPr>
            <w:tcW w:w="0" w:type="dxa"/>
            <w:vAlign w:val="bottom"/>
          </w:tcPr>
          <w:p>
            <w:pPr>
              <w:spacing w:after="0"/>
              <w:rPr>
                <w:sz w:val="1"/>
                <w:szCs w:val="1"/>
                <w:color w:val="auto"/>
              </w:rPr>
            </w:pPr>
          </w:p>
        </w:tc>
      </w:tr>
      <w:tr>
        <w:trPr>
          <w:trHeight w:val="209"/>
        </w:trPr>
        <w:tc>
          <w:tcPr>
            <w:tcW w:w="7840" w:type="dxa"/>
            <w:vAlign w:val="bottom"/>
          </w:tcPr>
          <w:p>
            <w:pPr>
              <w:ind w:left="680"/>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Compensation expense related to stock-based awards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11,316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Accrual of interest income added to principal of debt securities and notes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Gain on real estate transactions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680"/>
              <w:spacing w:after="0" w:line="169" w:lineRule="exact"/>
              <w:rPr>
                <w:sz w:val="20"/>
                <w:szCs w:val="20"/>
                <w:color w:val="auto"/>
              </w:rPr>
            </w:pPr>
            <w:r>
              <w:rPr>
                <w:rFonts w:ascii="Arial" w:cs="Arial" w:eastAsia="Arial" w:hAnsi="Arial"/>
                <w:sz w:val="16"/>
                <w:szCs w:val="16"/>
                <w:color w:val="auto"/>
                <w:w w:val="92"/>
              </w:rPr>
              <w:t>Equity in earnings of unconsolidated real estate ventures - gain on sale of real estate assets and purchase of</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joint venture partner's interest</w:t>
            </w: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1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(17,977)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729,268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583,267</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real estate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Development and redevelopment of real estate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(46,112)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real estate assets and investments in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Investment in unconsolidated real estate entities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(13,937)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of investment in unconsolidated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Issuance and purchase of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(143,270)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(149,750)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received from notes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sale of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116,822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equipment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(417,792)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(363,845)</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the sale of common stock, net of offering costs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273,358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notes payable and revolving lines of credit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1,419,000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(4,526,549)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(1,192,750)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public bonds,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proceeds from exercise of stock options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(67,873)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Operating Partnership units held by noncontrolling interests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principal payments on note receivable collateralized by OP Units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principal payments on note receivable collateralized by Preferred OP Units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 on 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(349,700)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(358,204)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(209,581)</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(46,728)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80,574</w:t>
            </w:r>
          </w:p>
        </w:tc>
        <w:tc>
          <w:tcPr>
            <w:tcW w:w="0" w:type="dxa"/>
            <w:vAlign w:val="bottom"/>
          </w:tcPr>
          <w:p>
            <w:pPr>
              <w:spacing w:after="0"/>
              <w:rPr>
                <w:sz w:val="1"/>
                <w:szCs w:val="1"/>
                <w:color w:val="auto"/>
              </w:rPr>
            </w:pPr>
          </w:p>
        </w:tc>
      </w:tr>
      <w:tr>
        <w:trPr>
          <w:trHeight w:val="24"/>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4"/>
        </w:trPr>
        <w:tc>
          <w:tcPr>
            <w:tcW w:w="7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116,937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119,977</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21,365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Operating Partnership</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4,005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Real estate assets - operating lease right-of-use assets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6,779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 liability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13,833</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real estate assets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Preferred Operating Partnership units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(2,724)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8,605</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(41,438)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(8,605)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unconsolidated real estate ventures received on sale of stores to joint venture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33,878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(33,878)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September 30, 2021, the Company had direct and indirect equity interests in 1,227 stores. In addition, the Company managed 827 stores for third parties, bringing the total number of stores which it owns and/or manages to 2,054. These stores are located in 41 states and Washington, D.C. The Company also offers tenant reinsurance at its owned and managed stores that insures the value of goods in the storage units.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results for the three and nine months ended September 30, 2021 are not necessarily indicative of results that may be expected for the year ending December 31, 2021. The condensed consolidated balance sheet as of December 31, 2020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2020, as filed with the Securities and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In March 2020, the Financial Accounting Standards Board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ASU 2020-04 and subsequent amendments contain practical expedients for reference rate reform related activities that impact debt, leases, derivatives and other contracts. The guidance in ASU 2020-04 is optional and may be elected over time as reference rate reform activities occur through December 31, 2022. The Company continues to evaluate the impact of the guidance and may apply other elections as applicable as additional changes in the market occur.</w:t>
      </w:r>
    </w:p>
    <w:p>
      <w:pPr>
        <w:spacing w:after="0" w:line="18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ASU 2020-06 simplifies the accounting for convertible instruments and contracts in an entity's own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amended related earnings per share guidance. The guidance in ASU 2020-06 becomes effective for fiscal years beginning after December 15, 2021. Early adoption is permitted no earlier than the fiscal years beginning after December 15, 2020. The guidance may be adopted on a modified or fully retrospective basis. The Company is currently assessing the impact of the adoption of ASU 2020-06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2021,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September 30, 2021, aggregated by the level in the fair value hierarchy within which those measurements fall.</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61,421</w:t>
            </w:r>
          </w:p>
        </w:tc>
        <w:tc>
          <w:tcPr>
            <w:tcW w:w="100" w:type="dxa"/>
            <w:vAlign w:val="bottom"/>
          </w:tcPr>
          <w:p>
            <w:pPr>
              <w:spacing w:after="0"/>
              <w:rPr>
                <w:sz w:val="20"/>
                <w:szCs w:val="20"/>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September 30, 2021 or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September 30, 2021, the Company had 16 operating stores classified as held for sale which are included in real estate assets, net.</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September 30, 2021 and December 31, 2020 approximate fair value. Restricted cash is comprised of funds deposited with financial institutions located throughout the United States primarily relating to earnest money deposits on potential acquisitions.</w:t>
      </w:r>
    </w:p>
    <w:p>
      <w:pPr>
        <w:spacing w:after="0" w:line="1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September 30, 2021</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100,815</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101,900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102,333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102,311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107,176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104,251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114,145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EARNINGS PER COMMON SHARE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and nine months ended September 30, 2021 and 2020, there were no anti-dilutive options.</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2021 and 2020 was $176.78 and $103.36, respectively.</w:t>
      </w:r>
    </w:p>
    <w:p>
      <w:pPr>
        <w:spacing w:after="0" w:line="198"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62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348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414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30"/>
        </w:trPr>
        <w:tc>
          <w:tcPr>
            <w:tcW w:w="414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r>
      <w:tr>
        <w:trPr>
          <w:trHeight w:val="188"/>
        </w:trPr>
        <w:tc>
          <w:tcPr>
            <w:tcW w:w="414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converted)</w:t>
            </w: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converted)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converted)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converted)</w:t>
            </w: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OP Units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5,815,916</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5,870,459</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Series A Units (Variable Only)</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875,480</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875,480</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225,972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400,668</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271,132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416,796</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D Units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663,888</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1,135,469</w:t>
            </w:r>
          </w:p>
        </w:tc>
        <w:tc>
          <w:tcPr>
            <w:tcW w:w="1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784,139</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1,187,083</w:t>
            </w:r>
          </w:p>
        </w:tc>
      </w:tr>
      <w:tr>
        <w:trPr>
          <w:trHeight w:val="235"/>
        </w:trPr>
        <w:tc>
          <w:tcPr>
            <w:tcW w:w="41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889,860</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8,227,533</w:t>
            </w: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1,055,271</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8,349,818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As of September 30, 2021, the Operating Partnership had no exchangeable senior notes issued or outstanding. The Operating Partnership had $575,000 of its 3.125% Exchangeable Senior Notes due 2035 (the “2015 Notes”) issued and outstanding as of September 30, 2020. In October and November 2020, a portion of the 2015 Notes were exchanged for cash and shares of the Company’s common stock and the remaining 2015 Notes were redeemed for cash.</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2015 Notes could potentially have had a dilutive impact on the Company’s earnings per share calculations. The 2015 Notes were exchangeable by holders into shares of the Company’s common stock under certain circumstances per the terms of the indenture governing the 2015 Notes. The Company had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Although the Company had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that those shares be included in the Company’s calculation of weighted average common shares outstanding for the diluted earnings per share computation. For the three and nine months ended September 30, 2021 and 2020, zero and 761,975 shares, respectively, related to the 2015 Notes were included in the computation for diluted earnings per share.</w:t>
      </w:r>
    </w:p>
    <w:p>
      <w:pPr>
        <w:spacing w:after="0" w:line="211"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22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559,222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325,723</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Earnings for basic computations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558,422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325,210</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69"/>
        </w:trPr>
        <w:tc>
          <w:tcPr>
            <w:tcW w:w="604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color w:val="auto"/>
                <w:w w:val="94"/>
              </w:rPr>
              <w:t>Income allocated to noncontrolling interest - Preferred Operating Partnership Units</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9,810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29,395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and Operating Partnership Units</w:t>
            </w: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500"/>
              <w:spacing w:after="0" w:line="166" w:lineRule="exact"/>
              <w:rPr>
                <w:sz w:val="20"/>
                <w:szCs w:val="20"/>
                <w:color w:val="auto"/>
              </w:rPr>
            </w:pPr>
            <w:r>
              <w:rPr>
                <w:rFonts w:ascii="Arial" w:cs="Arial" w:eastAsia="Arial" w:hAnsi="Arial"/>
                <w:sz w:val="16"/>
                <w:szCs w:val="16"/>
                <w:color w:val="auto"/>
              </w:rPr>
              <w:t>Fixed component of income allocated to noncontrolling interest - Preferred</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40" w:type="dxa"/>
            <w:vAlign w:val="bottom"/>
          </w:tcPr>
          <w:p>
            <w:pPr>
              <w:ind w:left="500"/>
              <w:spacing w:after="0"/>
              <w:rPr>
                <w:sz w:val="20"/>
                <w:szCs w:val="20"/>
                <w:color w:val="auto"/>
              </w:rPr>
            </w:pPr>
            <w:r>
              <w:rPr>
                <w:rFonts w:ascii="Arial" w:cs="Arial" w:eastAsia="Arial" w:hAnsi="Arial"/>
                <w:sz w:val="16"/>
                <w:szCs w:val="16"/>
                <w:color w:val="auto"/>
              </w:rPr>
              <w:t>Operating Partnership (Series A Units)</w:t>
            </w: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for diluted computations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325,723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133,809,750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128,862,341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w w:val="98"/>
              </w:rPr>
              <w:t>133,197,903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129,044,954</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 Units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5,733,936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5,767,132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Series A Units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875,480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214,909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212,311</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793,846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808,856</w:t>
            </w:r>
          </w:p>
        </w:tc>
        <w:tc>
          <w:tcPr>
            <w:tcW w:w="0" w:type="dxa"/>
            <w:vAlign w:val="bottom"/>
          </w:tcPr>
          <w:p>
            <w:pPr>
              <w:spacing w:after="0"/>
              <w:rPr>
                <w:sz w:val="1"/>
                <w:szCs w:val="1"/>
                <w:color w:val="auto"/>
              </w:rPr>
            </w:pPr>
          </w:p>
        </w:tc>
      </w:tr>
      <w:tr>
        <w:trPr>
          <w:trHeight w:val="23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140,425,269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129,871,096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139,854,881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130,066,121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6"/>
                <w:szCs w:val="16"/>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0"/>
        </w:trPr>
        <w:tc>
          <w:tcPr>
            <w:tcW w:w="6040" w:type="dxa"/>
            <w:vAlign w:val="bottom"/>
          </w:tcPr>
          <w:p>
            <w:pPr>
              <w:ind w:left="50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0.88</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ind w:left="73"/>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
        <w:spacing w:after="0"/>
        <w:tabs>
          <w:tab w:leader="none" w:pos="373"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STORE ACQUISITIONS AND DISPOSITIONS</w:t>
      </w:r>
    </w:p>
    <w:p>
      <w:pPr>
        <w:spacing w:after="0" w:line="256" w:lineRule="exact"/>
        <w:rPr>
          <w:sz w:val="20"/>
          <w:szCs w:val="20"/>
          <w:color w:val="auto"/>
        </w:rPr>
      </w:pPr>
    </w:p>
    <w:p>
      <w:pPr>
        <w:ind w:left="73"/>
        <w:spacing w:after="0"/>
        <w:rPr>
          <w:sz w:val="20"/>
          <w:szCs w:val="20"/>
          <w:color w:val="auto"/>
        </w:rPr>
      </w:pPr>
      <w:r>
        <w:rPr>
          <w:rFonts w:ascii="Arial" w:cs="Arial" w:eastAsia="Arial" w:hAnsi="Arial"/>
          <w:sz w:val="18"/>
          <w:szCs w:val="18"/>
          <w:i w:val="1"/>
          <w:iCs w:val="1"/>
          <w:color w:val="auto"/>
        </w:rPr>
        <w:t>Store Acquisitions</w:t>
      </w:r>
    </w:p>
    <w:p>
      <w:pPr>
        <w:spacing w:after="0" w:line="252" w:lineRule="exact"/>
        <w:rPr>
          <w:sz w:val="20"/>
          <w:szCs w:val="20"/>
          <w:color w:val="auto"/>
        </w:rPr>
      </w:pPr>
    </w:p>
    <w:p>
      <w:pPr>
        <w:ind w:left="73" w:right="360"/>
        <w:spacing w:after="0" w:line="262" w:lineRule="auto"/>
        <w:rPr>
          <w:sz w:val="20"/>
          <w:szCs w:val="20"/>
          <w:color w:val="auto"/>
        </w:rPr>
      </w:pPr>
      <w:r>
        <w:rPr>
          <w:rFonts w:ascii="Arial" w:cs="Arial" w:eastAsia="Arial" w:hAnsi="Arial"/>
          <w:sz w:val="18"/>
          <w:szCs w:val="18"/>
          <w:color w:val="auto"/>
        </w:rPr>
        <w:t>The following table shows the Company’s acquisitions of stores for the three and nine months ended September 30, 2021 and 2020.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Clarifying the Definition of a Business</w:t>
      </w:r>
      <w:r>
        <w:rPr>
          <w:rFonts w:ascii="Arial" w:cs="Arial" w:eastAsia="Arial" w:hAnsi="Arial"/>
          <w:sz w:val="18"/>
          <w:szCs w:val="18"/>
          <w:color w:val="auto"/>
        </w:rPr>
        <w:t>."</w:t>
      </w:r>
    </w:p>
    <w:p>
      <w:pPr>
        <w:spacing w:after="0" w:line="2" w:lineRule="exact"/>
        <w:rPr>
          <w:sz w:val="20"/>
          <w:szCs w:val="20"/>
          <w:color w:val="auto"/>
        </w:rPr>
      </w:pPr>
    </w:p>
    <w:tbl>
      <w:tblPr>
        <w:tblLayout w:type="fixed"/>
        <w:tblInd w:w="93"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Consideration Paid</w:t>
            </w: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23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Loan</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Finance Lease</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Investments in</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35"/>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Quarter</w:t>
            </w:r>
          </w:p>
        </w:tc>
        <w:tc>
          <w:tcPr>
            <w:tcW w:w="2360" w:type="dxa"/>
            <w:vAlign w:val="bottom"/>
            <w:vMerge w:val="continue"/>
          </w:tcPr>
          <w:p>
            <w:pPr>
              <w:spacing w:after="0"/>
              <w:rPr>
                <w:sz w:val="11"/>
                <w:szCs w:val="11"/>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Cash Paid</w:t>
            </w:r>
          </w:p>
        </w:tc>
        <w:tc>
          <w:tcPr>
            <w:tcW w:w="8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1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(Assets)</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2360" w:type="dxa"/>
            <w:vAlign w:val="bottom"/>
          </w:tcPr>
          <w:p>
            <w:pPr>
              <w:jc w:val="center"/>
              <w:ind w:left="508"/>
              <w:spacing w:after="0"/>
              <w:rPr>
                <w:sz w:val="20"/>
                <w:szCs w:val="20"/>
                <w:color w:val="auto"/>
              </w:rPr>
            </w:pPr>
            <w:r>
              <w:rPr>
                <w:rFonts w:ascii="Arial" w:cs="Arial" w:eastAsia="Arial" w:hAnsi="Arial"/>
                <w:sz w:val="14"/>
                <w:szCs w:val="14"/>
                <w:b w:val="1"/>
                <w:bCs w:val="1"/>
                <w:color w:val="auto"/>
                <w:w w:val="87"/>
              </w:rPr>
              <w:t>Stores</w:t>
            </w:r>
          </w:p>
        </w:tc>
        <w:tc>
          <w:tcPr>
            <w:tcW w:w="9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Assumed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Ventures</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Assumed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3" w:type="dxa"/>
        <w:tblCellMar>
          <w:top w:w="0" w:type="dxa"/>
          <w:left w:w="0" w:type="dxa"/>
          <w:bottom w:w="0" w:type="dxa"/>
          <w:right w:w="0" w:type="dxa"/>
        </w:tblCellMar>
      </w:tblPr>
      <w:tr>
        <w:trPr>
          <w:trHeight w:val="226"/>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Q3 2021</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400" w:type="dxa"/>
            <w:vAlign w:val="bottom"/>
            <w:tcBorders>
              <w:top w:val="single" w:sz="8" w:color="CCEEFF"/>
            </w:tcBorders>
            <w:shd w:val="clear" w:color="auto" w:fill="CCEEFF"/>
          </w:tcPr>
          <w:p>
            <w:pPr>
              <w:jc w:val="right"/>
              <w:ind w:right="202"/>
              <w:spacing w:after="0"/>
              <w:rPr>
                <w:sz w:val="20"/>
                <w:szCs w:val="20"/>
                <w:color w:val="auto"/>
              </w:rPr>
            </w:pPr>
            <w:r>
              <w:rPr>
                <w:rFonts w:ascii="Arial" w:cs="Arial" w:eastAsia="Arial" w:hAnsi="Arial"/>
                <w:sz w:val="12"/>
                <w:szCs w:val="12"/>
                <w:color w:val="auto"/>
                <w:w w:val="81"/>
              </w:rPr>
              <w:t>(1)</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186,689</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Q2 2021</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00" w:type="dxa"/>
            <w:vAlign w:val="bottom"/>
          </w:tcPr>
          <w:p>
            <w:pPr>
              <w:jc w:val="right"/>
              <w:ind w:right="202"/>
              <w:spacing w:after="0"/>
              <w:rPr>
                <w:sz w:val="20"/>
                <w:szCs w:val="20"/>
                <w:color w:val="auto"/>
              </w:rPr>
            </w:pPr>
            <w:r>
              <w:rPr>
                <w:rFonts w:ascii="Arial" w:cs="Arial" w:eastAsia="Arial" w:hAnsi="Arial"/>
                <w:sz w:val="12"/>
                <w:szCs w:val="12"/>
                <w:color w:val="auto"/>
                <w:w w:val="81"/>
              </w:rPr>
              <w:t>(2)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193,783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190,729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2,673</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193,783</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2021</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151,884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151,884</w:t>
            </w:r>
          </w:p>
        </w:tc>
      </w:tr>
      <w:tr>
        <w:trPr>
          <w:trHeight w:val="210"/>
        </w:trPr>
        <w:tc>
          <w:tcPr>
            <w:tcW w:w="26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36</w:t>
            </w:r>
          </w:p>
        </w:tc>
        <w:tc>
          <w:tcPr>
            <w:tcW w:w="4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532,356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525,166</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2,673</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4,072</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532,356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6"/>
        </w:trPr>
        <w:tc>
          <w:tcPr>
            <w:tcW w:w="2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Q3 2020</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400" w:type="dxa"/>
            <w:vAlign w:val="bottom"/>
          </w:tcPr>
          <w:p>
            <w:pPr>
              <w:jc w:val="right"/>
              <w:ind w:right="202"/>
              <w:spacing w:after="0"/>
              <w:rPr>
                <w:sz w:val="20"/>
                <w:szCs w:val="20"/>
                <w:color w:val="auto"/>
              </w:rPr>
            </w:pPr>
            <w:r>
              <w:rPr>
                <w:rFonts w:ascii="Arial" w:cs="Arial" w:eastAsia="Arial" w:hAnsi="Arial"/>
                <w:sz w:val="12"/>
                <w:szCs w:val="12"/>
                <w:color w:val="auto"/>
                <w:w w:val="81"/>
              </w:rPr>
              <w:t>(3)</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101,731</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86,996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13,833</w:t>
            </w:r>
          </w:p>
        </w:tc>
        <w:tc>
          <w:tcPr>
            <w:tcW w:w="420" w:type="dxa"/>
            <w:vAlign w:val="bottom"/>
          </w:tcPr>
          <w:p>
            <w:pPr>
              <w:ind w:lef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101,731</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Q2 2020</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Q1 2020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19,399</w:t>
            </w:r>
          </w:p>
        </w:tc>
      </w:tr>
      <w:tr>
        <w:trPr>
          <w:trHeight w:val="235"/>
        </w:trPr>
        <w:tc>
          <w:tcPr>
            <w:tcW w:w="2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10</w:t>
            </w:r>
          </w:p>
        </w:tc>
        <w:tc>
          <w:tcPr>
            <w:tcW w:w="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121,130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106,350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13,833</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121,130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33" w:right="280" w:hanging="333"/>
        <w:spacing w:after="0" w:line="277"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acquisitions during the three months ended September 30, 2021 include the acquisition of one store that was subject to a finance land lease. The right-of-use asset associated with this lease is included in real estate assets above.</w:t>
      </w:r>
    </w:p>
    <w:p>
      <w:pPr>
        <w:spacing w:after="0" w:line="197" w:lineRule="exact"/>
        <w:rPr>
          <w:rFonts w:ascii="Arial" w:cs="Arial" w:eastAsia="Arial" w:hAnsi="Arial"/>
          <w:sz w:val="18"/>
          <w:szCs w:val="18"/>
          <w:color w:val="auto"/>
        </w:rPr>
      </w:pPr>
    </w:p>
    <w:p>
      <w:pPr>
        <w:ind w:left="333" w:right="200" w:hanging="333"/>
        <w:spacing w:after="0" w:line="286" w:lineRule="auto"/>
        <w:tabs>
          <w:tab w:leader="none" w:pos="264"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Store acquisitions during the three months ended June 30, 2021 include the acquisition of two stores previously held in joint ventures where the Company held a noncontrolling interest. The Company purchased its partners' equity interests in these joint ventures, and the properties owned by the joint ventures became wholly owned by the Company. No gain or loss was recognized as a result of these acquisitions.</w:t>
      </w:r>
    </w:p>
    <w:p>
      <w:pPr>
        <w:spacing w:after="0" w:line="192" w:lineRule="exact"/>
        <w:rPr>
          <w:rFonts w:ascii="Arial" w:cs="Arial" w:eastAsia="Arial" w:hAnsi="Arial"/>
          <w:sz w:val="17"/>
          <w:szCs w:val="17"/>
          <w:color w:val="auto"/>
        </w:rPr>
      </w:pPr>
    </w:p>
    <w:p>
      <w:pPr>
        <w:ind w:left="333" w:right="180" w:hanging="333"/>
        <w:spacing w:after="0" w:line="277"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acquisitions during the three months ended September 30, 2020 include the acquisition of two stores that were subject to finance land leases. The right-of-use assets associated with these leases are included in real estate assets above.</w:t>
      </w:r>
    </w:p>
    <w:p>
      <w:pPr>
        <w:spacing w:after="0" w:line="197" w:lineRule="exact"/>
        <w:rPr>
          <w:sz w:val="20"/>
          <w:szCs w:val="20"/>
          <w:color w:val="auto"/>
        </w:rPr>
      </w:pPr>
    </w:p>
    <w:p>
      <w:pPr>
        <w:ind w:left="73"/>
        <w:spacing w:after="0"/>
        <w:rPr>
          <w:sz w:val="20"/>
          <w:szCs w:val="20"/>
          <w:color w:val="auto"/>
        </w:rPr>
      </w:pPr>
      <w:r>
        <w:rPr>
          <w:rFonts w:ascii="Arial" w:cs="Arial" w:eastAsia="Arial" w:hAnsi="Arial"/>
          <w:sz w:val="18"/>
          <w:szCs w:val="18"/>
          <w:i w:val="1"/>
          <w:iCs w:val="1"/>
          <w:color w:val="auto"/>
        </w:rPr>
        <w:t>Store Dispositions</w:t>
      </w:r>
    </w:p>
    <w:p>
      <w:pPr>
        <w:spacing w:after="0" w:line="252" w:lineRule="exact"/>
        <w:rPr>
          <w:sz w:val="20"/>
          <w:szCs w:val="20"/>
          <w:color w:val="auto"/>
        </w:rPr>
      </w:pPr>
    </w:p>
    <w:p>
      <w:pPr>
        <w:jc w:val="both"/>
        <w:ind w:left="73" w:right="60"/>
        <w:spacing w:after="0" w:line="263" w:lineRule="auto"/>
        <w:rPr>
          <w:sz w:val="20"/>
          <w:szCs w:val="20"/>
          <w:color w:val="auto"/>
        </w:rPr>
      </w:pPr>
      <w:r>
        <w:rPr>
          <w:rFonts w:ascii="Arial" w:cs="Arial" w:eastAsia="Arial" w:hAnsi="Arial"/>
          <w:sz w:val="18"/>
          <w:szCs w:val="18"/>
          <w:color w:val="auto"/>
        </w:rPr>
        <w:t>On March 1, 2021, the Company sold 16 stores that had been classified as held for sale to a newly established unconsolidated joint venture. The Company received cash of $132,759 and maintained a 55% interest in the new joint venture valued at $33,878. The Company recognized a gain of $64,804 related to the sale of these properties.</w:t>
      </w:r>
    </w:p>
    <w:p>
      <w:pPr>
        <w:spacing w:after="0" w:line="288" w:lineRule="exact"/>
        <w:rPr>
          <w:sz w:val="20"/>
          <w:szCs w:val="20"/>
          <w:color w:val="auto"/>
        </w:rPr>
      </w:pPr>
    </w:p>
    <w:p>
      <w:pPr>
        <w:ind w:left="73"/>
        <w:spacing w:after="0"/>
        <w:tabs>
          <w:tab w:leader="none" w:pos="373" w:val="left"/>
        </w:tabs>
        <w:rPr>
          <w:sz w:val="20"/>
          <w:szCs w:val="20"/>
          <w:color w:val="auto"/>
        </w:rPr>
      </w:pPr>
      <w:r>
        <w:rPr>
          <w:rFonts w:ascii="Arial" w:cs="Arial" w:eastAsia="Arial" w:hAnsi="Arial"/>
          <w:sz w:val="18"/>
          <w:szCs w:val="18"/>
          <w:b w:val="1"/>
          <w:bCs w:val="1"/>
          <w:color w:val="auto"/>
        </w:rPr>
        <w:t>6.</w:t>
        <w:tab/>
        <w:t>INVESTMENTS IN UNCONSOLIDATED REAL ESTATE ENTITIES</w:t>
      </w:r>
    </w:p>
    <w:p>
      <w:pPr>
        <w:spacing w:after="0" w:line="229" w:lineRule="exact"/>
        <w:rPr>
          <w:sz w:val="20"/>
          <w:szCs w:val="20"/>
          <w:color w:val="auto"/>
        </w:rPr>
      </w:pPr>
    </w:p>
    <w:p>
      <w:pPr>
        <w:ind w:left="73"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ectPr>
          <w:pgSz w:w="11900" w:h="16838" w:orient="portrait"/>
          <w:cols w:equalWidth="0" w:num="1">
            <w:col w:w="11313"/>
          </w:cols>
          <w:pgMar w:left="247"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2"/>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 xml:space="preserve">Excess Profit % </w:t>
            </w:r>
            <w:r>
              <w:rPr>
                <w:rFonts w:ascii="Arial" w:cs="Arial" w:eastAsia="Arial" w:hAnsi="Arial"/>
                <w:sz w:val="18"/>
                <w:szCs w:val="18"/>
                <w:b w:val="1"/>
                <w:bCs w:val="1"/>
                <w:color w:val="auto"/>
                <w:w w:val="90"/>
                <w:vertAlign w:val="superscript"/>
              </w:rPr>
              <w:t>(1)</w:t>
            </w:r>
          </w:p>
        </w:tc>
        <w:tc>
          <w:tcPr>
            <w:tcW w:w="140" w:type="dxa"/>
            <w:vAlign w:val="bottom"/>
          </w:tcPr>
          <w:p>
            <w:pPr>
              <w:spacing w:after="0"/>
              <w:rPr>
                <w:sz w:val="3"/>
                <w:szCs w:val="3"/>
                <w:color w:val="auto"/>
              </w:rPr>
            </w:pPr>
          </w:p>
        </w:tc>
        <w:tc>
          <w:tcPr>
            <w:tcW w:w="11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Ownership %</w:t>
            </w: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60,092</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WICNN JV LLC </w:t>
            </w:r>
            <w:r>
              <w:rPr>
                <w:rFonts w:ascii="Arial" w:cs="Arial" w:eastAsia="Arial" w:hAnsi="Arial"/>
                <w:sz w:val="23"/>
                <w:szCs w:val="23"/>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ESS-CA TIVS JV LP </w:t>
            </w:r>
            <w:r>
              <w:rPr>
                <w:rFonts w:ascii="Arial" w:cs="Arial" w:eastAsia="Arial" w:hAnsi="Arial"/>
                <w:sz w:val="23"/>
                <w:szCs w:val="23"/>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GFN JV, LLC </w:t>
            </w:r>
            <w:r>
              <w:rPr>
                <w:rFonts w:ascii="Arial" w:cs="Arial" w:eastAsia="Arial" w:hAnsi="Arial"/>
                <w:sz w:val="23"/>
                <w:szCs w:val="23"/>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ESS-NYFL JV LP</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IV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Portfolio III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ESS Bristol Investments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II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VRS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(39,144)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minority owned stores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SmartStop Self Storage REIT, Inc. Preferred Stock </w:t>
            </w:r>
            <w:r>
              <w:rPr>
                <w:rFonts w:ascii="Arial" w:cs="Arial" w:eastAsia="Arial" w:hAnsi="Arial"/>
                <w:sz w:val="23"/>
                <w:szCs w:val="23"/>
                <w:color w:val="auto"/>
                <w:vertAlign w:val="superscript"/>
              </w:rPr>
              <w:t>(4)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Investments in and Cash distributions in unconsolidated real</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257</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310,569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350,318</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estate entities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pro-rata equity ownership share and maximum potential promoted interest.</w:t>
      </w:r>
    </w:p>
    <w:p>
      <w:pPr>
        <w:spacing w:after="0" w:line="117" w:lineRule="exact"/>
        <w:rPr>
          <w:rFonts w:ascii="Arial" w:cs="Arial" w:eastAsia="Arial" w:hAnsi="Arial"/>
          <w:sz w:val="18"/>
          <w:szCs w:val="18"/>
          <w:color w:val="auto"/>
        </w:rPr>
      </w:pPr>
    </w:p>
    <w:p>
      <w:pPr>
        <w:ind w:left="340" w:right="100" w:hanging="332"/>
        <w:spacing w:after="0" w:line="259"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2021, the WICNN JV LLC and GFN JV, LLC joint ventures sold all 17 of the stores owned by the joint ventures to a third party. Subsequent to the sales, these joint ventures were dissolved. As a result of these transactions, the Company recorded a gain of $5,739, which is included in Equity in earnings of unconsolidated real estate ventures - gain on sale of real estate assets and purchase of joint venture partner's interest in the Company's condensed consolidated statements of operations.</w:t>
      </w:r>
    </w:p>
    <w:p>
      <w:pPr>
        <w:spacing w:after="0" w:line="78" w:lineRule="exact"/>
        <w:rPr>
          <w:rFonts w:ascii="Arial" w:cs="Arial" w:eastAsia="Arial" w:hAnsi="Arial"/>
          <w:sz w:val="18"/>
          <w:szCs w:val="18"/>
          <w:color w:val="auto"/>
        </w:rPr>
      </w:pPr>
    </w:p>
    <w:p>
      <w:pPr>
        <w:ind w:left="340" w:right="100" w:hanging="332"/>
        <w:spacing w:after="0" w:line="286"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sold 16 operating stores to this newly formed joint venture in March 2021. The Company received cash of $132,759 and an interest in the new joint venture valued at $33,878. This joint venture is unconsolidated and the Company accounts for its investment under the equity method of accounting as the Company does not have voting control but does exercise significant influence over the joint venture.</w:t>
      </w:r>
    </w:p>
    <w:p>
      <w:pPr>
        <w:spacing w:after="0" w:line="57" w:lineRule="exact"/>
        <w:rPr>
          <w:rFonts w:ascii="Arial" w:cs="Arial" w:eastAsia="Arial" w:hAnsi="Arial"/>
          <w:sz w:val="17"/>
          <w:szCs w:val="17"/>
          <w:color w:val="auto"/>
        </w:rPr>
      </w:pPr>
    </w:p>
    <w:p>
      <w:pPr>
        <w:ind w:left="340" w:right="100" w:hanging="332"/>
        <w:spacing w:after="0" w:line="259"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the nine months ended September 30, 2021, the Company contributed a total of $20,834 of cash to its joint ventures, including its pro-rata portion of the purchase price of 15 operating stores and other capital contributions related to cash flow requirements for lease up stores.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2021, the Company sold its interest in two unconsolidated joint ventures to its joint venture partner. The Company received proceeds of $1,888 in cash, and recorded a gain of $525 which is included in Equity in earnings of unconsolidated real estate ventures - gain on sale of real estate assets and purchase of joint venture partner's interest in the Company's condensed consolidated statements of operations. The Company also purchased its joint venture partners' interests in two unconsolidated joint ventures.</w:t>
      </w:r>
    </w:p>
    <w:p>
      <w:pPr>
        <w:spacing w:after="0" w:line="29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DEBT SECURITIES AND NOTES RECEIVABLE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 NexPoint Series A Preferred Stock</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Debt securities - NexPoint Series B Preferred Stock</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Receivable-Bridge Loans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187,368</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Notes Receivable-Senior Mezzanine Loan,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101,553</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r>
      <w:tr>
        <w:trPr>
          <w:trHeight w:val="223"/>
        </w:trPr>
        <w:tc>
          <w:tcPr>
            <w:tcW w:w="7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606,115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593,810</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2020, the Company purchased a senior mezzanine note receivable with a principal amount of $103,000. This note receivable bears interest at 5.5%, matures in December 2023 and is collateralized through an equity interest in which it or its subsidiaries wholly own 62 storage facilities. The Company paid cash of $101,142 for the loan receivable and accounts for the discount at amortized cost. The discount is being amortized over the term of the loan receivable.</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provides bridge loan financing to third-party self-storage operators. These notes receivable consist of primary mortgage and mezzanine loans receivable, collateralized by self-storage properties. These notes receivable typically have a term of three years with two one-year extensions, and have variable interest rates. The Company intends to sell the majority of the mortgage receivables and keep the mezzanine receivables to maturity. During the nine months ended September 30, 2021 the Company sold a total principal amount of $117,336 of its mortgage bridge loans receivable to third parties for a total of $116,822 in cash and closed on $143,270 in new mortgage and mezzanine bridge loans.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NET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Due 2031 and the Notes Due 2032 are unsecured, and are fully and unconditionally guaranteed by the Company, ESS Holdings Business Trust I, and ESS Holdings Business Trust II (the "Guarantors," and together with the Operating Partnership, the "Obligated Group"), on a joint and several basis. The guarantee of the Notes Due 2031 and the Notes Due 2032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2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2021 and 2020, such derivatives were used to hedge the variable cash flows associated with existing variable-rate debt. In the coming 12 months, the Company estimates that $35,685 will be reclassified and increase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20 derivative financial instruments which had a total combined notional amount of $1,986,266 as of September 30,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9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2020</w:t>
            </w:r>
          </w:p>
        </w:tc>
      </w:tr>
      <w:tr>
        <w:trPr>
          <w:trHeight w:val="226"/>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98,325</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Gain (loss) recognized in OCI For the Three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Gain (loss) reclassified from OCI For the Three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w w:val="92"/>
              </w:rPr>
              <w:t>Months Ended September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6"/>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Months Ended September 30,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720" w:type="dxa"/>
            <w:vAlign w:val="bottom"/>
            <w:gridSpan w:val="3"/>
            <w:vMerge w:val="restart"/>
          </w:tcPr>
          <w:p>
            <w:pPr>
              <w:jc w:val="center"/>
              <w:ind w:right="140"/>
              <w:spacing w:after="0" w:line="122" w:lineRule="exact"/>
              <w:rPr>
                <w:sz w:val="20"/>
                <w:szCs w:val="20"/>
                <w:color w:val="auto"/>
              </w:rPr>
            </w:pPr>
            <w:r>
              <w:rPr>
                <w:rFonts w:ascii="Arial" w:cs="Arial" w:eastAsia="Arial" w:hAnsi="Arial"/>
                <w:sz w:val="14"/>
                <w:szCs w:val="14"/>
                <w:b w:val="1"/>
                <w:bCs w:val="1"/>
                <w:color w:val="auto"/>
                <w:w w:val="95"/>
              </w:rPr>
              <w:t>reclassified from OCI</w:t>
            </w: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vMerge w:val="restart"/>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into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980" w:type="dxa"/>
            <w:vAlign w:val="bottom"/>
            <w:tcBorders>
              <w:bottom w:val="single" w:sz="8" w:color="auto"/>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4"/>
              </w:rPr>
              <w:t>(9,666)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Gain (loss) recognized in OCI For the Nine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Gain (loss) reclassified from OCI For the Nine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2"/>
              </w:rPr>
              <w:t>Ended September 30,</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6"/>
          </w:tcPr>
          <w:p>
            <w:pPr>
              <w:jc w:val="right"/>
              <w:ind w:right="700"/>
              <w:spacing w:after="0" w:line="135" w:lineRule="exact"/>
              <w:rPr>
                <w:sz w:val="20"/>
                <w:szCs w:val="20"/>
                <w:color w:val="auto"/>
              </w:rPr>
            </w:pPr>
            <w:r>
              <w:rPr>
                <w:rFonts w:ascii="Arial" w:cs="Arial" w:eastAsia="Arial" w:hAnsi="Arial"/>
                <w:sz w:val="14"/>
                <w:szCs w:val="14"/>
                <w:b w:val="1"/>
                <w:bCs w:val="1"/>
                <w:color w:val="auto"/>
              </w:rPr>
              <w:t>Months Ended September 30,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w:t>
            </w:r>
          </w:p>
        </w:tc>
        <w:tc>
          <w:tcPr>
            <w:tcW w:w="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20" w:type="dxa"/>
            <w:vAlign w:val="bottom"/>
            <w:gridSpan w:val="3"/>
            <w:vMerge w:val="restart"/>
          </w:tcPr>
          <w:p>
            <w:pPr>
              <w:jc w:val="center"/>
              <w:ind w:right="20"/>
              <w:spacing w:after="0" w:line="95" w:lineRule="exact"/>
              <w:rPr>
                <w:sz w:val="20"/>
                <w:szCs w:val="20"/>
                <w:color w:val="auto"/>
              </w:rPr>
            </w:pPr>
            <w:r>
              <w:rPr>
                <w:rFonts w:ascii="Arial" w:cs="Arial" w:eastAsia="Arial" w:hAnsi="Arial"/>
                <w:sz w:val="10"/>
                <w:szCs w:val="10"/>
                <w:b w:val="1"/>
                <w:bCs w:val="1"/>
                <w:color w:val="auto"/>
              </w:rPr>
              <w:t>reclassified from OCI into</w:t>
            </w: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9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10,316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2"/>
              </w:rPr>
              <w:t>(17,868)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2021, the fair value of derivatives in a net liability position, which includes accrued interest but excludes any adjustment for nonperformance risk, related to these agreements was $63,272. As of September 30, 2021, the Company had not posted any collateral related to these agreements. If the Company had breached any of these provisions as of September 30, 2021, it could have been required to cash settle its obligations under the agreements at their termination value of $63,272, including accrued interest.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EXCHANGEABLE SENIOR NOTES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are included in exchangeable senior notes, net, in the condensed consolidated balance sheets. Prior to the full redemption of the 2015 Notes in November 2020 as described below, the 2015 Notes were general unsecured senior obligations of the Operating Partnership and were fully guaranteed by the Company. Interest was payable on April 1 and October 1 of each year beginning April 1, 2016, until the maturity date of October 1, 2035. The 2015 Notes bore interest at 3.125% per annum and contained an exchange settlement feature, which provided that the 2015 Notes could have been, under certain circumstances, exchangeable for cash (for the principal amount of the 2015 Notes) and, with respect to any excess exchange value, for cash, shares of the Company’s common stock, or a combination of cash and shares of the Company’s common stock, at the Company’s option.</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components of the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were amortized as interest expense over the remaining period of the debt through its first redemption date of October 1, 2020. The effective interest rate on the liability components of the 2015 Notes was 4.0%, which approximated the market rate of interest of similar debt without exchange features (i.e. nonconvertible debt) at the time of issuance.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amount of interest cost recognized relating to the contractual interest rate and the amortization of the discount on the liability component of the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were as follows for the periods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36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187"/>
        </w:trPr>
        <w:tc>
          <w:tcPr>
            <w:tcW w:w="482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Amortization of discount</w:t>
            </w:r>
          </w:p>
        </w:tc>
        <w:tc>
          <w:tcPr>
            <w:tcW w:w="10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3,675</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and the Company redeemed the remaining $55 of outstanding principal amount of the 2015 Notes. The Company paid cash of $503,487 for the principal amount and issued 1,198,962 shares of common stock with a value of $138,900 for the exchange value in excess of the principal amount.</w:t>
      </w:r>
    </w:p>
    <w:p>
      <w:pPr>
        <w:spacing w:after="0" w:line="278"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$66,786.</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23, 2021, the Company sold 1,600,000 shares of its common stock in a registered offering structured as a bought deal at a price of $129.13 per share resulting in net proceeds of $206,573.</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15, 2020, the Company's board of directors authorized a new share repurchase program allowing for the repurchase of shares with an aggregate value up to $400,000. No shares were repurchased during the nine months ended September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At September 30, 2021 and December 31, 2020,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September 30, 2021 and December 31, 2020,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188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Units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Series B Units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38,068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40,902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 Units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117,362</w:t>
            </w: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172,052</w:t>
            </w:r>
          </w:p>
        </w:tc>
      </w:tr>
      <w:tr>
        <w:trPr>
          <w:trHeight w:val="21"/>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Series B Units were issued in 2013 and 2014. The Series B Units have a liquidation value of $25.00 per unit for a fixed liquidation value of $38,068 which represents 1,522,727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2021, 113,360 Series B Units were redeemed for 15,265 shares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On April 25, 2019, the remaining 296,020 Series C Units were converted into 270,709 OP Units. The remaining outstanding balance of the loan receivable of $1,900 is shown as a reduction of the noncontrolling interests related to the OP Units as of September 30, 2021 and December 31, 2020. See footnote 13 for further discussion of noncontrolling interests.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7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Series D Units have been issued at various times from 2014 to 2019. The Series D Units have a liquidation value of $25.00 per unit, for a fixed liquidation value of $117,362, which represents 4,694,485 Series D Units. Holders of the Series D Units receive distributions at an annual rate between</w:t>
      </w:r>
    </w:p>
    <w:p>
      <w:pPr>
        <w:spacing w:after="0" w:line="273" w:lineRule="auto"/>
        <w:rPr>
          <w:sz w:val="20"/>
          <w:szCs w:val="20"/>
          <w:color w:val="auto"/>
        </w:rPr>
      </w:pPr>
      <w:r>
        <w:rPr>
          <w:rFonts w:ascii="Arial" w:cs="Arial" w:eastAsia="Arial" w:hAnsi="Arial"/>
          <w:sz w:val="17"/>
          <w:szCs w:val="17"/>
          <w:color w:val="auto"/>
        </w:rPr>
        <w:t>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interest in its stores is held through the Operating Partnership. Between its general partner and limited partner interests, the Company held a 94.7% ownership interest in the Operating Partnership as of September 30, 2021. The remaining ownership interests in the Operating Partnership (including Preferred OP Units) of 5.3% are held by certain former owners of assets acquired by the Operating Partnership. As of September 30, 2021 and December 31, 2020, the noncontrolling interests in the Operating Partnership are shown on the balance sheet net of notes receivable of $1,900 and $2,311, respectively, because the borrowers under the loan receivable are also holders of OP Units (Note 12). This loan receivable bears interest at 5.0% per annum and matures on December 15, 2024.</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2021, the ten-day average closing price of the Company's common stock was $174.98 and there were 5,733,498 OP Units outstanding. Assuming that all of the OP Unit holders exercised their right to redeem all of their OP Units on September 30, 2021 and the Company elected to pay the OP Unit holders cash, the Company would have paid $1,003,247 in cash consideration to redeem the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10"/>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64,287</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108,862</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 Units redeemed for cash</w:t>
            </w:r>
          </w:p>
        </w:tc>
        <w:tc>
          <w:tcPr>
            <w:tcW w:w="12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 Units redeemed</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noncontrolling interests represent the ownership interests of third parties in two consolidated joint ventures as of September 30, 2021. One joint venture owns four operating stores and the other owns one property that is under development. The voting interests of the third-party owners are between 10.0% and 20.0%.</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25, 2021, the Company purchased for $12,215 in cash the remaining third party ownership interest in a previously consolidated joint venture that owned two operating stores.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SEGMENT INFORMATION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4" w:right="339" w:bottom="1440" w:gutter="0" w:footer="0" w:header="0"/>
        </w:sectPr>
      </w:pPr>
    </w:p>
    <w:p>
      <w:pPr>
        <w:spacing w:after="0" w:line="1" w:lineRule="exact"/>
        <w:rPr>
          <w:sz w:val="20"/>
          <w:szCs w:val="20"/>
          <w:color w:val="auto"/>
        </w:rPr>
      </w:pPr>
    </w:p>
    <w:p>
      <w:pPr>
        <w:jc w:val="center"/>
        <w:ind w:left="400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34925</wp:posOffset>
            </wp:positionV>
            <wp:extent cx="2503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9" w:lineRule="exact"/>
        <w:rPr>
          <w:sz w:val="20"/>
          <w:szCs w:val="20"/>
          <w:color w:val="auto"/>
        </w:rPr>
      </w:pPr>
    </w:p>
    <w:p>
      <w:pPr>
        <w:ind w:left="4520"/>
        <w:spacing w:after="0"/>
        <w:tabs>
          <w:tab w:leader="none" w:pos="64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34925</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9"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6" w:lineRule="exact"/>
        <w:rPr>
          <w:sz w:val="20"/>
          <w:szCs w:val="20"/>
          <w:color w:val="auto"/>
        </w:rPr>
      </w:pPr>
    </w:p>
    <w:p>
      <w:pPr>
        <w:sectPr>
          <w:pgSz w:w="11900" w:h="16838" w:orient="portrait"/>
          <w:cols w:equalWidth="0" w:num="2">
            <w:col w:w="7340" w:space="720"/>
            <w:col w:w="318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700" w:type="dxa"/>
            <w:vAlign w:val="bottom"/>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351,355</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290,423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976,448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856,438</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44,258</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39,294</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126,211</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107,985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revenues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395,613</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329,717</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1,102,659</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964,423</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92,794</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92,322</w:t>
            </w:r>
          </w:p>
        </w:tc>
        <w:tc>
          <w:tcPr>
            <w:tcW w:w="2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274,316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271,659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21,405</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segment operating expenses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100,303</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99,511</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295,721</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292,384</w:t>
            </w:r>
          </w:p>
        </w:tc>
        <w:tc>
          <w:tcPr>
            <w:tcW w:w="0" w:type="dxa"/>
            <w:vAlign w:val="bottom"/>
          </w:tcPr>
          <w:p>
            <w:pPr>
              <w:spacing w:after="0"/>
              <w:rPr>
                <w:sz w:val="1"/>
                <w:szCs w:val="1"/>
                <w:color w:val="auto"/>
              </w:rPr>
            </w:pPr>
          </w:p>
        </w:tc>
      </w:tr>
      <w:tr>
        <w:trPr>
          <w:trHeight w:val="236"/>
        </w:trPr>
        <w:tc>
          <w:tcPr>
            <w:tcW w:w="3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258,561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702,132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584,779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36,749</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32,105</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104,806</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net operating income:</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295,310</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230,206</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806,938</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672,039</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components of net income:</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color w:val="auto"/>
              </w:rPr>
              <w:t>Management fees and other income</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16,879</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13,307</w:t>
            </w:r>
          </w:p>
        </w:tc>
        <w:tc>
          <w:tcPr>
            <w:tcW w:w="2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47,320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38,299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(24,395)</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(74,276)</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(72,242)</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(61,516)</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(56,412)</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(179,685)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(167,705)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real estate transactions</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(39,670)</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(42,213)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(120,605)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(127,610)</w:t>
            </w:r>
          </w:p>
        </w:tc>
        <w:tc>
          <w:tcPr>
            <w:tcW w:w="0" w:type="dxa"/>
            <w:vAlign w:val="bottom"/>
          </w:tcPr>
          <w:p>
            <w:pPr>
              <w:spacing w:after="0"/>
              <w:rPr>
                <w:sz w:val="1"/>
                <w:szCs w:val="1"/>
                <w:color w:val="auto"/>
              </w:rPr>
            </w:pPr>
          </w:p>
        </w:tc>
      </w:tr>
      <w:tr>
        <w:trPr>
          <w:trHeight w:val="166"/>
        </w:trPr>
        <w:tc>
          <w:tcPr>
            <w:tcW w:w="370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3"/>
              </w:rPr>
              <w:t>Non-cash interest expense related to amortization of</w:t>
            </w:r>
          </w:p>
        </w:tc>
        <w:tc>
          <w:tcPr>
            <w:tcW w:w="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discount on equity component of exchangeable</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11,729</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36,871</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166"/>
        </w:trPr>
        <w:tc>
          <w:tcPr>
            <w:tcW w:w="370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Equity in earnings and dividend income from</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7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unconsolidated real estate entities</w:t>
            </w: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00" w:type="dxa"/>
            <w:vAlign w:val="bottom"/>
          </w:tcPr>
          <w:p>
            <w:pPr>
              <w:ind w:left="220"/>
              <w:spacing w:after="0" w:line="166" w:lineRule="exact"/>
              <w:rPr>
                <w:sz w:val="20"/>
                <w:szCs w:val="20"/>
                <w:color w:val="auto"/>
              </w:rPr>
            </w:pPr>
            <w:r>
              <w:rPr>
                <w:rFonts w:ascii="Arial" w:cs="Arial" w:eastAsia="Arial" w:hAnsi="Arial"/>
                <w:sz w:val="16"/>
                <w:szCs w:val="16"/>
                <w:color w:val="auto"/>
              </w:rPr>
              <w:t>Equity in earnings of unconsolidated real estate</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20"/>
              <w:spacing w:after="0" w:line="162" w:lineRule="exact"/>
              <w:rPr>
                <w:sz w:val="20"/>
                <w:szCs w:val="20"/>
                <w:color w:val="auto"/>
              </w:rPr>
            </w:pPr>
            <w:r>
              <w:rPr>
                <w:rFonts w:ascii="Arial" w:cs="Arial" w:eastAsia="Arial" w:hAnsi="Arial"/>
                <w:sz w:val="16"/>
                <w:szCs w:val="16"/>
                <w:color w:val="auto"/>
              </w:rPr>
              <w:t>ventures - gain on sale of real estate assets and</w:t>
            </w:r>
          </w:p>
        </w:tc>
        <w:tc>
          <w:tcPr>
            <w:tcW w:w="7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4"/>
                <w:szCs w:val="14"/>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5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220"/>
              <w:spacing w:after="0"/>
              <w:rPr>
                <w:sz w:val="20"/>
                <w:szCs w:val="20"/>
                <w:color w:val="auto"/>
              </w:rPr>
            </w:pPr>
            <w:r>
              <w:rPr>
                <w:rFonts w:ascii="Arial" w:cs="Arial" w:eastAsia="Arial" w:hAnsi="Arial"/>
                <w:sz w:val="16"/>
                <w:szCs w:val="16"/>
                <w:color w:val="auto"/>
              </w:rPr>
              <w:t>purchase of joint venture partner's interest</w:t>
            </w:r>
          </w:p>
        </w:tc>
        <w:tc>
          <w:tcPr>
            <w:tcW w:w="7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expense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23"/>
        </w:trPr>
        <w:tc>
          <w:tcPr>
            <w:tcW w:w="3700" w:type="dxa"/>
            <w:vAlign w:val="bottom"/>
          </w:tcPr>
          <w:p>
            <w:pPr>
              <w:ind w:left="46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199,820</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123,854</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593,900</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351,273</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September 30, 2021,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2021, the Company was under agreement to acquire 15 stores at a total purchase price of $221,850. Fourteen stores are scheduled to close in 2021 and one store is scheduled to close in 2022. Additionally, the Company is under agreement to acquire 11 stores with joint venture partners, for a total investment of $23,775. Ten stores are scheduled to close in 2021 and one store scheduled to close in 2022.</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following discussion and analysis should be read in conjunction with our unaudited </w:t>
      </w:r>
      <w:r>
        <w:rPr>
          <w:rFonts w:ascii="Arial" w:cs="Arial" w:eastAsia="Arial" w:hAnsi="Arial"/>
          <w:sz w:val="18"/>
          <w:szCs w:val="18"/>
          <w:i w:val="1"/>
          <w:iCs w:val="1"/>
          <w:color w:val="auto"/>
        </w:rPr>
        <w:t>“Condensed Consolidated Financial Statements”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Condensed Consolidated Financial Statements (unaudited)” </w:t>
      </w:r>
      <w:r>
        <w:rPr>
          <w:rFonts w:ascii="Arial" w:cs="Arial" w:eastAsia="Arial" w:hAnsi="Arial"/>
          <w:sz w:val="18"/>
          <w:szCs w:val="18"/>
          <w:color w:val="auto"/>
        </w:rPr>
        <w:t>appearing elsewhere in this report and the</w:t>
      </w:r>
      <w:r>
        <w:rPr>
          <w:rFonts w:ascii="Arial" w:cs="Arial" w:eastAsia="Arial" w:hAnsi="Arial"/>
          <w:sz w:val="18"/>
          <w:szCs w:val="18"/>
          <w:i w:val="1"/>
          <w:iCs w:val="1"/>
          <w:color w:val="auto"/>
        </w:rPr>
        <w:t xml:space="preserve"> “Consolidated Financial Statements,” “Notes to 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2020.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2020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9" w:name="page30"/>
    <w:bookmarkEnd w:id="29"/>
    <w:p>
      <w:pPr>
        <w:spacing w:after="0" w:line="19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4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United States and other countries around the world continue to be impacted by the COVID-19 pandemic, which has created considerable instability and disruption in the U.S. and world economies. Governmental authorities in impacted regions have taken various actions in an effort to slow the spread of COVID-19, including issuance of varying forms of states of emergency orders. In response to these evolving orders and the COVID-19 pandemic,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Although we have started to see certain governmental restrictions lifted and certain work practices return to normal, our customers may continue to be impacted by the COVID-19 pandemic and related governmental responses, including through unemployment, which may impact their ability to pay rent or renew their leases. With the lifting of many governmental restrictions, we have seen record occupancy in our stores. However, given the uncertainty resulting from the pandemic, our business may be impacted by the COVID-19 pandemic including additional governmental restrictions.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of September 30, 2021, we owned or had ownership interests in 1,227 operating stores. Of these stores, 966 are wholly-owned, four are in consolidated joint ventures, and 257 are in unconsolidated joint ventures. In addition, we managed an additional 827 stores for third parties bringing the total number of stores which we own and/or manage to 2,054.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September 30, 2021, approximately 1,255,000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2021, the average length of stay was approximately 15.3 months.</w:t>
      </w:r>
    </w:p>
    <w:p>
      <w:pPr>
        <w:spacing w:after="0" w:line="21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$18.44 for the three months ended September 30, 2021, compared to $15.74 for the three months ended September 30, 2020. Average annual rent per square foot for new leases was $20.93 for the three months ended September 30, 2021, compared to $14.98 for the three months ended September 30, 2020. The average discounts, as a percentage of rental revenues, at all stabilized properties during these periods were 3.5% and 3.6%, respectively.</w:t>
      </w:r>
    </w:p>
    <w:p>
      <w:pPr>
        <w:spacing w:after="0" w:line="19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September 30, 2021</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232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687,136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75,711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594,615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1,357,462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1,623,510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555,218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1,696,436</w:t>
            </w: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1300" w:type="dxa"/>
            <w:vAlign w:val="bottom"/>
          </w:tcPr>
          <w:p>
            <w:pPr>
              <w:jc w:val="right"/>
              <w:spacing w:after="0"/>
              <w:rPr>
                <w:sz w:val="20"/>
                <w:szCs w:val="20"/>
                <w:color w:val="auto"/>
              </w:rPr>
            </w:pPr>
            <w:r>
              <w:rPr>
                <w:rFonts w:ascii="Arial" w:cs="Arial" w:eastAsia="Arial" w:hAnsi="Arial"/>
                <w:sz w:val="16"/>
                <w:szCs w:val="16"/>
                <w:color w:val="auto"/>
              </w:rPr>
              <w:t>3,875,164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12,614,908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3,437,282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7,276,333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23,328,523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1,152,016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186,269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2,089,630</w:t>
            </w: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300" w:type="dxa"/>
            <w:vAlign w:val="bottom"/>
          </w:tcPr>
          <w:p>
            <w:pPr>
              <w:jc w:val="right"/>
              <w:spacing w:after="0"/>
              <w:rPr>
                <w:sz w:val="20"/>
                <w:szCs w:val="20"/>
                <w:color w:val="auto"/>
              </w:rPr>
            </w:pPr>
            <w:r>
              <w:rPr>
                <w:rFonts w:ascii="Arial" w:cs="Arial" w:eastAsia="Arial" w:hAnsi="Arial"/>
                <w:sz w:val="16"/>
                <w:szCs w:val="16"/>
                <w:color w:val="auto"/>
              </w:rPr>
              <w:t>3,427,915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531,281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489,593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546,567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1,567,441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76,645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138,479</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215,124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7,695,779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2,605,765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9,235,966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19,537,510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5,260,553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504,497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1,762,346</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300" w:type="dxa"/>
            <w:vAlign w:val="bottom"/>
          </w:tcPr>
          <w:p>
            <w:pPr>
              <w:jc w:val="right"/>
              <w:spacing w:after="0"/>
              <w:rPr>
                <w:sz w:val="20"/>
                <w:szCs w:val="20"/>
                <w:color w:val="auto"/>
              </w:rPr>
            </w:pPr>
            <w:r>
              <w:rPr>
                <w:rFonts w:ascii="Arial" w:cs="Arial" w:eastAsia="Arial" w:hAnsi="Arial"/>
                <w:sz w:val="16"/>
                <w:szCs w:val="16"/>
                <w:color w:val="auto"/>
              </w:rPr>
              <w:t>7,527,396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863,683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159,388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1,023,071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131,564</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jc w:val="right"/>
              <w:spacing w:after="0"/>
              <w:rPr>
                <w:sz w:val="20"/>
                <w:szCs w:val="20"/>
                <w:color w:val="auto"/>
              </w:rPr>
            </w:pPr>
            <w:r>
              <w:rPr>
                <w:rFonts w:ascii="Arial" w:cs="Arial" w:eastAsia="Arial" w:hAnsi="Arial"/>
                <w:sz w:val="16"/>
                <w:szCs w:val="16"/>
                <w:color w:val="auto"/>
              </w:rPr>
              <w:t>131,564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2,741,044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674,913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2,487,912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5,903,869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968,130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58,166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1,110,913</w:t>
            </w: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300" w:type="dxa"/>
            <w:vAlign w:val="bottom"/>
          </w:tcPr>
          <w:p>
            <w:pPr>
              <w:jc w:val="right"/>
              <w:spacing w:after="0"/>
              <w:rPr>
                <w:sz w:val="20"/>
                <w:szCs w:val="20"/>
                <w:color w:val="auto"/>
              </w:rPr>
            </w:pPr>
            <w:r>
              <w:rPr>
                <w:rFonts w:ascii="Arial" w:cs="Arial" w:eastAsia="Arial" w:hAnsi="Arial"/>
                <w:sz w:val="16"/>
                <w:szCs w:val="16"/>
                <w:color w:val="auto"/>
              </w:rPr>
              <w:t>2,137,209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50,209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108,720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466,550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931,320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51,148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678,166</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color w:val="auto"/>
              </w:rPr>
              <w:t>1,660,634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164,314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767,998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932,312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Maine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578,436</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00" w:type="dxa"/>
            <w:vAlign w:val="bottom"/>
          </w:tcPr>
          <w:p>
            <w:pPr>
              <w:jc w:val="right"/>
              <w:spacing w:after="0"/>
              <w:rPr>
                <w:sz w:val="20"/>
                <w:szCs w:val="20"/>
                <w:color w:val="auto"/>
              </w:rPr>
            </w:pPr>
            <w:r>
              <w:rPr>
                <w:rFonts w:ascii="Arial" w:cs="Arial" w:eastAsia="Arial" w:hAnsi="Arial"/>
                <w:sz w:val="16"/>
                <w:szCs w:val="16"/>
                <w:color w:val="auto"/>
              </w:rPr>
              <w:t>578,436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2,762,038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552,679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2,870,406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6,185,123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2,969,030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640,744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1,156,949</w:t>
            </w: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1300" w:type="dxa"/>
            <w:vAlign w:val="bottom"/>
          </w:tcPr>
          <w:p>
            <w:pPr>
              <w:jc w:val="right"/>
              <w:spacing w:after="0"/>
              <w:rPr>
                <w:sz w:val="20"/>
                <w:szCs w:val="20"/>
                <w:color w:val="auto"/>
              </w:rPr>
            </w:pPr>
            <w:r>
              <w:rPr>
                <w:rFonts w:ascii="Arial" w:cs="Arial" w:eastAsia="Arial" w:hAnsi="Arial"/>
                <w:sz w:val="16"/>
                <w:szCs w:val="16"/>
                <w:color w:val="auto"/>
              </w:rPr>
              <w:t>4,766,723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567,499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309,086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420,218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1,296,803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508,992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305,901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1,157,927</w:t>
            </w: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300" w:type="dxa"/>
            <w:vAlign w:val="bottom"/>
          </w:tcPr>
          <w:p>
            <w:pPr>
              <w:jc w:val="right"/>
              <w:spacing w:after="0"/>
              <w:rPr>
                <w:sz w:val="20"/>
                <w:szCs w:val="20"/>
                <w:color w:val="auto"/>
              </w:rPr>
            </w:pPr>
            <w:r>
              <w:rPr>
                <w:rFonts w:ascii="Arial" w:cs="Arial" w:eastAsia="Arial" w:hAnsi="Arial"/>
                <w:sz w:val="16"/>
                <w:szCs w:val="16"/>
                <w:color w:val="auto"/>
              </w:rPr>
              <w:t>1,972,820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306,624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306,624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332,830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119,275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806,248</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300" w:type="dxa"/>
            <w:vAlign w:val="bottom"/>
          </w:tcPr>
          <w:p>
            <w:pPr>
              <w:jc w:val="right"/>
              <w:spacing w:after="0"/>
              <w:rPr>
                <w:sz w:val="20"/>
                <w:szCs w:val="20"/>
                <w:color w:val="auto"/>
              </w:rPr>
            </w:pPr>
            <w:r>
              <w:rPr>
                <w:rFonts w:ascii="Arial" w:cs="Arial" w:eastAsia="Arial" w:hAnsi="Arial"/>
                <w:sz w:val="16"/>
                <w:szCs w:val="16"/>
                <w:color w:val="auto"/>
              </w:rPr>
              <w:t>1,258,353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278,061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278,061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1,040,122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473,751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709,158</w:t>
            </w: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300" w:type="dxa"/>
            <w:vAlign w:val="bottom"/>
          </w:tcPr>
          <w:p>
            <w:pPr>
              <w:jc w:val="right"/>
              <w:spacing w:after="0"/>
              <w:rPr>
                <w:sz w:val="20"/>
                <w:szCs w:val="20"/>
                <w:color w:val="auto"/>
              </w:rPr>
            </w:pPr>
            <w:r>
              <w:rPr>
                <w:rFonts w:ascii="Arial" w:cs="Arial" w:eastAsia="Arial" w:hAnsi="Arial"/>
                <w:sz w:val="16"/>
                <w:szCs w:val="16"/>
                <w:color w:val="auto"/>
              </w:rPr>
              <w:t>2,223,031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135,840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84,533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313,072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533,445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4,902,753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1,141,997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2,514,015</w:t>
            </w: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1300" w:type="dxa"/>
            <w:vAlign w:val="bottom"/>
          </w:tcPr>
          <w:p>
            <w:pPr>
              <w:jc w:val="right"/>
              <w:spacing w:after="0"/>
              <w:rPr>
                <w:sz w:val="20"/>
                <w:szCs w:val="20"/>
                <w:color w:val="auto"/>
              </w:rPr>
            </w:pPr>
            <w:r>
              <w:rPr>
                <w:rFonts w:ascii="Arial" w:cs="Arial" w:eastAsia="Arial" w:hAnsi="Arial"/>
                <w:sz w:val="16"/>
                <w:szCs w:val="16"/>
                <w:color w:val="auto"/>
              </w:rPr>
              <w:t>8,558,765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716,934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677,584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840,512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2,235,030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2,030,765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1,461,866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1,810,415</w:t>
            </w: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300" w:type="dxa"/>
            <w:vAlign w:val="bottom"/>
          </w:tcPr>
          <w:p>
            <w:pPr>
              <w:jc w:val="right"/>
              <w:spacing w:after="0"/>
              <w:rPr>
                <w:sz w:val="20"/>
                <w:szCs w:val="20"/>
                <w:color w:val="auto"/>
              </w:rPr>
            </w:pPr>
            <w:r>
              <w:rPr>
                <w:rFonts w:ascii="Arial" w:cs="Arial" w:eastAsia="Arial" w:hAnsi="Arial"/>
                <w:sz w:val="16"/>
                <w:szCs w:val="16"/>
                <w:color w:val="auto"/>
              </w:rPr>
              <w:t>5,303,046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1,505,748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298,567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1,682,402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3,486,717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1,314,364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325,163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501,156</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300" w:type="dxa"/>
            <w:vAlign w:val="bottom"/>
          </w:tcPr>
          <w:p>
            <w:pPr>
              <w:jc w:val="right"/>
              <w:spacing w:after="0"/>
              <w:rPr>
                <w:sz w:val="20"/>
                <w:szCs w:val="20"/>
                <w:color w:val="auto"/>
              </w:rPr>
            </w:pPr>
            <w:r>
              <w:rPr>
                <w:rFonts w:ascii="Arial" w:cs="Arial" w:eastAsia="Arial" w:hAnsi="Arial"/>
                <w:sz w:val="16"/>
                <w:szCs w:val="16"/>
                <w:color w:val="auto"/>
              </w:rPr>
              <w:t>2,140,683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1,544,041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1,544,041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552,076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65,245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727,927</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300" w:type="dxa"/>
            <w:vAlign w:val="bottom"/>
          </w:tcPr>
          <w:p>
            <w:pPr>
              <w:jc w:val="right"/>
              <w:spacing w:after="0"/>
              <w:rPr>
                <w:sz w:val="20"/>
                <w:szCs w:val="20"/>
                <w:color w:val="auto"/>
              </w:rPr>
            </w:pPr>
            <w:r>
              <w:rPr>
                <w:rFonts w:ascii="Arial" w:cs="Arial" w:eastAsia="Arial" w:hAnsi="Arial"/>
                <w:sz w:val="16"/>
                <w:szCs w:val="16"/>
                <w:color w:val="auto"/>
              </w:rPr>
              <w:t>1,345,248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1,537,546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522,254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2,264,916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4,324,716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134,902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422,880</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557,782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1,812,165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537,279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1,916,251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4,265,695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1,776,735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810,716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826,786</w:t>
            </w: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300" w:type="dxa"/>
            <w:vAlign w:val="bottom"/>
          </w:tcPr>
          <w:p>
            <w:pPr>
              <w:jc w:val="right"/>
              <w:spacing w:after="0"/>
              <w:rPr>
                <w:sz w:val="20"/>
                <w:szCs w:val="20"/>
                <w:color w:val="auto"/>
              </w:rPr>
            </w:pPr>
            <w:r>
              <w:rPr>
                <w:rFonts w:ascii="Arial" w:cs="Arial" w:eastAsia="Arial" w:hAnsi="Arial"/>
                <w:sz w:val="16"/>
                <w:szCs w:val="16"/>
                <w:color w:val="auto"/>
              </w:rPr>
              <w:t>3,414,237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9,156,647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1,423,604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6,046,620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16,626,871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Utah</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698,777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1,933,490</w:t>
            </w: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300" w:type="dxa"/>
            <w:vAlign w:val="bottom"/>
          </w:tcPr>
          <w:p>
            <w:pPr>
              <w:jc w:val="right"/>
              <w:spacing w:after="0"/>
              <w:rPr>
                <w:sz w:val="20"/>
                <w:szCs w:val="20"/>
                <w:color w:val="auto"/>
              </w:rPr>
            </w:pPr>
            <w:r>
              <w:rPr>
                <w:rFonts w:ascii="Arial" w:cs="Arial" w:eastAsia="Arial" w:hAnsi="Arial"/>
                <w:sz w:val="16"/>
                <w:szCs w:val="16"/>
                <w:color w:val="auto"/>
              </w:rPr>
              <w:t>2,632,267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3,787,653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768,178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2,294,075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6,849,906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683,817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1,041,435</w:t>
            </w: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300" w:type="dxa"/>
            <w:vAlign w:val="bottom"/>
          </w:tcPr>
          <w:p>
            <w:pPr>
              <w:jc w:val="right"/>
              <w:spacing w:after="0"/>
              <w:rPr>
                <w:sz w:val="20"/>
                <w:szCs w:val="20"/>
                <w:color w:val="auto"/>
              </w:rPr>
            </w:pPr>
            <w:r>
              <w:rPr>
                <w:rFonts w:ascii="Arial" w:cs="Arial" w:eastAsia="Arial" w:hAnsi="Arial"/>
                <w:sz w:val="16"/>
                <w:szCs w:val="16"/>
                <w:color w:val="auto"/>
              </w:rPr>
              <w:t>1,725,252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100,039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103,732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530,474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734,245</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592,624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592,624</w:t>
            </w: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970</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74,617,779</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19,446,081</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827</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64,923,357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158,987,217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four consolidated joint venture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Results for the three and nine months ended September 30, 2021 included the operations of 1,227 stores (966 wholly-owned, four in consolidated joint ventures, and 257 in joint ventures accounted for using the equity method) compared to the results for the three and nine months ended September 30, 2020, which included the operations of 1,188 stores (935 wholly-owned, six in consolidated joint ventures, and 247 in joint ventures accounted for using the equity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Nine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351,355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290,423</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60,932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976,448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856,438</w:t>
            </w:r>
          </w:p>
        </w:tc>
        <w:tc>
          <w:tcPr>
            <w:tcW w:w="12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120,010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14.0 %</w:t>
            </w:r>
          </w:p>
        </w:tc>
      </w:tr>
      <w:tr>
        <w:trPr>
          <w:trHeight w:val="23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175"/>
        </w:trPr>
        <w:tc>
          <w:tcPr>
            <w:tcW w:w="2780" w:type="dxa"/>
            <w:vAlign w:val="bottom"/>
          </w:tcPr>
          <w:p>
            <w:pPr>
              <w:ind w:left="400"/>
              <w:spacing w:after="0" w:line="176" w:lineRule="exact"/>
              <w:rPr>
                <w:sz w:val="20"/>
                <w:szCs w:val="20"/>
                <w:color w:val="auto"/>
              </w:rPr>
            </w:pPr>
            <w:r>
              <w:rPr>
                <w:rFonts w:ascii="Arial" w:cs="Arial" w:eastAsia="Arial" w:hAnsi="Arial"/>
                <w:sz w:val="18"/>
                <w:szCs w:val="18"/>
                <w:color w:val="auto"/>
              </w:rPr>
              <w:t>Management fees and other</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2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23.6 %</w:t>
            </w:r>
          </w:p>
        </w:tc>
      </w:tr>
      <w:tr>
        <w:trPr>
          <w:trHeight w:val="234"/>
        </w:trPr>
        <w:tc>
          <w:tcPr>
            <w:tcW w:w="2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69,468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1,149,979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1,002,722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147,257</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increase in property rental revenues for the three and nine months ended September 30, 2021 was primarily the result of an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of $49,960 and $96,888, respectively, related to higher occupancy and increased rental rates at our stabilized stores. An additional increase of $12,700 and $27,713, respectively, was attributable to store acquisitions completed in 2021 and 2020. We acquired 36 wholly-owned stores during the nine months ended September 30, 2021 and a total of 23 stores during the year ended December 31, 2020. This was partially offset by selling 16 wholly-owned stores into an unconsolidated joint venture in March 2021 and four wholly-owned stores to a third-party owner in December, 2020.</w:t>
      </w:r>
    </w:p>
    <w:p>
      <w:pPr>
        <w:spacing w:after="0" w:line="19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due primarily to an increase in the number of stores operated and higher</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We operated 2,054 stores at September 30, 2021 compared to 1,906 stores at September 30, 2020.</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fees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 and other transaction fee income. The increase for the three and nine months ended September 30, 2021 was primarily due to an increase in the number of stores managed and other transaction fee income. As of September 30, 2021, we managed 1,088 stores for joint ventures and third parties, compared to 971 stores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28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92,794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92,322</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274,316</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271,659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29"/>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74,276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72,242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29"/>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179,685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167,705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11,980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0"/>
        </w:trPr>
        <w:tc>
          <w:tcPr>
            <w:tcW w:w="282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179,817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549,682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532,331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17,351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during the three and nine months ended September 30, 2021 was due primarily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of $4,177 and $10,149, respectively, attributable to store acquisitions completed in 2021 and 2020. We acquired 36 wholly-owned stores during the nine months ended September 30, 2021 and a total of 23 stores during the year ended December 31, 2020. The increase was also due to additional credit card processing fees, repairs and maintenance expense and insurance expense. The property operations increase was offset for the three and nine months ended September 30, 2021 by decreases of $2,250 and $4,323, respectively, which primarily were from payroll, marketing expenses, and property taxes at stabilized stores and by decreases of $1,580 and $3,899, respectively, due to stores sold in 2021 and 2020.</w:t>
      </w:r>
    </w:p>
    <w:p>
      <w:pPr>
        <w:spacing w:after="0" w:line="18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We operated 2,054 stores at</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compared to 1,906 stores at September 30, 2020.</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office expense, office rent, travel and professional fees. We did not observe any material trends in specific travel or other expenses apart from the increase due to the management of additional stores. However, payroll has continued to increase throughout the year as we have seen wages nationwide grow faster than inflation.</w:t>
      </w:r>
    </w:p>
    <w:p>
      <w:pPr>
        <w:spacing w:after="0" w:line="207"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36 wholly-owned stores during the nine months ended September 30, 2021 and a total of 23 stores during the year ended December 31,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real estate 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(127,610)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Non-cash interest expense related to</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amortization of discount on equity</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component of exchangeable senior notes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8,584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30,383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468.3 %</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Equity in earnings and dividend income</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8,255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5,605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47.3 %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7,841</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from unconsolidated real estate entities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7"/>
              </w:rPr>
              <w:t>Equity in earnings of unconsolidated real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w w:val="91"/>
              </w:rPr>
              <w:t>estate ventures - gain on sale of real estate</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assets and purchase of joint venture</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color w:val="auto"/>
              </w:rPr>
              <w:t>partner's interest</w:t>
            </w: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0" w:type="dxa"/>
            <w:vAlign w:val="bottom"/>
          </w:tcPr>
          <w:p>
            <w:pPr>
              <w:spacing w:after="0"/>
              <w:rPr>
                <w:sz w:val="1"/>
                <w:szCs w:val="1"/>
                <w:color w:val="auto"/>
              </w:rPr>
            </w:pPr>
          </w:p>
        </w:tc>
      </w:tr>
      <w:tr>
        <w:trPr>
          <w:trHeight w:val="206"/>
        </w:trPr>
        <w:tc>
          <w:tcPr>
            <w:tcW w:w="2860" w:type="dxa"/>
            <w:vAlign w:val="bottom"/>
          </w:tcPr>
          <w:p>
            <w:pPr>
              <w:ind w:left="140"/>
              <w:spacing w:after="0"/>
              <w:rPr>
                <w:sz w:val="20"/>
                <w:szCs w:val="20"/>
                <w:color w:val="auto"/>
              </w:rPr>
            </w:pPr>
            <w:r>
              <w:rPr>
                <w:rFonts w:ascii="Arial" w:cs="Arial" w:eastAsia="Arial" w:hAnsi="Arial"/>
                <w:sz w:val="16"/>
                <w:szCs w:val="16"/>
                <w:color w:val="auto"/>
              </w:rPr>
              <w:t>Total other revenues &amp; expenses,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112,721</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Gain on Real Estate Transactions—</w:t>
      </w:r>
      <w:r>
        <w:rPr>
          <w:rFonts w:ascii="Arial" w:cs="Arial" w:eastAsia="Arial" w:hAnsi="Arial"/>
          <w:sz w:val="18"/>
          <w:szCs w:val="18"/>
          <w:color w:val="auto"/>
        </w:rPr>
        <w:t>During the nine months ended September 30, 2021, we sold 16 stores to a newly established unconsolidated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We recognized a total gain of $64,804 related to this transaction. This gain was partially offset by losses related to the sale of notes receivable and solar assets.</w:t>
      </w:r>
    </w:p>
    <w:p>
      <w:pPr>
        <w:spacing w:after="0" w:line="20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decrease in interest expense during the nine months ended September 30, 2021 was primarily the result of a lower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interest rate compared to the same period in the prior year.</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 The exchangeable senior notes were paid off in full during October and November 2020.</w:t>
      </w:r>
    </w:p>
    <w:p>
      <w:pPr>
        <w:spacing w:after="0" w:line="20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Interest Income—</w:t>
      </w:r>
      <w:r>
        <w:rPr>
          <w:rFonts w:ascii="Arial" w:cs="Arial" w:eastAsia="Arial" w:hAnsi="Arial"/>
          <w:sz w:val="17"/>
          <w:szCs w:val="17"/>
          <w:color w:val="auto"/>
        </w:rPr>
        <w:t>Interest income represents interest earned on bridge loans, notes receivable and debt securities and income earned on notes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from Common and Preferred Operating Partnership unit holders. The increase in interest income during the three and nine months ended September 30, 2021 was primarily the result of interest earned on these loans as well as interest earned from a senior mezzanine note receivable with a principal amount of $103,000, which was purchased in July 2020, and our investment in preferred stock of JCAP, which was purchased in November 2020 for $300,000. The interest related to this investment accrues quarterly. A portion of the interest accrued will be paid out each quarter beginning on the first anniversary of the issuance date, with the remainder to be received upon maturity.</w:t>
      </w:r>
    </w:p>
    <w:p>
      <w:pPr>
        <w:spacing w:after="0" w:line="20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Equity in Earnings and Dividend Income from Unconsolidated Real Estate Entities—</w:t>
      </w:r>
      <w:r>
        <w:rPr>
          <w:rFonts w:ascii="Arial" w:cs="Arial" w:eastAsia="Arial" w:hAnsi="Arial"/>
          <w:sz w:val="16"/>
          <w:szCs w:val="16"/>
          <w:color w:val="auto"/>
        </w:rPr>
        <w:t>Equity in earnings of unconsolidated real estate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for $150,000 with another $50,000 invested in October 2020. The increase for the three and nine months ended September 30, 2021 related primarily to the dividend income from the additional SmartStop preferred stock purchased in October 2020.</w:t>
      </w:r>
    </w:p>
    <w:p>
      <w:pPr>
        <w:spacing w:after="0" w:line="18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Equity in Earnings of Unconsolidated Real Estate Ventures - Gain on Sale of Real Estate Assets and Purchase of Joint Venture Partner's Interest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2021, the Company sold its interest in two unconsolidated joint ventures to its joint venture partner. The Company received proceeds of $1,888 in cash, and recorded a gain of $525. Also in June 2021,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right="140"/>
        <w:spacing w:after="0" w:line="277" w:lineRule="auto"/>
        <w:rPr>
          <w:sz w:val="20"/>
          <w:szCs w:val="20"/>
          <w:color w:val="auto"/>
        </w:rPr>
      </w:pPr>
      <w:r>
        <w:rPr>
          <w:rFonts w:ascii="Arial" w:cs="Arial" w:eastAsia="Arial" w:hAnsi="Arial"/>
          <w:sz w:val="18"/>
          <w:szCs w:val="18"/>
          <w:color w:val="auto"/>
        </w:rPr>
        <w:t>WICNN JV LLC and GFN JV, LLC joint ventures sold all 17 of the stores owned by the joint ventures to a third party. Subsequent to the sales, these joint ventures were dissolved. As a result of these transactions, the Company recorded a gain of $5,739.</w:t>
      </w:r>
    </w:p>
    <w:p>
      <w:pPr>
        <w:spacing w:after="0" w:line="19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and nine months ended September 30, 2021, the increase in income tax expense was the result of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earned by 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1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325,723</w:t>
            </w:r>
          </w:p>
        </w:tc>
        <w:tc>
          <w:tcPr>
            <w:tcW w:w="0" w:type="dxa"/>
            <w:vAlign w:val="bottom"/>
          </w:tcPr>
          <w:p>
            <w:pPr>
              <w:spacing w:after="0"/>
              <w:rPr>
                <w:sz w:val="1"/>
                <w:szCs w:val="1"/>
                <w:color w:val="auto"/>
              </w:rPr>
            </w:pPr>
          </w:p>
        </w:tc>
      </w:tr>
      <w:tr>
        <w:trPr>
          <w:trHeight w:val="256"/>
        </w:trPr>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160,202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Arial" w:cs="Arial" w:eastAsia="Arial" w:hAnsi="Arial"/>
                <w:sz w:val="18"/>
                <w:szCs w:val="18"/>
                <w:color w:val="auto"/>
                <w:w w:val="99"/>
              </w:rPr>
              <w:t>Unconsolidated joint venture gain on sale of real estate assets and purchase of</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partner's interest</w:t>
            </w: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Funds from operations attributable to common stockholders and unit 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517,828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same-store pool for the periods presented consists of 860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ind w:right="220"/>
        <w:spacing w:after="0" w:line="257" w:lineRule="auto"/>
        <w:rPr>
          <w:sz w:val="20"/>
          <w:szCs w:val="20"/>
          <w:color w:val="auto"/>
        </w:rPr>
      </w:pPr>
      <w:r>
        <w:rPr>
          <w:rFonts w:ascii="Arial" w:cs="Arial" w:eastAsia="Arial" w:hAnsi="Arial"/>
          <w:sz w:val="18"/>
          <w:szCs w:val="18"/>
          <w:color w:val="auto"/>
        </w:rPr>
        <w:t>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0" w:type="dxa"/>
        <w:tblCellMar>
          <w:top w:w="0" w:type="dxa"/>
          <w:left w:w="0" w:type="dxa"/>
          <w:bottom w:w="0" w:type="dxa"/>
          <w:right w:w="0" w:type="dxa"/>
        </w:tblCellMar>
      </w:tblP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For the Three Months Ended</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2"/>
                <w:szCs w:val="12"/>
                <w:color w:val="auto"/>
              </w:rPr>
            </w:pPr>
          </w:p>
        </w:tc>
        <w:tc>
          <w:tcPr>
            <w:tcW w:w="2000" w:type="dxa"/>
            <w:vAlign w:val="bottom"/>
            <w:gridSpan w:val="5"/>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For the Nine Months Ended</w:t>
            </w:r>
          </w:p>
        </w:tc>
        <w:tc>
          <w:tcPr>
            <w:tcW w:w="11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268,889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795,207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233,699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17"/>
              <w:spacing w:after="0" w:line="203" w:lineRule="exact"/>
              <w:rPr>
                <w:sz w:val="20"/>
                <w:szCs w:val="20"/>
                <w:color w:val="auto"/>
              </w:rPr>
            </w:pPr>
            <w:r>
              <w:rPr>
                <w:rFonts w:ascii="Arial" w:cs="Arial" w:eastAsia="Arial" w:hAnsi="Arial"/>
                <w:sz w:val="18"/>
                <w:szCs w:val="18"/>
                <w:color w:val="auto"/>
                <w:w w:val="90"/>
              </w:rPr>
              <w:t>96.7%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0"/>
              </w:rPr>
              <w:t>95.8%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57"/>
              <w:spacing w:after="0" w:line="203" w:lineRule="exact"/>
              <w:rPr>
                <w:sz w:val="20"/>
                <w:szCs w:val="20"/>
                <w:color w:val="auto"/>
              </w:rPr>
            </w:pPr>
            <w:r>
              <w:rPr>
                <w:rFonts w:ascii="Arial" w:cs="Arial" w:eastAsia="Arial" w:hAnsi="Arial"/>
                <w:sz w:val="18"/>
                <w:szCs w:val="18"/>
                <w:color w:val="auto"/>
                <w:w w:val="90"/>
              </w:rPr>
              <w:t>96.7%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3"/>
              </w:rPr>
              <w:t>95.8%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3"/>
              </w:rPr>
              <w:t>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6"/>
              </w:rPr>
              <w:t>860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6"/>
              </w:rPr>
              <w:t>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3"/>
              </w:rPr>
              <w:t>860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Same-store revenues for the three and nine months ended September 30, 2021 increased due to higher average occupancy, higher average rates to new and existing customers, higher late fees and lower bad debt, partially offset by higher discounts.</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Same-store expenses were lower for the three months ended September 30, 2021 due to decreases in payroll, marketing expense and property taxes, partially offset by credit card processing fees, repairs and maintenance expense and insurance expense.</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Same-store expenses were also lower for the nine months ended September 30, 2021 due to decreases in payroll and marketing expense, partially offset by increases in property taxes, credit card processing fees, repairs and maintenance expense and insurance expense.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ind w:right="220"/>
        <w:spacing w:after="0" w:line="269"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44"/>
        </w:trPr>
        <w:tc>
          <w:tcPr>
            <w:tcW w:w="5960" w:type="dxa"/>
            <w:vAlign w:val="bottom"/>
          </w:tcPr>
          <w:p>
            <w:pPr>
              <w:spacing w:after="0"/>
              <w:rPr>
                <w:sz w:val="12"/>
                <w:szCs w:val="12"/>
                <w:color w:val="auto"/>
              </w:rPr>
            </w:pPr>
          </w:p>
        </w:tc>
        <w:tc>
          <w:tcPr>
            <w:tcW w:w="2780" w:type="dxa"/>
            <w:vAlign w:val="bottom"/>
            <w:gridSpan w:val="6"/>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For the Three Months Ended September</w:t>
            </w:r>
          </w:p>
        </w:tc>
        <w:tc>
          <w:tcPr>
            <w:tcW w:w="2500" w:type="dxa"/>
            <w:vAlign w:val="bottom"/>
            <w:gridSpan w:val="5"/>
          </w:tcPr>
          <w:p>
            <w:pPr>
              <w:ind w:left="40"/>
              <w:spacing w:after="0" w:line="145" w:lineRule="exact"/>
              <w:rPr>
                <w:sz w:val="20"/>
                <w:szCs w:val="20"/>
                <w:color w:val="auto"/>
              </w:rPr>
            </w:pPr>
            <w:r>
              <w:rPr>
                <w:rFonts w:ascii="Arial" w:cs="Arial" w:eastAsia="Arial" w:hAnsi="Arial"/>
                <w:sz w:val="14"/>
                <w:szCs w:val="14"/>
                <w:b w:val="1"/>
                <w:bCs w:val="1"/>
                <w:color w:val="auto"/>
                <w:w w:val="94"/>
              </w:rPr>
              <w:t>For the Nine Months Ended September</w:t>
            </w:r>
          </w:p>
        </w:tc>
        <w:tc>
          <w:tcPr>
            <w:tcW w:w="0" w:type="dxa"/>
            <w:vAlign w:val="bottom"/>
          </w:tcPr>
          <w:p>
            <w:pPr>
              <w:spacing w:after="0"/>
              <w:rPr>
                <w:sz w:val="1"/>
                <w:szCs w:val="1"/>
                <w:color w:val="auto"/>
              </w:rPr>
            </w:pPr>
          </w:p>
        </w:tc>
      </w:tr>
      <w:tr>
        <w:trPr>
          <w:trHeight w:val="188"/>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199,820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351,273</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Adjusted to exclude: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960" w:type="dxa"/>
            <w:vAlign w:val="bottom"/>
          </w:tcPr>
          <w:p>
            <w:pPr>
              <w:ind w:left="220"/>
              <w:spacing w:after="0" w:line="176" w:lineRule="exact"/>
              <w:rPr>
                <w:sz w:val="20"/>
                <w:szCs w:val="20"/>
                <w:color w:val="auto"/>
              </w:rPr>
            </w:pPr>
            <w:r>
              <w:rPr>
                <w:rFonts w:ascii="Arial" w:cs="Arial" w:eastAsia="Arial" w:hAnsi="Arial"/>
                <w:sz w:val="18"/>
                <w:szCs w:val="18"/>
                <w:color w:val="auto"/>
              </w:rPr>
              <w:t>Equity in earnings and dividend income from unconsolidated real estate</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(8,255)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(5,605)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(23,533)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(15,692)</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entities</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Equity in earnings of unconsolidated real estate ventures - gain on sale of real</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 and purchase of joint venture partner's interest</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120,605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131,285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167,705</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72,242</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tenant insurance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(87,260)</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Non-same store rental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(61,231)</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Non-same store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37,960</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242,539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189,799</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663,409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561,508</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Same-store rental revenues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318,448</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268,889</w:t>
            </w:r>
          </w:p>
        </w:tc>
        <w:tc>
          <w:tcPr>
            <w:tcW w:w="1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892,100</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795,207</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79,090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228,691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233,699</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Same-store net operating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242,539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189,799</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663,409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561,508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flows from operating activities for the nine months ended September 30, 2021 increased when compared to the same period in the prior year as a result of our continued total revenue growth. This growth was due to an increase in the number of stores we own and operate and higher average occupancy at our stores.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7"/>
        </w:trPr>
        <w:tc>
          <w:tcPr>
            <w:tcW w:w="8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583,267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(363,845)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(209,581)</w:t>
            </w:r>
          </w:p>
        </w:tc>
      </w:tr>
      <w:tr>
        <w:trPr>
          <w:trHeight w:val="270"/>
        </w:trPr>
        <w:tc>
          <w:tcPr>
            <w:tcW w:w="8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593,900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351,273</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167,705</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on real estate transactions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development of real estate assets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(197,356)</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sale of real estate assets and investments in real estate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and purchase of notes receivable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(149,750)</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Proceeds from sale of notes receivable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notes payable and revolving lines of credit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3,323,000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1,419,000</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notes payable and revolving lines of credit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(1,192,750)</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issuance of public bonds,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1,040,349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(349,700)</w:t>
            </w:r>
          </w:p>
        </w:tc>
      </w:tr>
    </w:tbl>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1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expect to generate positive cash flow from operations in 2021,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we had $65,565 available in cash and cash equivalents. Our cash and cash equivalents are held in accounts managed by third party financial institutions and consist of invested cash and cash in our operating accounts. During 2021 and 2020,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September 30, 2021, we had $5,614,222 face value of debt, resulting in a debt to total enterprise value ratio of 19.1%. As of September 30, 2021, the ratio of total fixed-rate debt and other instruments to total debt was 80.4% ($4,512,030 total fixed-rate debt including $1,986,266 on which we have interest rate swaps that have been included as fixed-rate debt). The weighted average interest rate of the total of fixed- and variable-rate debt at September 30, 2021 was 2.8%. Certain of our real estate assets are pledged as collateral for our debt. We are subject to certain restrictive covenants relating to our outstanding debt. We were in compliance with all financial covenants at September 30, 2021.</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hold a BBB/Stable rating from S&amp;P and a Baa2 rating from Moody's Investors Service. We intend to manage our balance sheet to maintain these ratings.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The following table presents our secured and unsecured debt: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7"/>
        </w:trPr>
        <w:tc>
          <w:tcPr>
            <w:tcW w:w="6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2021</w:t>
            </w:r>
          </w:p>
        </w:tc>
        <w:tc>
          <w:tcPr>
            <w:tcW w:w="100" w:type="dxa"/>
            <w:vAlign w:val="bottom"/>
            <w:tcBorders>
              <w:bottom w:val="single" w:sz="8" w:color="CCEEFF"/>
            </w:tcBorders>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 Rate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Fixed-rate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937,030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Secured Variable-rate debt:</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587,192</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Fixed-rate debt:</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3,575,000</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3.1%</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Variable-rate debt:</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515,000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1.5%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Face Value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5,614,222</w:t>
            </w:r>
          </w:p>
        </w:tc>
        <w:tc>
          <w:tcPr>
            <w:tcW w:w="2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00" w:type="dxa"/>
            <w:vAlign w:val="bottom"/>
            <w:gridSpan w:val="10"/>
          </w:tcPr>
          <w:p>
            <w:pPr>
              <w:spacing w:after="0"/>
              <w:rPr>
                <w:sz w:val="20"/>
                <w:szCs w:val="20"/>
                <w:color w:val="auto"/>
              </w:rPr>
            </w:pPr>
            <w:r>
              <w:rPr>
                <w:rFonts w:ascii="Arial" w:cs="Arial" w:eastAsia="Arial" w:hAnsi="Arial"/>
                <w:sz w:val="18"/>
                <w:szCs w:val="18"/>
                <w:color w:val="auto"/>
                <w:w w:val="91"/>
              </w:rPr>
              <w:t>The following table summarizes the schedule of maturities for our face value of debt including available extensions as of September 30, 2021: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17"/>
                <w:szCs w:val="17"/>
                <w:color w:val="auto"/>
              </w:rPr>
            </w:pPr>
          </w:p>
        </w:tc>
        <w:tc>
          <w:tcPr>
            <w:tcW w:w="14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Unsecured</w:t>
            </w:r>
          </w:p>
        </w:tc>
        <w:tc>
          <w:tcPr>
            <w:tcW w:w="38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Secured</w:t>
            </w:r>
          </w:p>
        </w:tc>
        <w:tc>
          <w:tcPr>
            <w:tcW w:w="420" w:type="dxa"/>
            <w:vAlign w:val="bottom"/>
          </w:tcPr>
          <w:p>
            <w:pPr>
              <w:spacing w:after="0"/>
              <w:rPr>
                <w:sz w:val="17"/>
                <w:szCs w:val="17"/>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3"/>
          </w:tcPr>
          <w:p>
            <w:pPr>
              <w:jc w:val="center"/>
              <w:ind w:right="460"/>
              <w:spacing w:after="0" w:line="202" w:lineRule="exact"/>
              <w:rPr>
                <w:sz w:val="20"/>
                <w:szCs w:val="20"/>
                <w:color w:val="auto"/>
              </w:rPr>
            </w:pPr>
            <w:r>
              <w:rPr>
                <w:rFonts w:ascii="Arial" w:cs="Arial" w:eastAsia="Arial" w:hAnsi="Arial"/>
                <w:sz w:val="18"/>
                <w:szCs w:val="18"/>
                <w:b w:val="1"/>
                <w:bCs w:val="1"/>
                <w:color w:val="auto"/>
                <w:w w:val="89"/>
              </w:rPr>
              <w:t>Weighted Average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182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293,648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293,648</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2.9%</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134,666</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134,666</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425,000</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218,722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643,722</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2.5%</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677,459</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922,459</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645,000</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770,000</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4.3%</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713,058</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300,000</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53,418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353,418</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4.0%</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425,000</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8,251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433,251</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3.5%</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2032</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2.4%</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4,090,000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1,524,222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5,614,222</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auto"/>
            </w:tcBorders>
            <w:gridSpan w:val="4"/>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80" w:type="dxa"/>
            <w:vAlign w:val="bottom"/>
            <w:gridSpan w:val="5"/>
          </w:tcPr>
          <w:p>
            <w:pPr>
              <w:spacing w:after="0"/>
              <w:rPr>
                <w:sz w:val="20"/>
                <w:szCs w:val="20"/>
                <w:color w:val="auto"/>
              </w:rPr>
            </w:pPr>
            <w:r>
              <w:rPr>
                <w:rFonts w:ascii="Arial" w:cs="Arial" w:eastAsia="Arial" w:hAnsi="Arial"/>
                <w:sz w:val="18"/>
                <w:szCs w:val="18"/>
                <w:color w:val="auto"/>
              </w:rPr>
              <w:t>Unencumbered stores as defined by our revolving credit facility are as follows: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2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Unencumbered Stores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w w:val="99"/>
              </w:rPr>
              <w:t xml:space="preserve">Total Unencumbered Asset Value </w:t>
            </w:r>
            <w:r>
              <w:rPr>
                <w:rFonts w:ascii="Arial" w:cs="Arial" w:eastAsia="Arial" w:hAnsi="Arial"/>
                <w:sz w:val="23"/>
                <w:szCs w:val="23"/>
                <w:color w:val="auto"/>
                <w:w w:val="99"/>
                <w:vertAlign w:val="superscript"/>
              </w:rPr>
              <w:t>(1)</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12,131,905</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 Value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17,432,073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unencumbered asset value as calculated per our Revolving Credit Facility.</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 value as calculated per our Revolving Credit Facility.</w:t>
      </w:r>
    </w:p>
    <w:p>
      <w:pPr>
        <w:spacing w:after="0" w:line="200" w:lineRule="exact"/>
        <w:rPr>
          <w:sz w:val="20"/>
          <w:szCs w:val="20"/>
          <w:color w:val="auto"/>
        </w:rPr>
      </w:pPr>
    </w:p>
    <w:p>
      <w:pPr>
        <w:spacing w:after="0" w:line="2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right="460"/>
        <w:spacing w:after="0" w:line="261" w:lineRule="auto"/>
        <w:rPr>
          <w:sz w:val="20"/>
          <w:szCs w:val="20"/>
          <w:color w:val="auto"/>
        </w:rPr>
      </w:pPr>
      <w:r>
        <w:rPr>
          <w:rFonts w:ascii="Arial" w:cs="Arial" w:eastAsia="Arial" w:hAnsi="Arial"/>
          <w:sz w:val="18"/>
          <w:szCs w:val="18"/>
          <w:color w:val="auto"/>
        </w:rPr>
        <w:t>acquisitions and other relationships, which may require us to raise additional funds. We may also use Operating Partnership units as currency to fund acquisitions from self-storage owners.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As of September 30, 2021, we had approximately $5.6 billion in total face value of debt, of which approximately $1.1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$11.0 million annually.</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1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and results of operations. There have been no material changes to the risk factors described in the “Risk Factors” section in our Annual Report on Form 10-K for the year ended December 31, 2020.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380" w:lineRule="exact"/>
        <w:rPr>
          <w:sz w:val="20"/>
          <w:szCs w:val="20"/>
          <w:color w:val="auto"/>
        </w:rPr>
      </w:pPr>
    </w:p>
    <w:p>
      <w:pPr>
        <w:ind w:left="580" w:right="180" w:hanging="566"/>
        <w:spacing w:after="0" w:line="263" w:lineRule="auto"/>
        <w:tabs>
          <w:tab w:leader="none" w:pos="5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68">
        <w:r>
          <w:rPr>
            <w:rFonts w:ascii="Arial" w:cs="Arial" w:eastAsia="Arial" w:hAnsi="Arial"/>
            <w:sz w:val="18"/>
            <w:szCs w:val="18"/>
            <w:u w:val="single" w:color="auto"/>
            <w:color w:val="0000FF"/>
          </w:rPr>
          <w:t>Indenture, dated as of May 11, 2021, among Extra Space Storage LP, as issuer, Extra Space Storage Inc., ESS Holdings Business Trust I and ESS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Holdings Business Trust II, as guarantors, and Wells Fargo Bank, National Association, as trustee (incorporated by reference to the Current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Report on Form 8-K filed May 11, 2021).</w:t>
        </w:r>
      </w:hyperlink>
    </w:p>
    <w:p>
      <w:pPr>
        <w:spacing w:after="0" w:line="130" w:lineRule="exact"/>
        <w:rPr>
          <w:rFonts w:ascii="Arial" w:cs="Arial" w:eastAsia="Arial" w:hAnsi="Arial"/>
          <w:sz w:val="18"/>
          <w:szCs w:val="18"/>
          <w:u w:val="single" w:color="auto"/>
          <w:color w:val="0000FF"/>
        </w:rPr>
      </w:pPr>
    </w:p>
    <w:p>
      <w:pPr>
        <w:ind w:left="580" w:right="160" w:hanging="566"/>
        <w:spacing w:after="0" w:line="286" w:lineRule="auto"/>
        <w:tabs>
          <w:tab w:leader="none" w:pos="56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69">
        <w:r>
          <w:rPr>
            <w:rFonts w:ascii="Arial" w:cs="Arial" w:eastAsia="Arial" w:hAnsi="Arial"/>
            <w:sz w:val="17"/>
            <w:szCs w:val="17"/>
            <w:u w:val="single" w:color="auto"/>
            <w:color w:val="0000FF"/>
          </w:rPr>
          <w:t>First Supplemental Indenture, dated as of May 11, 2021, among Extra Space Storage LP, as issuer, Extra Space Storage Inc., ESS Holdings</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Business Trust I and ESS Holdings Business Trust II, as guarantors, and Wells Fargo Bank, National Association, as trustee, including the form</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of the Notes and the Guarantee (incorporated by reference to the Current Report on Form 8-K filed May 11, 2021).</w:t>
        </w:r>
      </w:hyperlink>
    </w:p>
    <w:p>
      <w:pPr>
        <w:spacing w:after="0" w:line="111" w:lineRule="exact"/>
        <w:rPr>
          <w:rFonts w:ascii="Arial" w:cs="Arial" w:eastAsia="Arial" w:hAnsi="Arial"/>
          <w:sz w:val="17"/>
          <w:szCs w:val="17"/>
          <w:u w:val="single" w:color="auto"/>
          <w:color w:val="0000FF"/>
        </w:rPr>
      </w:pPr>
    </w:p>
    <w:p>
      <w:pPr>
        <w:ind w:left="580" w:hanging="566"/>
        <w:spacing w:after="0" w:line="270" w:lineRule="auto"/>
        <w:tabs>
          <w:tab w:leader="none" w:pos="5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r:id="rId70">
        <w:r>
          <w:rPr>
            <w:rFonts w:ascii="Arial" w:cs="Arial" w:eastAsia="Arial" w:hAnsi="Arial"/>
            <w:sz w:val="17"/>
            <w:szCs w:val="17"/>
            <w:u w:val="single" w:color="auto"/>
            <w:color w:val="0000FF"/>
          </w:rPr>
          <w:t>Second Supplemental Indenture, dated as of September 22, 2021, among Extra Space Storage LP, as issuer, Extra Space Storage Inc., ESS Holdings</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Business Trust I and ESS Holdings Business Trust II, as guarantors, and Wells Fargo Bank, National Association, as trustee, including the form</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of the Notes and the Guarantee (incorporated by references to the Current report on Form 8-K filed September 22, 2021).</w:t>
        </w:r>
      </w:hyperlink>
    </w:p>
    <w:p>
      <w:pPr>
        <w:spacing w:after="0" w:line="191" w:lineRule="exact"/>
        <w:rPr>
          <w:rFonts w:ascii="Arial" w:cs="Arial" w:eastAsia="Arial" w:hAnsi="Arial"/>
          <w:sz w:val="17"/>
          <w:szCs w:val="17"/>
          <w:u w:val="single" w:color="auto"/>
          <w:color w:val="0000FF"/>
        </w:rPr>
      </w:pPr>
    </w:p>
    <w:p>
      <w:pPr>
        <w:ind w:left="180"/>
        <w:spacing w:after="0"/>
        <w:tabs>
          <w:tab w:leader="none" w:pos="640" w:val="left"/>
        </w:tabs>
        <w:rPr>
          <w:rFonts w:ascii="Arial" w:cs="Arial" w:eastAsia="Arial" w:hAnsi="Arial"/>
          <w:sz w:val="15"/>
          <w:szCs w:val="15"/>
          <w:u w:val="single" w:color="auto"/>
          <w:color w:val="0000FF"/>
        </w:rPr>
      </w:pPr>
      <w:r>
        <w:rPr>
          <w:rFonts w:ascii="Arial" w:cs="Arial" w:eastAsia="Arial" w:hAnsi="Arial"/>
          <w:sz w:val="18"/>
          <w:szCs w:val="18"/>
          <w:color w:val="auto"/>
        </w:rPr>
        <w:t>22.1</w:t>
      </w:r>
      <w:r>
        <w:rPr>
          <w:sz w:val="20"/>
          <w:szCs w:val="20"/>
          <w:color w:val="auto"/>
        </w:rPr>
        <w:tab/>
      </w:r>
      <w:hyperlink w:anchor="page45">
        <w:r>
          <w:rPr>
            <w:rFonts w:ascii="Arial" w:cs="Arial" w:eastAsia="Arial" w:hAnsi="Arial"/>
            <w:sz w:val="15"/>
            <w:szCs w:val="15"/>
            <w:u w:val="single" w:color="auto"/>
            <w:color w:val="0000FF"/>
          </w:rPr>
          <w:t>Issuer and Guarantors of Guaranteed Securities</w:t>
        </w:r>
      </w:hyperlink>
    </w:p>
    <w:p>
      <w:pPr>
        <w:spacing w:after="0" w:line="171" w:lineRule="exact"/>
        <w:rPr>
          <w:rFonts w:ascii="Arial" w:cs="Arial" w:eastAsia="Arial" w:hAnsi="Arial"/>
          <w:sz w:val="17"/>
          <w:szCs w:val="17"/>
          <w:u w:val="single" w:color="auto"/>
          <w:color w:val="0000FF"/>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6">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71" w:lineRule="exact"/>
        <w:rPr>
          <w:rFonts w:ascii="Arial" w:cs="Arial" w:eastAsia="Arial" w:hAnsi="Arial"/>
          <w:sz w:val="17"/>
          <w:szCs w:val="17"/>
          <w:u w:val="single" w:color="auto"/>
          <w:color w:val="0000FF"/>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7">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71" w:lineRule="exact"/>
        <w:rPr>
          <w:rFonts w:ascii="Arial" w:cs="Arial" w:eastAsia="Arial" w:hAnsi="Arial"/>
          <w:sz w:val="17"/>
          <w:szCs w:val="17"/>
          <w:u w:val="single" w:color="auto"/>
          <w:color w:val="0000FF"/>
        </w:rPr>
      </w:pPr>
    </w:p>
    <w:p>
      <w:pPr>
        <w:ind w:left="700" w:right="80" w:hanging="566"/>
        <w:spacing w:after="0" w:line="277"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8">
        <w:r>
          <w:rPr>
            <w:rFonts w:ascii="Arial" w:cs="Arial" w:eastAsia="Arial" w:hAnsi="Arial"/>
            <w:sz w:val="18"/>
            <w:szCs w:val="18"/>
            <w:u w:val="single" w:color="auto"/>
            <w:color w:val="0000FF"/>
          </w:rPr>
          <w:t>Certifications of the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of the Sarbanes-Oxley Act of 2002.</w:t>
        </w:r>
      </w:hyperlink>
    </w:p>
    <w:p>
      <w:pPr>
        <w:spacing w:after="0" w:line="116" w:lineRule="exact"/>
        <w:rPr>
          <w:sz w:val="20"/>
          <w:szCs w:val="20"/>
          <w:color w:val="auto"/>
        </w:rPr>
      </w:pPr>
    </w:p>
    <w:p>
      <w:pPr>
        <w:ind w:left="740" w:right="60" w:hanging="570"/>
        <w:spacing w:after="0" w:line="301" w:lineRule="auto"/>
        <w:tabs>
          <w:tab w:leader="none" w:pos="6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September 30, 2021,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660" w:hanging="45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EXTRA SPACE STORAGE INC.</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Registrant</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November 3,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176"/>
        </w:trPr>
        <w:tc>
          <w:tcPr>
            <w:tcW w:w="6300" w:type="dxa"/>
            <w:vAlign w:val="bottom"/>
          </w:tcPr>
          <w:p>
            <w:pPr>
              <w:spacing w:after="0"/>
              <w:rPr>
                <w:sz w:val="15"/>
                <w:szCs w:val="15"/>
                <w:color w:val="auto"/>
              </w:rPr>
            </w:pPr>
          </w:p>
        </w:tc>
        <w:tc>
          <w:tcPr>
            <w:tcW w:w="48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November 3,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17"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and Guarantors of Guaranteed Securities</w:t>
      </w:r>
    </w:p>
    <w:p>
      <w:pPr>
        <w:spacing w:after="0" w:line="200" w:lineRule="exact"/>
        <w:rPr>
          <w:sz w:val="20"/>
          <w:szCs w:val="20"/>
          <w:color w:val="auto"/>
        </w:rPr>
      </w:pPr>
    </w:p>
    <w:p>
      <w:pPr>
        <w:spacing w:after="0" w:line="27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following entities are included in the Obligated Group, as defined in the Quarterly Report on Form 10-Q of Extra Space Storage Inc. to which this document is being filed as an exhibit, for the 2.550% Senior Notes due 2031 and the 2.350% Senior Notes due 2032 (collectively, the "Notes"). The guarantors have fully and unconditionally guaranteed the Notes on a joint and several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Issuer or Guarantor</w:t>
            </w:r>
          </w:p>
        </w:tc>
        <w:tc>
          <w:tcPr>
            <w:tcW w:w="32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w w:val="96"/>
              </w:rPr>
              <w:t>Reported as Issuer or Guarantor</w:t>
            </w:r>
          </w:p>
        </w:tc>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28"/>
        </w:trPr>
        <w:tc>
          <w:tcPr>
            <w:tcW w:w="3380" w:type="dxa"/>
            <w:vAlign w:val="bottom"/>
          </w:tcPr>
          <w:p>
            <w:pPr>
              <w:ind w:left="20"/>
              <w:spacing w:after="0"/>
              <w:rPr>
                <w:sz w:val="20"/>
                <w:szCs w:val="20"/>
                <w:color w:val="auto"/>
              </w:rPr>
            </w:pPr>
            <w:r>
              <w:rPr>
                <w:rFonts w:ascii="Arial" w:cs="Arial" w:eastAsia="Arial" w:hAnsi="Arial"/>
                <w:sz w:val="18"/>
                <w:szCs w:val="18"/>
                <w:color w:val="auto"/>
              </w:rPr>
              <w:t>Extra Space Storage LP</w:t>
            </w:r>
          </w:p>
        </w:tc>
        <w:tc>
          <w:tcPr>
            <w:tcW w:w="3280" w:type="dxa"/>
            <w:vAlign w:val="bottom"/>
          </w:tcPr>
          <w:p>
            <w:pPr>
              <w:ind w:left="1080"/>
              <w:spacing w:after="0"/>
              <w:rPr>
                <w:sz w:val="20"/>
                <w:szCs w:val="20"/>
                <w:color w:val="auto"/>
              </w:rPr>
            </w:pPr>
            <w:r>
              <w:rPr>
                <w:rFonts w:ascii="Arial" w:cs="Arial" w:eastAsia="Arial" w:hAnsi="Arial"/>
                <w:sz w:val="18"/>
                <w:szCs w:val="18"/>
                <w:color w:val="auto"/>
              </w:rPr>
              <w:t>Issuer</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Extra Space Storage Inc.</w:t>
            </w:r>
          </w:p>
        </w:tc>
        <w:tc>
          <w:tcPr>
            <w:tcW w:w="3280" w:type="dxa"/>
            <w:vAlign w:val="bottom"/>
          </w:tcPr>
          <w:p>
            <w:pPr>
              <w:ind w:left="1080"/>
              <w:spacing w:after="0"/>
              <w:rPr>
                <w:sz w:val="20"/>
                <w:szCs w:val="20"/>
                <w:color w:val="auto"/>
              </w:rPr>
            </w:pPr>
            <w:r>
              <w:rPr>
                <w:rFonts w:ascii="Arial" w:cs="Arial" w:eastAsia="Arial" w:hAnsi="Arial"/>
                <w:sz w:val="18"/>
                <w:szCs w:val="18"/>
                <w:color w:val="auto"/>
              </w:rPr>
              <w:t>Parent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ESS Holdings Business Trust I</w:t>
            </w:r>
          </w:p>
        </w:tc>
        <w:tc>
          <w:tcPr>
            <w:tcW w:w="3280" w:type="dxa"/>
            <w:vAlign w:val="bottom"/>
          </w:tcPr>
          <w:p>
            <w:pPr>
              <w:ind w:left="1080"/>
              <w:spacing w:after="0"/>
              <w:rPr>
                <w:sz w:val="20"/>
                <w:szCs w:val="20"/>
                <w:color w:val="auto"/>
              </w:rPr>
            </w:pPr>
            <w:r>
              <w:rPr>
                <w:rFonts w:ascii="Arial" w:cs="Arial" w:eastAsia="Arial" w:hAnsi="Arial"/>
                <w:sz w:val="18"/>
                <w:szCs w:val="18"/>
                <w:color w:val="auto"/>
              </w:rPr>
              <w:t>Subsidiary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ESS Holdings Business Trust II</w:t>
            </w:r>
          </w:p>
        </w:tc>
        <w:tc>
          <w:tcPr>
            <w:tcW w:w="3280" w:type="dxa"/>
            <w:vAlign w:val="bottom"/>
          </w:tcPr>
          <w:p>
            <w:pPr>
              <w:ind w:left="1080"/>
              <w:spacing w:after="0"/>
              <w:rPr>
                <w:sz w:val="20"/>
                <w:szCs w:val="20"/>
                <w:color w:val="auto"/>
              </w:rPr>
            </w:pPr>
            <w:r>
              <w:rPr>
                <w:rFonts w:ascii="Arial" w:cs="Arial" w:eastAsia="Arial" w:hAnsi="Arial"/>
                <w:sz w:val="18"/>
                <w:szCs w:val="18"/>
                <w:color w:val="auto"/>
              </w:rPr>
              <w:t>Subsidiary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20" w:hanging="644"/>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November 3, 2021</w:t>
            </w:r>
          </w:p>
        </w:tc>
        <w:tc>
          <w:tcPr>
            <w:tcW w:w="1880" w:type="dxa"/>
            <w:vAlign w:val="bottom"/>
          </w:tcPr>
          <w:p>
            <w:pPr>
              <w:ind w:left="130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/s/ Joseph D. Margolis</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80" w:type="dxa"/>
            <w:vAlign w:val="bottom"/>
            <w:vMerge w:val="restart"/>
          </w:tcPr>
          <w:p>
            <w:pPr>
              <w:ind w:left="1300"/>
              <w:spacing w:after="0"/>
              <w:rPr>
                <w:sz w:val="20"/>
                <w:szCs w:val="20"/>
                <w:color w:val="auto"/>
              </w:rPr>
            </w:pPr>
            <w:r>
              <w:rPr>
                <w:rFonts w:ascii="Arial" w:cs="Arial" w:eastAsia="Arial" w:hAnsi="Arial"/>
                <w:sz w:val="18"/>
                <w:szCs w:val="18"/>
                <w:color w:val="auto"/>
              </w:rPr>
              <w:t>Name:</w:t>
            </w:r>
          </w:p>
        </w:tc>
        <w:tc>
          <w:tcPr>
            <w:tcW w:w="7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0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Joseph D. Margolis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880" w:type="dxa"/>
            <w:vAlign w:val="bottom"/>
          </w:tcPr>
          <w:p>
            <w:pPr>
              <w:ind w:left="1300"/>
              <w:spacing w:after="0"/>
              <w:rPr>
                <w:sz w:val="20"/>
                <w:szCs w:val="20"/>
                <w:color w:val="auto"/>
              </w:rPr>
            </w:pPr>
            <w:r>
              <w:rPr>
                <w:rFonts w:ascii="Arial" w:cs="Arial" w:eastAsia="Arial" w:hAnsi="Arial"/>
                <w:sz w:val="18"/>
                <w:szCs w:val="18"/>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20" w:hanging="644"/>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November 3, 2021</w:t>
            </w:r>
          </w:p>
        </w:tc>
        <w:tc>
          <w:tcPr>
            <w:tcW w:w="1880" w:type="dxa"/>
            <w:vAlign w:val="bottom"/>
          </w:tcPr>
          <w:p>
            <w:pPr>
              <w:ind w:left="130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/s/ P. Scott Stubbs</w:t>
            </w:r>
          </w:p>
        </w:tc>
      </w:tr>
      <w:tr>
        <w:trPr>
          <w:trHeight w:val="222"/>
        </w:trPr>
        <w:tc>
          <w:tcPr>
            <w:tcW w:w="3100" w:type="dxa"/>
            <w:vAlign w:val="bottom"/>
          </w:tcPr>
          <w:p>
            <w:pPr>
              <w:spacing w:after="0"/>
              <w:rPr>
                <w:sz w:val="19"/>
                <w:szCs w:val="19"/>
                <w:color w:val="auto"/>
              </w:rPr>
            </w:pPr>
          </w:p>
        </w:tc>
        <w:tc>
          <w:tcPr>
            <w:tcW w:w="1880" w:type="dxa"/>
            <w:vAlign w:val="bottom"/>
          </w:tcPr>
          <w:p>
            <w:pPr>
              <w:ind w:left="1300"/>
              <w:spacing w:after="0"/>
              <w:rPr>
                <w:sz w:val="20"/>
                <w:szCs w:val="20"/>
                <w:color w:val="auto"/>
              </w:rPr>
            </w:pPr>
            <w:r>
              <w:rPr>
                <w:rFonts w:ascii="Arial" w:cs="Arial" w:eastAsia="Arial" w:hAnsi="Arial"/>
                <w:sz w:val="18"/>
                <w:szCs w:val="18"/>
                <w:color w:val="auto"/>
              </w:rPr>
              <w:t>Name:</w:t>
            </w:r>
          </w:p>
        </w:tc>
        <w:tc>
          <w:tcPr>
            <w:tcW w:w="700" w:type="dxa"/>
            <w:vAlign w:val="bottom"/>
          </w:tcPr>
          <w:p>
            <w:pPr>
              <w:ind w:left="80"/>
              <w:spacing w:after="0"/>
              <w:rPr>
                <w:sz w:val="20"/>
                <w:szCs w:val="20"/>
                <w:color w:val="auto"/>
              </w:rPr>
            </w:pPr>
            <w:r>
              <w:rPr>
                <w:rFonts w:ascii="Arial" w:cs="Arial" w:eastAsia="Arial" w:hAnsi="Arial"/>
                <w:sz w:val="18"/>
                <w:szCs w:val="18"/>
                <w:color w:val="auto"/>
                <w:w w:val="95"/>
              </w:rPr>
              <w:t>P. Scott</w:t>
            </w: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Stubbs</w:t>
            </w:r>
          </w:p>
        </w:tc>
      </w:tr>
      <w:tr>
        <w:trPr>
          <w:trHeight w:val="230"/>
        </w:trPr>
        <w:tc>
          <w:tcPr>
            <w:tcW w:w="3100" w:type="dxa"/>
            <w:vAlign w:val="bottom"/>
          </w:tcPr>
          <w:p>
            <w:pPr>
              <w:spacing w:after="0"/>
              <w:rPr>
                <w:sz w:val="20"/>
                <w:szCs w:val="20"/>
                <w:color w:val="auto"/>
              </w:rPr>
            </w:pPr>
          </w:p>
        </w:tc>
        <w:tc>
          <w:tcPr>
            <w:tcW w:w="1880" w:type="dxa"/>
            <w:vAlign w:val="bottom"/>
          </w:tcPr>
          <w:p>
            <w:pPr>
              <w:ind w:left="1300"/>
              <w:spacing w:after="0"/>
              <w:rPr>
                <w:sz w:val="20"/>
                <w:szCs w:val="20"/>
                <w:color w:val="auto"/>
              </w:rPr>
            </w:pPr>
            <w:r>
              <w:rPr>
                <w:rFonts w:ascii="Arial" w:cs="Arial" w:eastAsia="Arial" w:hAnsi="Arial"/>
                <w:sz w:val="18"/>
                <w:szCs w:val="18"/>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November 3, 2021</w:t>
            </w:r>
          </w:p>
        </w:tc>
      </w:tr>
    </w:tbl>
    <w:p>
      <w:pPr>
        <w:spacing w:after="0" w:line="2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November 3,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decimal"/>
      <w:start w:val="10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68" Type="http://schemas.openxmlformats.org/officeDocument/2006/relationships/hyperlink" Target="https://www.sec.gov/Archives/edgar/data/1289490/000119312521157616/d469365dex41.htm" TargetMode="External"/><Relationship Id="rId69" Type="http://schemas.openxmlformats.org/officeDocument/2006/relationships/hyperlink" Target="https://www.sec.gov/Archives/edgar/data/1289490/000119312521157616/d469365dex42.htm" TargetMode="External"/><Relationship Id="rId70" Type="http://schemas.openxmlformats.org/officeDocument/2006/relationships/hyperlink" Target="https://www.sec.gov/Archives/edgar/data/0001289490/000119312521279380/d19240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2021-11-03T15:37:02Z</dcterms:created>
  <dcterms:modified xsi:type="dcterms:W3CDTF">2021-11-03T15:37:02Z</dcterms:modified>
</cp:coreProperties>
</file>