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1851660</wp:posOffset>
            </wp:positionH>
            <wp:positionV relativeFrom="paragraph">
              <wp:posOffset>85725</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86360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43" w:lineRule="exact"/>
        <w:rPr>
          <w:sz w:val="24"/>
          <w:szCs w:val="24"/>
          <w:color w:val="auto"/>
        </w:rPr>
      </w:pPr>
    </w:p>
    <w:p>
      <w:pPr>
        <w:ind w:left="680" w:right="380" w:hanging="658"/>
        <w:spacing w:after="0" w:line="245" w:lineRule="auto"/>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3" w:lineRule="exact"/>
        <w:rPr>
          <w:sz w:val="24"/>
          <w:szCs w:val="24"/>
          <w:color w:val="auto"/>
        </w:rPr>
      </w:pPr>
    </w:p>
    <w:p>
      <w:pPr>
        <w:ind w:left="700" w:right="340" w:hanging="665"/>
        <w:spacing w:after="0" w:line="245" w:lineRule="auto"/>
        <w:tabs>
          <w:tab w:leader="none" w:pos="7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2880" w:type="dxa"/>
        <w:tblCellMar>
          <w:top w:w="0" w:type="dxa"/>
          <w:left w:w="0" w:type="dxa"/>
          <w:bottom w:w="0" w:type="dxa"/>
          <w:right w:w="0" w:type="dxa"/>
        </w:tblCellMar>
      </w:tblPr>
      <w:tr>
        <w:trPr>
          <w:trHeight w:val="195"/>
        </w:trPr>
        <w:tc>
          <w:tcPr>
            <w:tcW w:w="28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8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Pr>
          <w:p>
            <w:pPr>
              <w:jc w:val="right"/>
              <w:ind w:right="525"/>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29"/>
        </w:trPr>
        <w:tc>
          <w:tcPr>
            <w:tcW w:w="4500" w:type="dxa"/>
            <w:vAlign w:val="bottom"/>
            <w:gridSpan w:val="4"/>
          </w:tcPr>
          <w:p>
            <w:pPr>
              <w:ind w:left="1360"/>
              <w:spacing w:after="0"/>
              <w:rPr>
                <w:sz w:val="20"/>
                <w:szCs w:val="20"/>
                <w:color w:val="auto"/>
              </w:rPr>
            </w:pPr>
            <w:r>
              <w:rPr>
                <w:rFonts w:ascii="Times New Roman" w:cs="Times New Roman" w:eastAsia="Times New Roman" w:hAnsi="Times New Roman"/>
                <w:sz w:val="17"/>
                <w:szCs w:val="17"/>
                <w:b w:val="1"/>
                <w:bCs w:val="1"/>
                <w:color w:val="auto"/>
              </w:rPr>
              <w:t>Commission File Number: 001-32269</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79"/>
        </w:trPr>
        <w:tc>
          <w:tcPr>
            <w:tcW w:w="28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bl>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EXTRA SPACE STORAGE INC.</w:t>
      </w:r>
    </w:p>
    <w:p>
      <w:pPr>
        <w:spacing w:after="0" w:line="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57785</wp:posOffset>
            </wp:positionV>
            <wp:extent cx="3472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p>
      <w:pPr>
        <w:spacing w:after="0" w:line="20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20-1076777</w:t>
      </w:r>
    </w:p>
    <w:p>
      <w:pPr>
        <w:spacing w:after="0" w:line="25" w:lineRule="exact"/>
        <w:rPr>
          <w:sz w:val="24"/>
          <w:szCs w:val="24"/>
          <w:color w:val="auto"/>
        </w:rPr>
      </w:pPr>
    </w:p>
    <w:p>
      <w:pPr>
        <w:sectPr>
          <w:pgSz w:w="11900" w:h="16838" w:orient="portrait"/>
          <w:cols w:equalWidth="0" w:num="2">
            <w:col w:w="7400" w:space="720"/>
            <w:col w:w="3120"/>
          </w:cols>
          <w:pgMar w:left="320" w:top="525" w:right="3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240"/>
          </w:cols>
          <w:pgMar w:left="320" w:top="525" w:right="339" w:bottom="1440" w:gutter="0" w:footer="0" w:header="0"/>
          <w:type w:val="continuous"/>
        </w:sectPr>
      </w:pP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2795 East Cottonwood Parkway, Suite 300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Salt Lake City, Utah 84121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240"/>
          </w:cols>
          <w:pgMar w:left="320" w:top="525" w:right="339" w:bottom="144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(801) 365-4600</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Securities Exchange Act of 1934</w:t>
      </w:r>
    </w:p>
    <w:p>
      <w:pPr>
        <w:spacing w:after="0" w:line="49" w:lineRule="exact"/>
        <w:rPr>
          <w:sz w:val="24"/>
          <w:szCs w:val="24"/>
          <w:color w:val="auto"/>
        </w:rPr>
      </w:pPr>
    </w:p>
    <w:tbl>
      <w:tblPr>
        <w:tblLayout w:type="fixed"/>
        <w:tblInd w:w="6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4040" w:type="dxa"/>
            <w:vAlign w:val="bottom"/>
            <w:gridSpan w:val="2"/>
          </w:tcPr>
          <w:p>
            <w:pPr>
              <w:jc w:val="center"/>
              <w:ind w:left="713"/>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504"/>
        </w:trPr>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780" w:type="dxa"/>
            <w:vAlign w:val="bottom"/>
          </w:tcPr>
          <w:p>
            <w:pPr>
              <w:spacing w:after="0"/>
              <w:rPr>
                <w:sz w:val="24"/>
                <w:szCs w:val="24"/>
                <w:color w:val="auto"/>
              </w:rPr>
            </w:pPr>
          </w:p>
        </w:tc>
        <w:tc>
          <w:tcPr>
            <w:tcW w:w="20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9"/>
              </w:rPr>
              <w:t>EXR</w:t>
            </w:r>
          </w:p>
        </w:tc>
        <w:tc>
          <w:tcPr>
            <w:tcW w:w="8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200" w:lineRule="exact"/>
        <w:rPr>
          <w:sz w:val="24"/>
          <w:szCs w:val="24"/>
          <w:color w:val="auto"/>
        </w:rPr>
      </w:pPr>
    </w:p>
    <w:p>
      <w:pPr>
        <w:spacing w:after="0" w:line="320" w:lineRule="exact"/>
        <w:rPr>
          <w:sz w:val="24"/>
          <w:szCs w:val="24"/>
          <w:color w:val="auto"/>
        </w:rPr>
      </w:pPr>
    </w:p>
    <w:p>
      <w:pPr>
        <w:jc w:val="both"/>
        <w:ind w:right="8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1" w:lineRule="exact"/>
        <w:rPr>
          <w:sz w:val="24"/>
          <w:szCs w:val="24"/>
          <w:color w:val="auto"/>
        </w:rPr>
      </w:pPr>
    </w:p>
    <w:p>
      <w:pPr>
        <w:ind w:right="68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1"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Accelerated filer</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23"/>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94"/>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601"/>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80" w:type="dxa"/>
            <w:vAlign w:val="bottom"/>
          </w:tcPr>
          <w:p>
            <w:pPr>
              <w:jc w:val="right"/>
              <w:ind w:right="4693"/>
              <w:spacing w:after="0"/>
              <w:rPr>
                <w:sz w:val="20"/>
                <w:szCs w:val="20"/>
                <w:color w:val="auto"/>
              </w:rPr>
            </w:pPr>
            <w:r>
              <w:rPr>
                <w:rFonts w:ascii="Times New Roman" w:cs="Times New Roman" w:eastAsia="Times New Roman" w:hAnsi="Times New Roman"/>
                <w:sz w:val="17"/>
                <w:szCs w:val="17"/>
                <w:color w:val="auto"/>
              </w:rPr>
              <w:t>1</w:t>
            </w:r>
          </w:p>
        </w:tc>
        <w:tc>
          <w:tcPr>
            <w:tcW w:w="800" w:type="dxa"/>
            <w:vAlign w:val="bottom"/>
          </w:tcPr>
          <w:p>
            <w:pPr>
              <w:spacing w:after="0"/>
              <w:rPr>
                <w:sz w:val="24"/>
                <w:szCs w:val="24"/>
                <w:color w:val="auto"/>
              </w:rPr>
            </w:pPr>
          </w:p>
        </w:tc>
      </w:tr>
      <w:tr>
        <w:trPr>
          <w:trHeight w:val="112"/>
        </w:trPr>
        <w:tc>
          <w:tcPr>
            <w:tcW w:w="20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63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type w:val="continuous"/>
        </w:sectPr>
      </w:pPr>
    </w:p>
    <w:bookmarkStart w:id="1" w:name="page2"/>
    <w:bookmarkEnd w:id="1"/>
    <w:p>
      <w:pPr>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3" w:lineRule="exact"/>
        <w:rPr>
          <w:sz w:val="20"/>
          <w:szCs w:val="20"/>
          <w:color w:val="auto"/>
        </w:rPr>
      </w:pPr>
    </w:p>
    <w:p>
      <w:pPr>
        <w:spacing w:after="0" w:line="196" w:lineRule="exact"/>
        <w:tabs>
          <w:tab w:leader="none" w:pos="8100" w:val="left"/>
          <w:tab w:leader="none" w:pos="8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Wingdings" w:cs="Wingdings" w:eastAsia="Wingdings" w:hAnsi="Wingdings"/>
          <w:sz w:val="15"/>
          <w:szCs w:val="15"/>
          <w:b w:val="1"/>
          <w:bCs w:val="1"/>
          <w:color w:val="auto"/>
        </w:rPr>
        <w:t>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outstanding of the registrant’s common stock, par value $0.01 per share, as of July 29, 2024, was 211,928,695.</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436"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102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6"/>
          </w:tcPr>
          <w:p>
            <w:pPr>
              <w:jc w:val="center"/>
              <w:ind w:right="4060"/>
              <w:spacing w:after="0"/>
              <w:rPr>
                <w:sz w:val="20"/>
                <w:szCs w:val="20"/>
                <w:color w:val="auto"/>
              </w:rPr>
            </w:pPr>
            <w:r>
              <w:rPr>
                <w:rFonts w:ascii="Times New Roman" w:cs="Times New Roman" w:eastAsia="Times New Roman" w:hAnsi="Times New Roman"/>
                <w:sz w:val="17"/>
                <w:szCs w:val="17"/>
                <w:b w:val="1"/>
                <w:bCs w:val="1"/>
                <w:color w:val="auto"/>
              </w:rPr>
              <w:t>EXTRA SPACE STORAGE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40" w:type="dxa"/>
            <w:vAlign w:val="bottom"/>
            <w:gridSpan w:val="5"/>
          </w:tcPr>
          <w:p>
            <w:pPr>
              <w:jc w:val="center"/>
              <w:ind w:right="4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FF"/>
              </w:rPr>
              <w:t>STATEMENT ON FORWARD-LOOKING INFORMATION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98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1580" w:type="dxa"/>
            <w:vAlign w:val="bottom"/>
            <w:gridSpan w:val="5"/>
          </w:tcPr>
          <w:p>
            <w:pPr>
              <w:spacing w:after="0"/>
              <w:rPr>
                <w:sz w:val="22"/>
                <w:szCs w:val="22"/>
                <w:color w:val="auto"/>
              </w:rPr>
            </w:pPr>
          </w:p>
        </w:tc>
        <w:tc>
          <w:tcPr>
            <w:tcW w:w="6440" w:type="dxa"/>
            <w:vAlign w:val="bottom"/>
            <w:gridSpan w:val="5"/>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1. FINANCIAL STATEMENTS (unaudited)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FF"/>
              </w:rPr>
              <w:t>NOTES TO CONDENSED CONSOLIDATED FINANCIAL STATEMENTS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2. MANAGEMENT’S DISCUSSION AND ANALYSIS OF FINANCIAL CONDITION AND RESULTS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1140" w:type="dxa"/>
            <w:vAlign w:val="bottom"/>
            <w:tcBorders>
              <w:top w:val="single" w:sz="8" w:color="0000FF"/>
              <w:bottom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7"/>
                <w:szCs w:val="17"/>
                <w:b w:val="1"/>
                <w:bCs w:val="1"/>
                <w:color w:val="0000FF"/>
                <w:w w:val="99"/>
              </w:rPr>
              <w:t>OPERATIONS</w:t>
            </w: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40" w:type="dxa"/>
            <w:vAlign w:val="bottom"/>
            <w:tcBorders>
              <w:top w:val="single" w:sz="8" w:color="0000FF"/>
              <w:bottom w:val="single" w:sz="8" w:color="0000FF"/>
            </w:tcBorders>
          </w:tcPr>
          <w:p>
            <w:pPr>
              <w:spacing w:after="0"/>
              <w:rPr>
                <w:sz w:val="16"/>
                <w:szCs w:val="16"/>
                <w:color w:val="auto"/>
              </w:rPr>
            </w:pPr>
          </w:p>
        </w:tc>
        <w:tc>
          <w:tcPr>
            <w:tcW w:w="500" w:type="dxa"/>
            <w:vAlign w:val="bottom"/>
            <w:tcBorders>
              <w:top w:val="single" w:sz="8" w:color="0000FF"/>
              <w:bottom w:val="single" w:sz="8" w:color="0000FF"/>
            </w:tcBorders>
          </w:tcPr>
          <w:p>
            <w:pPr>
              <w:spacing w:after="0"/>
              <w:rPr>
                <w:sz w:val="16"/>
                <w:szCs w:val="16"/>
                <w:color w:val="auto"/>
              </w:rPr>
            </w:pPr>
          </w:p>
        </w:tc>
        <w:tc>
          <w:tcPr>
            <w:tcW w:w="180" w:type="dxa"/>
            <w:vAlign w:val="bottom"/>
            <w:tcBorders>
              <w:top w:val="single" w:sz="8" w:color="0000FF"/>
              <w:bottom w:val="single" w:sz="8" w:color="0000FF"/>
            </w:tcBorders>
          </w:tcPr>
          <w:p>
            <w:pPr>
              <w:spacing w:after="0"/>
              <w:rPr>
                <w:sz w:val="16"/>
                <w:szCs w:val="16"/>
                <w:color w:val="auto"/>
              </w:rPr>
            </w:pPr>
          </w:p>
        </w:tc>
        <w:tc>
          <w:tcPr>
            <w:tcW w:w="600" w:type="dxa"/>
            <w:vAlign w:val="bottom"/>
            <w:tcBorders>
              <w:top w:val="single" w:sz="8" w:color="0000FF"/>
              <w:bottom w:val="single" w:sz="8" w:color="0000FF"/>
            </w:tcBorders>
            <w:gridSpan w:val="2"/>
          </w:tcPr>
          <w:p>
            <w:pPr>
              <w:spacing w:after="0"/>
              <w:rPr>
                <w:sz w:val="16"/>
                <w:szCs w:val="16"/>
                <w:color w:val="auto"/>
              </w:rPr>
            </w:pPr>
          </w:p>
        </w:tc>
        <w:tc>
          <w:tcPr>
            <w:tcW w:w="2940" w:type="dxa"/>
            <w:vAlign w:val="bottom"/>
            <w:tcBorders>
              <w:top w:val="single" w:sz="8" w:color="0000FF"/>
              <w:bottom w:val="single" w:sz="8" w:color="0000FF"/>
            </w:tcBorders>
            <w:gridSpan w:val="3"/>
          </w:tcPr>
          <w:p>
            <w:pPr>
              <w:spacing w:after="0"/>
              <w:rPr>
                <w:sz w:val="16"/>
                <w:szCs w:val="16"/>
                <w:color w:val="auto"/>
              </w:rPr>
            </w:pPr>
          </w:p>
        </w:tc>
        <w:tc>
          <w:tcPr>
            <w:tcW w:w="80" w:type="dxa"/>
            <w:vAlign w:val="bottom"/>
            <w:tcBorders>
              <w:top w:val="single" w:sz="8" w:color="0000FF"/>
              <w:bottom w:val="single" w:sz="8" w:color="0000FF"/>
            </w:tcBorders>
          </w:tcPr>
          <w:p>
            <w:pPr>
              <w:spacing w:after="0"/>
              <w:rPr>
                <w:sz w:val="16"/>
                <w:szCs w:val="16"/>
                <w:color w:val="auto"/>
              </w:rPr>
            </w:pPr>
          </w:p>
        </w:tc>
        <w:tc>
          <w:tcPr>
            <w:tcW w:w="1560" w:type="dxa"/>
            <w:vAlign w:val="bottom"/>
            <w:tcBorders>
              <w:top w:val="single" w:sz="8" w:color="0000FF"/>
              <w:bottom w:val="single" w:sz="8" w:color="0000FF"/>
            </w:tcBorders>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60" w:type="dxa"/>
            <w:vAlign w:val="bottom"/>
            <w:gridSpan w:val="17"/>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ITEM 3. QUANTITATIVE AND QUALITATIVE DISCLOSURES ABOUT MARKET RISK</w:t>
            </w:r>
          </w:p>
        </w:tc>
        <w:tc>
          <w:tcPr>
            <w:tcW w:w="372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60" w:type="dxa"/>
            <w:vAlign w:val="bottom"/>
            <w:tcBorders>
              <w:bottom w:val="single" w:sz="8" w:color="0000FF"/>
            </w:tcBorders>
            <w:gridSpan w:val="17"/>
            <w:vMerge w:val="continue"/>
          </w:tcPr>
          <w:p>
            <w:pPr>
              <w:spacing w:after="0"/>
              <w:rPr>
                <w:sz w:val="16"/>
                <w:szCs w:val="16"/>
                <w:color w:val="auto"/>
              </w:rPr>
            </w:pPr>
          </w:p>
        </w:tc>
        <w:tc>
          <w:tcPr>
            <w:tcW w:w="3720" w:type="dxa"/>
            <w:vAlign w:val="bottom"/>
            <w:gridSpan w:val="2"/>
            <w:vMerge w:val="continue"/>
          </w:tcPr>
          <w:p>
            <w:pPr>
              <w:spacing w:after="0"/>
              <w:rPr>
                <w:sz w:val="16"/>
                <w:szCs w:val="16"/>
                <w:color w:val="auto"/>
              </w:rPr>
            </w:pPr>
          </w:p>
        </w:tc>
        <w:tc>
          <w:tcPr>
            <w:tcW w:w="16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FF"/>
                <w:w w:val="82"/>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b w:val="1"/>
                <w:bCs w:val="1"/>
                <w:color w:val="0000FF"/>
              </w:rPr>
              <w:t>ITEM 4. CONTROLS AND PROCEDURES</w:t>
            </w:r>
          </w:p>
        </w:tc>
        <w:tc>
          <w:tcPr>
            <w:tcW w:w="7340" w:type="dxa"/>
            <w:vAlign w:val="bottom"/>
            <w:gridSpan w:val="8"/>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b w:val="1"/>
                <w:bCs w:val="1"/>
                <w:color w:val="0000FF"/>
              </w:rPr>
              <w:t>ITEM 1. LEGAL PROCEEDINGS</w:t>
            </w:r>
          </w:p>
        </w:tc>
        <w:tc>
          <w:tcPr>
            <w:tcW w:w="8060" w:type="dxa"/>
            <w:vAlign w:val="bottom"/>
            <w:gridSpan w:val="11"/>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0000FF"/>
              </w:rPr>
              <w:t>ITEM 1A. RISK FACTORS</w:t>
            </w:r>
          </w:p>
        </w:tc>
        <w:tc>
          <w:tcPr>
            <w:tcW w:w="8580" w:type="dxa"/>
            <w:vAlign w:val="bottom"/>
            <w:gridSpan w:val="13"/>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2. UNREGISTERED SALES OF EQUITY SECURITIES AND USE OF PROCEEDS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7"/>
                <w:szCs w:val="17"/>
                <w:b w:val="1"/>
                <w:bCs w:val="1"/>
                <w:color w:val="0000FF"/>
              </w:rPr>
              <w:t>ITEM 3. DEFAULTS UPON SENIOR SECURITIES</w:t>
            </w:r>
          </w:p>
        </w:tc>
        <w:tc>
          <w:tcPr>
            <w:tcW w:w="3800" w:type="dxa"/>
            <w:vAlign w:val="bottom"/>
            <w:gridSpan w:val="3"/>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b w:val="1"/>
                <w:bCs w:val="1"/>
                <w:color w:val="0000FF"/>
              </w:rPr>
              <w:t>ITEM 4. MINE SAFETY DISCLOSURES</w:t>
            </w:r>
          </w:p>
        </w:tc>
        <w:tc>
          <w:tcPr>
            <w:tcW w:w="6740" w:type="dxa"/>
            <w:vAlign w:val="bottom"/>
            <w:gridSpan w:val="6"/>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b w:val="1"/>
                <w:bCs w:val="1"/>
                <w:color w:val="0000FF"/>
              </w:rPr>
              <w:t>ITEM 5. OTHER INFORMATION</w:t>
            </w:r>
          </w:p>
        </w:tc>
        <w:tc>
          <w:tcPr>
            <w:tcW w:w="7520" w:type="dxa"/>
            <w:vAlign w:val="bottom"/>
            <w:gridSpan w:val="9"/>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b w:val="1"/>
                <w:bCs w:val="1"/>
                <w:color w:val="0000FF"/>
              </w:rPr>
              <w:t>ITEM 6. EXHIBITS</w:t>
            </w:r>
          </w:p>
        </w:tc>
        <w:tc>
          <w:tcPr>
            <w:tcW w:w="8020" w:type="dxa"/>
            <w:vAlign w:val="bottom"/>
            <w:gridSpan w:val="10"/>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9160" w:type="dxa"/>
            <w:vAlign w:val="bottom"/>
            <w:gridSpan w:val="15"/>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STATEMENT ON FORWARD-LOOKING INFORMATION</w:t>
      </w:r>
    </w:p>
    <w:p>
      <w:pPr>
        <w:spacing w:after="0" w:line="252"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00"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98"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57" w:lineRule="exact"/>
        <w:rPr>
          <w:sz w:val="20"/>
          <w:szCs w:val="20"/>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general economic conditions, the real estate industry and the markets in which we operate;</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realize the expected benefits of the acquisition of Life Storage, Inc. (“Life Storage”);</w:t>
      </w:r>
    </w:p>
    <w:p>
      <w:pPr>
        <w:spacing w:after="0" w:line="66" w:lineRule="exact"/>
        <w:rPr>
          <w:rFonts w:ascii="Times New Roman" w:cs="Times New Roman" w:eastAsia="Times New Roman" w:hAnsi="Times New Roman"/>
          <w:sz w:val="17"/>
          <w:szCs w:val="17"/>
          <w:color w:val="auto"/>
        </w:rPr>
      </w:pPr>
    </w:p>
    <w:p>
      <w:pPr>
        <w:ind w:left="560" w:right="30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Life Storage’s business will not be fully integrated successfully or that such integration may be more difficult, time-consuming or costly than expected;</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of expected future financial performance and results of the combined company following completion of the Life Storage merger;</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close pending acquisitions and developments on expected terms, or at all;</w:t>
      </w:r>
    </w:p>
    <w:p>
      <w:pPr>
        <w:spacing w:after="0" w:line="53" w:lineRule="exact"/>
        <w:rPr>
          <w:rFonts w:ascii="Times New Roman" w:cs="Times New Roman" w:eastAsia="Times New Roman" w:hAnsi="Times New Roman"/>
          <w:sz w:val="17"/>
          <w:szCs w:val="17"/>
          <w:color w:val="auto"/>
        </w:rPr>
      </w:pPr>
    </w:p>
    <w:p>
      <w:pPr>
        <w:ind w:left="560" w:right="100" w:hanging="319"/>
        <w:spacing w:after="0" w:line="281"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competition from new and existing stores or other storage alternatives, including increased or unanticipated competition for our properties, which could cause rents and occupancy rates to decline;</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for uninsured losses and environmental contamination;</w:t>
      </w:r>
    </w:p>
    <w:p>
      <w:pPr>
        <w:spacing w:after="0" w:line="66" w:lineRule="exact"/>
        <w:rPr>
          <w:rFonts w:ascii="Times New Roman" w:cs="Times New Roman" w:eastAsia="Times New Roman" w:hAnsi="Times New Roman"/>
          <w:sz w:val="17"/>
          <w:szCs w:val="17"/>
          <w:color w:val="auto"/>
        </w:rPr>
      </w:pPr>
    </w:p>
    <w:p>
      <w:pPr>
        <w:ind w:left="560" w:right="32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recover losses under our insurance policies;</w:t>
      </w:r>
    </w:p>
    <w:p>
      <w:pPr>
        <w:spacing w:after="0" w:line="66" w:lineRule="exact"/>
        <w:rPr>
          <w:rFonts w:ascii="Times New Roman" w:cs="Times New Roman" w:eastAsia="Times New Roman" w:hAnsi="Times New Roman"/>
          <w:sz w:val="17"/>
          <w:szCs w:val="17"/>
          <w:color w:val="auto"/>
        </w:rPr>
      </w:pPr>
    </w:p>
    <w:p>
      <w:pPr>
        <w:ind w:left="560" w:right="4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credit and financial markets and resulting difficulties in raising capital or obtaining credit at reasonable rates or at all, which could impede our ability to grow;</w:t>
      </w:r>
    </w:p>
    <w:p>
      <w:pPr>
        <w:spacing w:after="0" w:line="1" w:lineRule="exact"/>
        <w:rPr>
          <w:rFonts w:ascii="Times New Roman" w:cs="Times New Roman" w:eastAsia="Times New Roman" w:hAnsi="Times New Roman"/>
          <w:sz w:val="17"/>
          <w:szCs w:val="17"/>
          <w:color w:val="auto"/>
        </w:rPr>
      </w:pPr>
    </w:p>
    <w:p>
      <w:pPr>
        <w:ind w:left="56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global financial markets and increases in interest rates;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financing and capital, the levels of debt that we maintain and our credit ratings;</w:t>
      </w:r>
    </w:p>
    <w:p>
      <w:pPr>
        <w:spacing w:after="0" w:line="66" w:lineRule="exact"/>
        <w:rPr>
          <w:rFonts w:ascii="Times New Roman" w:cs="Times New Roman" w:eastAsia="Times New Roman" w:hAnsi="Times New Roman"/>
          <w:sz w:val="17"/>
          <w:szCs w:val="17"/>
          <w:color w:val="auto"/>
        </w:rPr>
      </w:pPr>
    </w:p>
    <w:p>
      <w:pPr>
        <w:ind w:left="560" w:right="50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acquisitions, dispositions and development of properties, including increased development costs due to additional regulatory requirements related to climate change and other factors;</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asset valuations and related impairment charges;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sole decision-making authority with respect to our joint venture investments;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recent or future changes to U.S. tax laws;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maintain our REIT status for U.S. federal income tax purposes;</w:t>
      </w:r>
    </w:p>
    <w:p>
      <w:pPr>
        <w:spacing w:after="0" w:line="66" w:lineRule="exact"/>
        <w:rPr>
          <w:rFonts w:ascii="Times New Roman" w:cs="Times New Roman" w:eastAsia="Times New Roman" w:hAnsi="Times New Roman"/>
          <w:sz w:val="17"/>
          <w:szCs w:val="17"/>
          <w:color w:val="auto"/>
        </w:rPr>
      </w:pPr>
    </w:p>
    <w:p>
      <w:pPr>
        <w:ind w:left="560" w:right="220" w:hanging="319"/>
        <w:spacing w:after="0" w:line="277"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from any outbreak of highly infectious or contagious diseases, including reduced demand for self-storage space and ancillary products and services such as tenant reinsurance, and potential decreases in occupancy and rental rates and staffing levels, which could adversely affect our results; and</w:t>
      </w:r>
    </w:p>
    <w:p>
      <w:pPr>
        <w:spacing w:after="0" w:line="5"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uncertainty due to the impact of natural disasters, war or terrorism, which could adversely affect our business plan.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 w:name="page5"/>
    <w:bookmarkEnd w:id="4"/>
    <w:p>
      <w:pPr>
        <w:ind w:firstLine="433"/>
        <w:spacing w:after="0" w:line="270" w:lineRule="auto"/>
        <w:rPr>
          <w:sz w:val="20"/>
          <w:szCs w:val="20"/>
          <w:color w:val="auto"/>
        </w:rPr>
      </w:pPr>
      <w:r>
        <w:rPr>
          <w:rFonts w:ascii="Times New Roman" w:cs="Times New Roman" w:eastAsia="Times New Roman" w:hAnsi="Times New Roman"/>
          <w:sz w:val="17"/>
          <w:szCs w:val="17"/>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96"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46"/>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71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26"/>
        </w:trPr>
        <w:tc>
          <w:tcPr>
            <w:tcW w:w="740" w:type="dxa"/>
            <w:vAlign w:val="bottom"/>
          </w:tcPr>
          <w:p>
            <w:pPr>
              <w:spacing w:after="0"/>
              <w:rPr>
                <w:sz w:val="24"/>
                <w:szCs w:val="24"/>
                <w:color w:val="auto"/>
              </w:rPr>
            </w:pPr>
          </w:p>
        </w:tc>
        <w:tc>
          <w:tcPr>
            <w:tcW w:w="7120" w:type="dxa"/>
            <w:vAlign w:val="bottom"/>
          </w:tcPr>
          <w:p>
            <w:pPr>
              <w:jc w:val="center"/>
              <w:ind w:left="2573"/>
              <w:spacing w:after="0"/>
              <w:rPr>
                <w:sz w:val="20"/>
                <w:szCs w:val="20"/>
                <w:color w:val="auto"/>
              </w:rPr>
            </w:pPr>
            <w:r>
              <w:rPr>
                <w:rFonts w:ascii="Times New Roman" w:cs="Times New Roman" w:eastAsia="Times New Roman" w:hAnsi="Times New Roman"/>
                <w:sz w:val="17"/>
                <w:szCs w:val="17"/>
                <w:b w:val="1"/>
                <w:bCs w:val="1"/>
                <w:color w:val="auto"/>
              </w:rPr>
              <w:t>Extra Space Storage Inc.</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2"/>
        </w:trPr>
        <w:tc>
          <w:tcPr>
            <w:tcW w:w="740" w:type="dxa"/>
            <w:vAlign w:val="bottom"/>
          </w:tcPr>
          <w:p>
            <w:pPr>
              <w:spacing w:after="0"/>
              <w:rPr>
                <w:sz w:val="18"/>
                <w:szCs w:val="18"/>
                <w:color w:val="auto"/>
              </w:rPr>
            </w:pPr>
          </w:p>
        </w:tc>
        <w:tc>
          <w:tcPr>
            <w:tcW w:w="7120" w:type="dxa"/>
            <w:vAlign w:val="bottom"/>
          </w:tcPr>
          <w:p>
            <w:pPr>
              <w:jc w:val="center"/>
              <w:ind w:left="2553"/>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8"/>
        </w:trPr>
        <w:tc>
          <w:tcPr>
            <w:tcW w:w="740" w:type="dxa"/>
            <w:vAlign w:val="bottom"/>
          </w:tcPr>
          <w:p>
            <w:pPr>
              <w:spacing w:after="0"/>
              <w:rPr>
                <w:sz w:val="19"/>
                <w:szCs w:val="19"/>
                <w:color w:val="auto"/>
              </w:rPr>
            </w:pPr>
          </w:p>
        </w:tc>
        <w:tc>
          <w:tcPr>
            <w:tcW w:w="7120" w:type="dxa"/>
            <w:vAlign w:val="bottom"/>
          </w:tcPr>
          <w:p>
            <w:pPr>
              <w:jc w:val="center"/>
              <w:ind w:left="2553"/>
              <w:spacing w:after="0"/>
              <w:rPr>
                <w:sz w:val="20"/>
                <w:szCs w:val="20"/>
                <w:color w:val="auto"/>
              </w:rPr>
            </w:pPr>
            <w:r>
              <w:rPr>
                <w:rFonts w:ascii="Times New Roman" w:cs="Times New Roman" w:eastAsia="Times New Roman" w:hAnsi="Times New Roman"/>
                <w:sz w:val="17"/>
                <w:szCs w:val="17"/>
                <w:color w:val="auto"/>
              </w:rPr>
              <w:t>(amounts in thousands, except share data)</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0"/>
        </w:trPr>
        <w:tc>
          <w:tcPr>
            <w:tcW w:w="7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24"/>
                <w:szCs w:val="24"/>
                <w:color w:val="auto"/>
              </w:rPr>
            </w:pPr>
          </w:p>
        </w:tc>
        <w:tc>
          <w:tcPr>
            <w:tcW w:w="14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7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230"/>
        </w:trPr>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7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Real estate assets, net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24,340,817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24,555,873</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Real estate assets - operating lease right-of-use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227,241</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Investments in unconsolidated real estate entities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1,071,617</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Investments in debt securities and notes receivable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904,769</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99,062</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 net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617,631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597,700</w:t>
            </w:r>
          </w:p>
        </w:tc>
      </w:tr>
      <w:tr>
        <w:trPr>
          <w:trHeight w:val="216"/>
        </w:trPr>
        <w:tc>
          <w:tcPr>
            <w:tcW w:w="74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27,762,080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27,456,262</w:t>
            </w: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9"/>
        </w:trPr>
        <w:tc>
          <w:tcPr>
            <w:tcW w:w="78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Liabilities, Noncontrolling Interests and Equity:</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Secured notes payable, net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1,265,981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1,273,549</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Unsecured term loans,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2,650,581</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Unsecured senior notes,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7,028,452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6,410,618</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Revolving lines of credit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682,000</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236,515</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distributions in unconsolidated real estate ventures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71,069</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381,941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334,518</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451,826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383,463</w:t>
            </w:r>
          </w:p>
        </w:tc>
      </w:tr>
      <w:tr>
        <w:trPr>
          <w:trHeight w:val="216"/>
        </w:trPr>
        <w:tc>
          <w:tcPr>
            <w:tcW w:w="74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12,631,240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12,042,313</w:t>
            </w:r>
          </w:p>
        </w:tc>
      </w:tr>
      <w:tr>
        <w:trPr>
          <w:trHeight w:val="20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Noncontrolling Interests and Equity:</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Extra Space Storage Inc. stockholders'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78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Preferred stock, $0.01 par value, 50,000,000 shares authorized, no shares issued or outstanding</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0"/>
        </w:trPr>
        <w:tc>
          <w:tcPr>
            <w:tcW w:w="7860" w:type="dxa"/>
            <w:vAlign w:val="bottom"/>
            <w:gridSpan w:val="2"/>
            <w:shd w:val="clear" w:color="auto" w:fill="CCEEFF"/>
          </w:tcPr>
          <w:p>
            <w:pPr>
              <w:ind w:left="500"/>
              <w:spacing w:after="0" w:line="171" w:lineRule="exact"/>
              <w:rPr>
                <w:sz w:val="20"/>
                <w:szCs w:val="20"/>
                <w:color w:val="auto"/>
              </w:rPr>
            </w:pPr>
            <w:r>
              <w:rPr>
                <w:rFonts w:ascii="Times New Roman" w:cs="Times New Roman" w:eastAsia="Times New Roman" w:hAnsi="Times New Roman"/>
                <w:sz w:val="17"/>
                <w:szCs w:val="17"/>
                <w:color w:val="auto"/>
              </w:rPr>
              <w:t>Common stock, $0.01 par value, 500,000,000 shares authorized, 211,927,348 and 211,278,803 shares</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6"/>
        </w:trPr>
        <w:tc>
          <w:tcPr>
            <w:tcW w:w="7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issued and outstanding at June 30, 2024 and December 31, 2023, respectively</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14,810,938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14,750,388</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17,435</w:t>
            </w:r>
          </w:p>
        </w:tc>
      </w:tr>
      <w:tr>
        <w:trPr>
          <w:trHeight w:val="223"/>
        </w:trPr>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Accumulated deficit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(667,667)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(379,015)</w:t>
            </w:r>
          </w:p>
        </w:tc>
      </w:tr>
      <w:tr>
        <w:trPr>
          <w:trHeight w:val="216"/>
        </w:trPr>
        <w:tc>
          <w:tcPr>
            <w:tcW w:w="740" w:type="dxa"/>
            <w:vAlign w:val="bottom"/>
            <w:shd w:val="clear" w:color="auto" w:fill="CCEEFF"/>
          </w:tcPr>
          <w:p>
            <w:pPr>
              <w:spacing w:after="0"/>
              <w:rPr>
                <w:sz w:val="18"/>
                <w:szCs w:val="18"/>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Extra Space Storage Inc. stockholders' equity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14,172,632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14,390,921</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Noncontrolling interest represented by Preferred Operating Partnership units,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222,360</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Noncontrolling interests in Operating Partnership, net and other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766,902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800,668</w:t>
            </w:r>
          </w:p>
        </w:tc>
      </w:tr>
      <w:tr>
        <w:trPr>
          <w:trHeight w:val="216"/>
        </w:trPr>
        <w:tc>
          <w:tcPr>
            <w:tcW w:w="74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noncontrolling interests and equity</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15,130,840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15,413,949</w:t>
            </w:r>
          </w:p>
        </w:tc>
      </w:tr>
      <w:tr>
        <w:trPr>
          <w:trHeight w:val="241"/>
        </w:trPr>
        <w:tc>
          <w:tcPr>
            <w:tcW w:w="74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noncontrolling interests and equity</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27,762,080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27,456,262</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36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rental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697,100</w:t>
            </w:r>
          </w:p>
        </w:tc>
        <w:tc>
          <w:tcPr>
            <w:tcW w:w="16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440,747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1,385,144</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874,709</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Tenant reinsurance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96,137</w:t>
            </w: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43,590</w:t>
            </w:r>
          </w:p>
        </w:tc>
        <w:tc>
          <w:tcPr>
            <w:tcW w:w="0" w:type="dxa"/>
            <w:vAlign w:val="bottom"/>
          </w:tcPr>
          <w:p>
            <w:pPr>
              <w:spacing w:after="0"/>
              <w:rPr>
                <w:sz w:val="1"/>
                <w:szCs w:val="1"/>
                <w:color w:val="auto"/>
              </w:rPr>
            </w:pPr>
          </w:p>
        </w:tc>
      </w:tr>
      <w:tr>
        <w:trPr>
          <w:trHeight w:val="205"/>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810,663</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511,386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1,610,202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1,014,436</w:t>
            </w:r>
          </w:p>
        </w:tc>
        <w:tc>
          <w:tcPr>
            <w:tcW w:w="0" w:type="dxa"/>
            <w:vAlign w:val="bottom"/>
          </w:tcPr>
          <w:p>
            <w:pPr>
              <w:spacing w:after="0"/>
              <w:rPr>
                <w:sz w:val="1"/>
                <w:szCs w:val="1"/>
                <w:color w:val="auto"/>
              </w:rPr>
            </w:pPr>
          </w:p>
        </w:tc>
      </w:tr>
      <w:tr>
        <w:trPr>
          <w:trHeight w:val="18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operations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231,803</w:t>
            </w:r>
          </w:p>
        </w:tc>
        <w:tc>
          <w:tcPr>
            <w:tcW w:w="0" w:type="dxa"/>
            <w:vAlign w:val="bottom"/>
          </w:tcPr>
          <w:p>
            <w:pPr>
              <w:spacing w:after="0"/>
              <w:rPr>
                <w:sz w:val="1"/>
                <w:szCs w:val="1"/>
                <w:color w:val="auto"/>
              </w:rPr>
            </w:pPr>
          </w:p>
        </w:tc>
      </w:tr>
      <w:tr>
        <w:trPr>
          <w:trHeight w:val="208"/>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Tenant reinsurance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18,571</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69,605</w:t>
            </w: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194,809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391,775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157,576</w:t>
            </w:r>
          </w:p>
        </w:tc>
        <w:tc>
          <w:tcPr>
            <w:tcW w:w="0" w:type="dxa"/>
            <w:vAlign w:val="bottom"/>
          </w:tcPr>
          <w:p>
            <w:pPr>
              <w:spacing w:after="0"/>
              <w:rPr>
                <w:sz w:val="1"/>
                <w:szCs w:val="1"/>
                <w:color w:val="auto"/>
              </w:rPr>
            </w:pPr>
          </w:p>
        </w:tc>
      </w:tr>
      <w:tr>
        <w:trPr>
          <w:trHeight w:val="205"/>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451,243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238,047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914,954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477,555</w:t>
            </w:r>
          </w:p>
        </w:tc>
        <w:tc>
          <w:tcPr>
            <w:tcW w:w="0" w:type="dxa"/>
            <w:vAlign w:val="bottom"/>
          </w:tcPr>
          <w:p>
            <w:pPr>
              <w:spacing w:after="0"/>
              <w:rPr>
                <w:sz w:val="1"/>
                <w:szCs w:val="1"/>
                <w:color w:val="auto"/>
              </w:rPr>
            </w:pPr>
          </w:p>
        </w:tc>
      </w:tr>
      <w:tr>
        <w:trPr>
          <w:trHeight w:val="20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real estate assets held for sale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304,761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273,339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640,589</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536,881</w:t>
            </w:r>
          </w:p>
        </w:tc>
        <w:tc>
          <w:tcPr>
            <w:tcW w:w="0" w:type="dxa"/>
            <w:vAlign w:val="bottom"/>
          </w:tcPr>
          <w:p>
            <w:pPr>
              <w:spacing w:after="0"/>
              <w:rPr>
                <w:sz w:val="1"/>
                <w:szCs w:val="1"/>
                <w:color w:val="auto"/>
              </w:rPr>
            </w:pPr>
          </w:p>
        </w:tc>
      </w:tr>
      <w:tr>
        <w:trPr>
          <w:trHeight w:val="20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(166,471)</w:t>
            </w:r>
          </w:p>
        </w:tc>
        <w:tc>
          <w:tcPr>
            <w:tcW w:w="0" w:type="dxa"/>
            <w:vAlign w:val="bottom"/>
          </w:tcPr>
          <w:p>
            <w:pPr>
              <w:spacing w:after="0"/>
              <w:rPr>
                <w:sz w:val="1"/>
                <w:szCs w:val="1"/>
                <w:color w:val="auto"/>
              </w:rPr>
            </w:pPr>
          </w:p>
        </w:tc>
      </w:tr>
      <w:tr>
        <w:trPr>
          <w:trHeight w:val="159"/>
        </w:trPr>
        <w:tc>
          <w:tcPr>
            <w:tcW w:w="60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Non-cash interest expense related to amortization of discount on Life Storage unsecured</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(10,853)</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(21,558)</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31,226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54,799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40,515</w:t>
            </w:r>
          </w:p>
        </w:tc>
        <w:tc>
          <w:tcPr>
            <w:tcW w:w="0" w:type="dxa"/>
            <w:vAlign w:val="bottom"/>
          </w:tcPr>
          <w:p>
            <w:pPr>
              <w:spacing w:after="0"/>
              <w:rPr>
                <w:sz w:val="1"/>
                <w:szCs w:val="1"/>
                <w:color w:val="auto"/>
              </w:rPr>
            </w:pPr>
          </w:p>
        </w:tc>
      </w:tr>
      <w:tr>
        <w:trPr>
          <w:trHeight w:val="139"/>
        </w:trPr>
        <w:tc>
          <w:tcPr>
            <w:tcW w:w="60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color w:val="auto"/>
                <w:w w:val="98"/>
              </w:rPr>
              <w:t>Income before equity in earnings and dividend income from unconsolidated real estate entities</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403,810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410,925</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income tax expense</w:t>
            </w: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and dividend income from unconsolidated real estate entities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23,559</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(10,294)</w:t>
            </w:r>
          </w:p>
        </w:tc>
        <w:tc>
          <w:tcPr>
            <w:tcW w:w="0" w:type="dxa"/>
            <w:vAlign w:val="bottom"/>
          </w:tcPr>
          <w:p>
            <w:pPr>
              <w:spacing w:after="0"/>
              <w:rPr>
                <w:sz w:val="1"/>
                <w:szCs w:val="1"/>
                <w:color w:val="auto"/>
              </w:rPr>
            </w:pPr>
          </w:p>
        </w:tc>
      </w:tr>
      <w:tr>
        <w:trPr>
          <w:trHeight w:val="201"/>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195,412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419,486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424,190</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allocated to Preferred Operating Partnership noncontrolling interests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allocated to Operating Partnership and other noncontrolling interests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185,872</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202,410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398,984</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398,714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2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0.88</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41"/>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1.50</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1.88</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21"/>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Weighted average number of shares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211,584,155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134,832,232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211,433,877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134,672,672</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211,587,105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143,529,817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220,114,016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143,337,522</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36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195,412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419,486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424,190</w:t>
            </w:r>
          </w:p>
        </w:tc>
      </w:tr>
      <w:tr>
        <w:trPr>
          <w:trHeight w:val="208"/>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 in fair value of interest rate swaps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r>
      <w:tr>
        <w:trPr>
          <w:trHeight w:val="20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194,406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429,682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422,279</w:t>
            </w:r>
          </w:p>
        </w:tc>
      </w:tr>
      <w:tr>
        <w:trPr>
          <w:trHeight w:val="210"/>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9,484</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20,892</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25,298</w:t>
            </w:r>
          </w:p>
        </w:tc>
      </w:tr>
      <w:tr>
        <w:trPr>
          <w:trHeight w:val="205"/>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184,922</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214,394</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408,790</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396,981</w:t>
            </w: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 the three and six months ended June 30, 2024</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(unaudited, amounts in thousands, except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600" w:type="dxa"/>
            <w:vAlign w:val="bottom"/>
            <w:gridSpan w:val="10"/>
          </w:tcPr>
          <w:p>
            <w:pPr>
              <w:ind w:left="840"/>
              <w:spacing w:after="0"/>
              <w:rPr>
                <w:sz w:val="20"/>
                <w:szCs w:val="20"/>
                <w:color w:val="auto"/>
              </w:rPr>
            </w:pPr>
            <w:r>
              <w:rPr>
                <w:rFonts w:ascii="Times New Roman" w:cs="Times New Roman" w:eastAsia="Times New Roman" w:hAnsi="Times New Roman"/>
                <w:sz w:val="14"/>
                <w:szCs w:val="14"/>
                <w:b w:val="1"/>
                <w:bCs w:val="1"/>
                <w:color w:val="auto"/>
                <w:w w:val="98"/>
              </w:rPr>
              <w:t>Extra Space Storage Inc. Stockholders' Equity</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6"/>
        </w:trPr>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4"/>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Par</w:t>
            </w: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vMerge w:val="continue"/>
          </w:tcPr>
          <w:p>
            <w:pPr>
              <w:spacing w:after="0"/>
              <w:rPr>
                <w:sz w:val="12"/>
                <w:szCs w:val="12"/>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vMerge w:val="continue"/>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Interests and</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6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8"/>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March 31, 2024</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218,824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763,971</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$9,137</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211,658,812</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$ 2,117</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$14,776,888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28,191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(510,150)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15,288,978</w:t>
            </w:r>
          </w:p>
        </w:tc>
        <w:tc>
          <w:tcPr>
            <w:tcW w:w="0" w:type="dxa"/>
            <w:vAlign w:val="bottom"/>
          </w:tcPr>
          <w:p>
            <w:pPr>
              <w:spacing w:after="0"/>
              <w:rPr>
                <w:sz w:val="1"/>
                <w:szCs w:val="1"/>
                <w:color w:val="auto"/>
              </w:rPr>
            </w:pPr>
          </w:p>
        </w:tc>
      </w:tr>
      <w:tr>
        <w:trPr>
          <w:trHeight w:val="157"/>
        </w:trPr>
        <w:tc>
          <w:tcPr>
            <w:tcW w:w="34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for share based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compensation, exercise of options and taxes paid</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71,502</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6,586</w:t>
            </w: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upon net settlement</w:t>
            </w: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 costs associated with shelf registration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157"/>
        </w:trPr>
        <w:tc>
          <w:tcPr>
            <w:tcW w:w="34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Redemption of Operating Partnership units for</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197,034</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27,959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195,412</w:t>
            </w: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157"/>
        </w:trPr>
        <w:tc>
          <w:tcPr>
            <w:tcW w:w="34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Distributions to Operating Partnership units held by</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(13,967)</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(15,900)</w:t>
            </w: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 at $1.62 per share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(343,389)</w:t>
            </w:r>
          </w:p>
        </w:tc>
        <w:tc>
          <w:tcPr>
            <w:tcW w:w="0" w:type="dxa"/>
            <w:vAlign w:val="bottom"/>
          </w:tcPr>
          <w:p>
            <w:pPr>
              <w:spacing w:after="0"/>
              <w:rPr>
                <w:sz w:val="1"/>
                <w:szCs w:val="1"/>
                <w:color w:val="auto"/>
              </w:rPr>
            </w:pPr>
          </w:p>
        </w:tc>
      </w:tr>
      <w:tr>
        <w:trPr>
          <w:trHeight w:val="20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2024</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191,306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757,102</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9,800</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211,927,348</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2,120</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14,810,938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27,241</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(667,667)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15,130,840</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222,360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791,754</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$8,914</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211,278,803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$ 2,113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$14,750,388</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(379,015)</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15,413,949</w:t>
            </w:r>
          </w:p>
        </w:tc>
        <w:tc>
          <w:tcPr>
            <w:tcW w:w="0" w:type="dxa"/>
            <w:vAlign w:val="bottom"/>
          </w:tcPr>
          <w:p>
            <w:pPr>
              <w:spacing w:after="0"/>
              <w:rPr>
                <w:sz w:val="1"/>
                <w:szCs w:val="1"/>
                <w:color w:val="auto"/>
              </w:rPr>
            </w:pPr>
          </w:p>
        </w:tc>
      </w:tr>
      <w:tr>
        <w:trPr>
          <w:trHeight w:val="158"/>
        </w:trPr>
        <w:tc>
          <w:tcPr>
            <w:tcW w:w="340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for share based</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0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compensation, exercise of options and taxes paid</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168,429</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6,195</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upon net settlement</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 costs associated with shelf registration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157"/>
        </w:trPr>
        <w:tc>
          <w:tcPr>
            <w:tcW w:w="34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Redemption of Operating Partnership units for</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(23,437)</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477,806</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54,486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16,337</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419,486</w:t>
            </w: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10,196</w:t>
            </w:r>
          </w:p>
        </w:tc>
        <w:tc>
          <w:tcPr>
            <w:tcW w:w="0" w:type="dxa"/>
            <w:vAlign w:val="bottom"/>
          </w:tcPr>
          <w:p>
            <w:pPr>
              <w:spacing w:after="0"/>
              <w:rPr>
                <w:sz w:val="1"/>
                <w:szCs w:val="1"/>
                <w:color w:val="auto"/>
              </w:rPr>
            </w:pPr>
          </w:p>
        </w:tc>
      </w:tr>
      <w:tr>
        <w:trPr>
          <w:trHeight w:val="157"/>
        </w:trPr>
        <w:tc>
          <w:tcPr>
            <w:tcW w:w="34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Distributions to Operating Partnership units held by</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(27,942)</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(32,083)</w:t>
            </w: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 at $3.24 per share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(687,636)</w:t>
            </w:r>
          </w:p>
        </w:tc>
        <w:tc>
          <w:tcPr>
            <w:tcW w:w="0" w:type="dxa"/>
            <w:vAlign w:val="bottom"/>
          </w:tcPr>
          <w:p>
            <w:pPr>
              <w:spacing w:after="0"/>
              <w:rPr>
                <w:sz w:val="1"/>
                <w:szCs w:val="1"/>
                <w:color w:val="auto"/>
              </w:rPr>
            </w:pPr>
          </w:p>
        </w:tc>
      </w:tr>
      <w:tr>
        <w:trPr>
          <w:trHeight w:val="20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2024</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191,306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757,102</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9,800</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211,927,348</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2,120</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14,810,938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27,241</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(667,667)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15,130,840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80" w:top="119" w:right="37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 the three and six months ended June 30, 2023</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(unaudited, amounts in thousands, except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640" w:type="dxa"/>
            <w:vAlign w:val="bottom"/>
            <w:gridSpan w:val="10"/>
          </w:tcPr>
          <w:p>
            <w:pPr>
              <w:ind w:left="78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6"/>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Par</w:t>
            </w: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vMerge w:val="continue"/>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vMerge w:val="continue"/>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Interests and</w:t>
            </w: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6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7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8"/>
        </w:trPr>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March 31, 2023</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222,940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554,015</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5"/>
              </w:rPr>
              <w:t>$2,413</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135,007,280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$1,350</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$3,376,458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35,081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(159,556)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4,032,701</w:t>
            </w: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53,823</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6,940</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based compensation</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Taxes paid upon net settlement of share based</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3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709</w:t>
            </w: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10,691</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215,312</w:t>
            </w:r>
          </w:p>
        </w:tc>
        <w:tc>
          <w:tcPr>
            <w:tcW w:w="0" w:type="dxa"/>
            <w:vAlign w:val="bottom"/>
          </w:tcPr>
          <w:p>
            <w:pPr>
              <w:spacing w:after="0"/>
              <w:rPr>
                <w:sz w:val="1"/>
                <w:szCs w:val="1"/>
                <w:color w:val="auto"/>
              </w:rPr>
            </w:pP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12,599</w:t>
            </w: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80" w:type="dxa"/>
            <w:vAlign w:val="bottom"/>
          </w:tcPr>
          <w:p>
            <w:pPr>
              <w:spacing w:after="0"/>
              <w:rPr>
                <w:sz w:val="13"/>
                <w:szCs w:val="13"/>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(13,965)</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Dividends paid on common stock at $1.62 per</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(218,795)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(218,795)</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2023</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222,940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553,610</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3,079</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135,058,897</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1,351</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3,383,303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47,065</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(175,941)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4,035,407</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2022</w:t>
            </w: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261,502</w:t>
            </w:r>
          </w:p>
        </w:tc>
        <w:tc>
          <w:tcPr>
            <w:tcW w:w="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556,095</w:t>
            </w:r>
          </w:p>
        </w:tc>
        <w:tc>
          <w:tcPr>
            <w:tcW w:w="8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5"/>
              </w:rPr>
              <w:t>$1,080</w:t>
            </w:r>
          </w:p>
        </w:tc>
        <w:tc>
          <w:tcPr>
            <w:tcW w:w="8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133,921,020</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$1,339</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$3,345,332</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48,798</w:t>
            </w:r>
          </w:p>
        </w:tc>
        <w:tc>
          <w:tcPr>
            <w:tcW w:w="6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(135,872)</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4,078,274</w:t>
            </w:r>
          </w:p>
        </w:tc>
        <w:tc>
          <w:tcPr>
            <w:tcW w:w="0" w:type="dxa"/>
            <w:vAlign w:val="bottom"/>
          </w:tcPr>
          <w:p>
            <w:pPr>
              <w:spacing w:after="0"/>
              <w:rPr>
                <w:sz w:val="1"/>
                <w:szCs w:val="1"/>
                <w:color w:val="auto"/>
              </w:rPr>
            </w:pPr>
          </w:p>
        </w:tc>
      </w:tr>
      <w:tr>
        <w:trPr>
          <w:trHeight w:val="158"/>
        </w:trPr>
        <w:tc>
          <w:tcPr>
            <w:tcW w:w="332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143,387</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12,439</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based compensation</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Taxes paid upon net settlement of share based</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Redemption of Preferred A Units in the Operating</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(16,339)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851,698</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11,015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Partnership for stock</w:t>
            </w: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Redemption of Preferred D Units in the Operating</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154,307</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Partnership for stock</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21,069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424,190</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0" w:type="dxa"/>
            <w:vAlign w:val="bottom"/>
          </w:tcPr>
          <w:p>
            <w:pPr>
              <w:spacing w:after="0"/>
              <w:rPr>
                <w:sz w:val="1"/>
                <w:szCs w:val="1"/>
                <w:color w:val="auto"/>
              </w:rPr>
            </w:pPr>
          </w:p>
        </w:tc>
      </w:tr>
      <w:tr>
        <w:trPr>
          <w:trHeight w:val="159"/>
        </w:trPr>
        <w:tc>
          <w:tcPr>
            <w:tcW w:w="33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(23,376)</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(28,043)</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Dividends paid on common stock at $3.24 per</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(438,783)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(438,783)</w:t>
            </w:r>
          </w:p>
        </w:tc>
        <w:tc>
          <w:tcPr>
            <w:tcW w:w="0" w:type="dxa"/>
            <w:vAlign w:val="bottom"/>
          </w:tcPr>
          <w:p>
            <w:pPr>
              <w:spacing w:after="0"/>
              <w:rPr>
                <w:sz w:val="1"/>
                <w:szCs w:val="1"/>
                <w:color w:val="auto"/>
              </w:rPr>
            </w:pPr>
          </w:p>
        </w:tc>
      </w:tr>
      <w:tr>
        <w:trPr>
          <w:trHeight w:val="20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2023</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222,940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553,610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3,079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135,058,897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1,351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3,383,303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47,065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(175,941)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4,035,407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460" w:top="119" w:right="4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78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419,486</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424,190</w:t>
            </w: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157,576</w:t>
            </w: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5,470</w:t>
            </w: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interest expense related to amortization of discount on Life Storage unsecured senior notes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Compensation expense related to share-based awards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w:t>
            </w: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Accrual of interest income added to principal of debt securities and notes receivable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(16,200)</w:t>
            </w: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Loss on real estate assets held for sale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Distributions from unconsolidated real estate ventures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7,594</w:t>
            </w: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78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(28,129)</w:t>
            </w:r>
          </w:p>
        </w:tc>
      </w:tr>
      <w:tr>
        <w:trPr>
          <w:trHeight w:val="212"/>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37,176</w:t>
            </w:r>
          </w:p>
        </w:tc>
      </w:tr>
      <w:tr>
        <w:trPr>
          <w:trHeight w:val="208"/>
        </w:trPr>
        <w:tc>
          <w:tcPr>
            <w:tcW w:w="786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70,800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29,411</w:t>
            </w:r>
          </w:p>
        </w:tc>
      </w:tr>
      <w:tr>
        <w:trPr>
          <w:trHeight w:val="205"/>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1,010,800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629,527</w:t>
            </w:r>
          </w:p>
        </w:tc>
      </w:tr>
      <w:tr>
        <w:trPr>
          <w:trHeight w:val="18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 and improvements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(127,416)</w:t>
            </w: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Development and redevelopment of real estate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(37,244)</w:t>
            </w:r>
          </w:p>
        </w:tc>
      </w:tr>
      <w:tr>
        <w:trPr>
          <w:trHeight w:val="225"/>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real estate assets and investments in real estate ventures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in unconsolidated real estate entities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(171,126)</w:t>
            </w: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Return of investment in unconsolidated real estate ventures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and purchase of notes receivable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(569,268)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(124,103)</w:t>
            </w: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payments received from notes receivable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46,466</w:t>
            </w: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notes receivable</w:t>
            </w:r>
          </w:p>
        </w:tc>
        <w:tc>
          <w:tcPr>
            <w:tcW w:w="3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60,696</w:t>
            </w: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equipment and fixtures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(5,905)</w:t>
            </w:r>
          </w:p>
        </w:tc>
      </w:tr>
      <w:tr>
        <w:trPr>
          <w:trHeight w:val="201"/>
        </w:trPr>
        <w:tc>
          <w:tcPr>
            <w:tcW w:w="78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(764,767)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(357,586)</w:t>
            </w:r>
          </w:p>
        </w:tc>
      </w:tr>
      <w:tr>
        <w:trPr>
          <w:trHeight w:val="19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unsecured term loans and senior notes and revolving lines of credit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3,263,470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2,479,592</w:t>
            </w: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payments on unsecured term loans and senior notes and revolving lines of credit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(3,407,382)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(3,246,378)</w:t>
            </w: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public bonds,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950,000</w:t>
            </w: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(28,151)</w:t>
            </w: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share issuances and redemption of stock options for cash,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Redemption of Preferred OP units for cash</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Offering costs associated with shelf registration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(438,783)</w:t>
            </w:r>
          </w:p>
        </w:tc>
      </w:tr>
      <w:tr>
        <w:trPr>
          <w:trHeight w:val="208"/>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(28,043)</w:t>
            </w:r>
          </w:p>
        </w:tc>
      </w:tr>
      <w:tr>
        <w:trPr>
          <w:trHeight w:val="205"/>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(269,572)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(316,763)</w:t>
            </w:r>
          </w:p>
        </w:tc>
      </w:tr>
      <w:tr>
        <w:trPr>
          <w:trHeight w:val="201"/>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(44,822)</w:t>
            </w: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97,735</w:t>
            </w:r>
          </w:p>
        </w:tc>
      </w:tr>
      <w:tr>
        <w:trPr>
          <w:trHeight w:val="201"/>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81,544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52,913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8"/>
        </w:trPr>
        <w:tc>
          <w:tcPr>
            <w:tcW w:w="7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equivalents, including restricted cash at the beginning of the period:</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equivalents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92,868</w:t>
            </w:r>
          </w:p>
        </w:tc>
      </w:tr>
      <w:tr>
        <w:trPr>
          <w:trHeight w:val="206"/>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w:t>
            </w:r>
          </w:p>
        </w:tc>
      </w:tr>
      <w:tr>
        <w:trPr>
          <w:trHeight w:val="875"/>
        </w:trPr>
        <w:tc>
          <w:tcPr>
            <w:tcW w:w="786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11</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2"/>
        </w:trPr>
        <w:tc>
          <w:tcPr>
            <w:tcW w:w="7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3380" w:type="dxa"/>
            <w:vAlign w:val="bottom"/>
            <w:gridSpan w:val="5"/>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2"/>
        </w:trPr>
        <w:tc>
          <w:tcPr>
            <w:tcW w:w="78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105,083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Cash and equivalents, including restricted cash at the end of the period: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equivalents</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50,644</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150,459</w:t>
            </w: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11,831</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held by noncontrolling interests for common stock</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149,739</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and paid-in capital</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interests in Operating Partnership Note Receivable Payoff</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 Unit Redemption - Cash Proceeds</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construction costs and capital expenditures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1020" w:type="dxa"/>
            <w:vAlign w:val="bottom"/>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1.</w:t>
        <w:tab/>
        <w:t>ORGANIZATION</w:t>
      </w:r>
    </w:p>
    <w:p>
      <w:pPr>
        <w:spacing w:after="0" w:line="121"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Extra Space Storage Inc. (the “Company”) is a fully integrated, self-administered and self-managed REIT, formed as a Maryland corporation on April 30, 2004, to own, operate, manage, acquire, develop and redevelop professionally managed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which meets the definition of a variable interest entity and is consolidated. This structure is commonly referred to as an umbrella partnership REIT, or UPREIT.</w:t>
      </w:r>
    </w:p>
    <w:p>
      <w:pPr>
        <w:spacing w:after="0" w:line="200"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The Company invests in stores by acquiring wholly-owned stores or by acquiring an equity interest in real estate entities. At June 30, 2024, the Company had direct and indirect equity interests in 2,389 stores. In addition, the Company managed 1,423 stores for third parties, bringing the total number of stores which it owns and/or manages to 3,812. These stores are located in 42 states and Washington, D.C. The Company offers tenant reinsurance at its owned and managed stores that insures the value of goods in the storage units and also offers bridge loan financing to certain of its third-party self-storage owners.</w:t>
      </w:r>
    </w:p>
    <w:p>
      <w:pPr>
        <w:spacing w:after="0" w:line="2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2.</w:t>
        <w:tab/>
        <w:t>BASIS OF PRESENTATION</w:t>
      </w:r>
    </w:p>
    <w:p>
      <w:pPr>
        <w:spacing w:after="0" w:line="252" w:lineRule="exact"/>
        <w:rPr>
          <w:sz w:val="20"/>
          <w:szCs w:val="20"/>
          <w:color w:val="auto"/>
        </w:rPr>
      </w:pPr>
    </w:p>
    <w:p>
      <w:pPr>
        <w:ind w:firstLine="433"/>
        <w:spacing w:after="0" w:line="262"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six months ended June 30, 2024 are not necessarily indicative of results that may be expected for the year ending December 31, 2024. The condensed consolidated balance sheet as of December 31, 2023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2023, as filed with the Securities and Exchange Commission.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w:t>
      </w:r>
    </w:p>
    <w:p>
      <w:pPr>
        <w:spacing w:after="0" w:line="252" w:lineRule="exact"/>
        <w:rPr>
          <w:sz w:val="20"/>
          <w:szCs w:val="20"/>
          <w:color w:val="auto"/>
        </w:rPr>
      </w:pPr>
    </w:p>
    <w:p>
      <w:pPr>
        <w:ind w:right="20" w:firstLine="433"/>
        <w:spacing w:after="0" w:line="252"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No. 2023-07 – Segment Reporting (Topic 280): Improvements to Reportable Segment Disclosures. The amended guidance requires the disclosure of incremental segment information, including significant segment expenses that are regularly provided to the chief operating decision maker (“CODM”) and a reconciliation of segment profit or loss to net income. The title and position of the CODM must also be disclosed, along with how the CODM uses the reported measures to assess segment performance and to allocate resources. Pursuant to this ASU, the footnotes to the Company's consolidated financial statements may include incremental disclosures related to its two reportable segments: (1) self-storage operations and (2) tenant reinsurance. The compliance with this ASU will be required beginning with the Company's annual report on Form 10-K for the year ending December 31, 2024, followed by interim disclosures in quarterly reports on Form 10-Q thereafter, with early adoption permitted. The Company expects to adopt this ASU for its annual report on Form 10-K for the year ending December 31, 2024.</w:t>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3.</w:t>
        <w:tab/>
        <w:t>FAIR VALUE DISCLOSURES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 Financial Instruments</w:t>
      </w:r>
    </w:p>
    <w:p>
      <w:pPr>
        <w:spacing w:after="0" w:line="121" w:lineRule="exact"/>
        <w:rPr>
          <w:sz w:val="20"/>
          <w:szCs w:val="20"/>
          <w:color w:val="auto"/>
        </w:rPr>
      </w:pPr>
    </w:p>
    <w:p>
      <w:pPr>
        <w:jc w:val="both"/>
        <w:ind w:right="160" w:firstLine="433"/>
        <w:spacing w:after="0" w:line="270" w:lineRule="auto"/>
        <w:rPr>
          <w:sz w:val="20"/>
          <w:szCs w:val="20"/>
          <w:color w:val="auto"/>
        </w:rPr>
      </w:pPr>
      <w:r>
        <w:rPr>
          <w:rFonts w:ascii="Times New Roman" w:cs="Times New Roman" w:eastAsia="Times New Roman" w:hAnsi="Times New Roman"/>
          <w:sz w:val="17"/>
          <w:szCs w:val="17"/>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95"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7"/>
          <w:szCs w:val="17"/>
          <w:color w:val="auto"/>
        </w:rPr>
        <w:t>receipts. The variable cash receipts are based on an expectation of future interest rates (forward curves) derived from observable market interest rate forward curves.</w:t>
      </w:r>
    </w:p>
    <w:p>
      <w:pPr>
        <w:spacing w:after="0" w:line="172"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198"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June 30, 2024, the Company has assessed the significance of the impact of the credit valuation adjustments on the overall valuation of its derivative positions and has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198" w:lineRule="exact"/>
        <w:rPr>
          <w:sz w:val="20"/>
          <w:szCs w:val="20"/>
          <w:color w:val="auto"/>
        </w:rPr>
      </w:pPr>
    </w:p>
    <w:p>
      <w:pPr>
        <w:ind w:right="220" w:firstLine="433"/>
        <w:spacing w:after="0" w:line="277" w:lineRule="auto"/>
        <w:rPr>
          <w:sz w:val="20"/>
          <w:szCs w:val="20"/>
          <w:color w:val="auto"/>
        </w:rPr>
      </w:pPr>
      <w:r>
        <w:rPr>
          <w:rFonts w:ascii="Times New Roman" w:cs="Times New Roman" w:eastAsia="Times New Roman" w:hAnsi="Times New Roman"/>
          <w:sz w:val="17"/>
          <w:szCs w:val="17"/>
          <w:color w:val="auto"/>
        </w:rPr>
        <w:t>The table below presents the Company’s assets and liabilities measured at fair value on a recurring basis as of June 30, 2024, aggregated by the level in the fair value hierarchy within which those measurements fall.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40" w:type="dxa"/>
            <w:vAlign w:val="bottom"/>
            <w:gridSpan w:val="6"/>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00" w:type="dxa"/>
            <w:vAlign w:val="bottom"/>
            <w:vMerge w:val="restart"/>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5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1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 Cash flow hedge swap agreements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31,133</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 - Cash flow hedge swap agreements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580" w:firstLine="433"/>
        <w:spacing w:after="0" w:line="297" w:lineRule="auto"/>
        <w:rPr>
          <w:sz w:val="20"/>
          <w:szCs w:val="20"/>
          <w:color w:val="auto"/>
        </w:rPr>
      </w:pPr>
      <w:r>
        <w:rPr>
          <w:rFonts w:ascii="Times New Roman" w:cs="Times New Roman" w:eastAsia="Times New Roman" w:hAnsi="Times New Roman"/>
          <w:sz w:val="17"/>
          <w:szCs w:val="17"/>
          <w:color w:val="auto"/>
        </w:rPr>
        <w:t>The Company did not have any significant assets or liabilities that are re-measured on a recurring basis using significant unobservable inputs as of June 30, 2024 or December 31,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and Liabilities Measured at Fair Value on a Nonrecurring Basis</w:t>
      </w:r>
    </w:p>
    <w:p>
      <w:pPr>
        <w:spacing w:after="0" w:line="121" w:lineRule="exact"/>
        <w:rPr>
          <w:sz w:val="20"/>
          <w:szCs w:val="20"/>
          <w:color w:val="auto"/>
        </w:rPr>
      </w:pPr>
    </w:p>
    <w:p>
      <w:pPr>
        <w:ind w:right="80" w:firstLine="433"/>
        <w:spacing w:after="0" w:line="267" w:lineRule="auto"/>
        <w:rPr>
          <w:sz w:val="20"/>
          <w:szCs w:val="20"/>
          <w:color w:val="auto"/>
        </w:rPr>
      </w:pPr>
      <w:r>
        <w:rPr>
          <w:rFonts w:ascii="Times New Roman" w:cs="Times New Roman" w:eastAsia="Times New Roman" w:hAnsi="Times New Roman"/>
          <w:sz w:val="17"/>
          <w:szCs w:val="17"/>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172"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69"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When real estate assets are identified by management as held for sale, the Company discontinues depreciating the assets and estimates the fair value of the assets, net of selling costs. The Company compares the carrying value of the related long-lived assets to the discounted future net operating cash flows attributable to the assets (categorized within Level 3 of the fair value hierarchy). If the estimated fair value, net of selling costs, of the assets that have been identified as held for sale is less than the net carrying value of the assets, the Company would recognize a loss on the assets held for sale. The operations of assets held for sale or sold during the period is presented as part of normal operations. As of June 30, 2024, the Company had seven stores classified as held for sale which are included in real estate assets, net. The estimated fair value of these assets, net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40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7"/>
          <w:szCs w:val="17"/>
          <w:color w:val="auto"/>
        </w:rPr>
        <w:t>of selling costs, was $51,934, which was less than the net carrying value of the assets and thus the Company recorded a loss of $54,659 during the three months ended June 30, 2024.</w:t>
      </w:r>
    </w:p>
    <w:p>
      <w:pPr>
        <w:spacing w:after="0" w:line="146" w:lineRule="exact"/>
        <w:rPr>
          <w:sz w:val="20"/>
          <w:szCs w:val="20"/>
          <w:color w:val="auto"/>
        </w:rPr>
      </w:pPr>
    </w:p>
    <w:p>
      <w:pPr>
        <w:jc w:val="both"/>
        <w:ind w:right="160" w:firstLine="433"/>
        <w:spacing w:after="0" w:line="270" w:lineRule="auto"/>
        <w:rPr>
          <w:sz w:val="20"/>
          <w:szCs w:val="20"/>
          <w:color w:val="auto"/>
        </w:rPr>
      </w:pPr>
      <w:r>
        <w:rPr>
          <w:rFonts w:ascii="Times New Roman" w:cs="Times New Roman" w:eastAsia="Times New Roman" w:hAnsi="Times New Roman"/>
          <w:sz w:val="17"/>
          <w:szCs w:val="17"/>
          <w:color w:val="auto"/>
        </w:rPr>
        <w:t>The Company assesses annually whether there are any indicators that the value of the Company’s investments in unconsolidated real estate entities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69"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The Company evaluates goodwill for impairment at least annually and whenever events, circumstances, and other related factors indicate that the fair value of the related reporting unit may be less than the carrying value. If the fair value of the reporting unit is determined to exceed the aggregate carrying amount, no impairment charge is recorded. Otherwise, an impairment charge is recorded for the amount in which the fair value of the reporting unit exceeds the carrying value. No impairments of goodwill were recorded for any period presented herein.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252"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The carrying values of cash and cash equivalents, restricted cash, receivables, other financial instruments included in other assets, accounts payable and accrued expenses, variable-rate notes payable, investments in debt securities and notes receivable, lines of credit and other liabilities reflected in the condensed consolidated balance sheets at June 30, 2024 and December 31, 2023 approximate fair value. Restricted cash is comprised of funds deposited with financial institutions located throughout the United States primarily relating to operating cash reserve for the Company's captive insurance subsidiary and earnest money deposits on potential acquisitions.</w:t>
      </w:r>
    </w:p>
    <w:p>
      <w:pPr>
        <w:spacing w:after="0" w:line="198" w:lineRule="exact"/>
        <w:rPr>
          <w:sz w:val="20"/>
          <w:szCs w:val="20"/>
          <w:color w:val="auto"/>
        </w:rPr>
      </w:pPr>
    </w:p>
    <w:p>
      <w:pPr>
        <w:ind w:right="180" w:firstLine="433"/>
        <w:spacing w:after="0" w:line="277" w:lineRule="auto"/>
        <w:rPr>
          <w:sz w:val="20"/>
          <w:szCs w:val="20"/>
          <w:color w:val="auto"/>
        </w:rPr>
      </w:pPr>
      <w:r>
        <w:rPr>
          <w:rFonts w:ascii="Times New Roman" w:cs="Times New Roman" w:eastAsia="Times New Roman" w:hAnsi="Times New Roman"/>
          <w:sz w:val="17"/>
          <w:szCs w:val="17"/>
          <w:color w:val="auto"/>
        </w:rPr>
        <w:t>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fair values of the Company’s fixed-rate liabilities were as follows for the periods indicated: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Pr>
          <w:p>
            <w:pPr>
              <w:spacing w:after="0"/>
              <w:rPr>
                <w:sz w:val="18"/>
                <w:szCs w:val="18"/>
                <w:color w:val="auto"/>
              </w:rPr>
            </w:pPr>
          </w:p>
        </w:tc>
        <w:tc>
          <w:tcPr>
            <w:tcW w:w="2660" w:type="dxa"/>
            <w:vAlign w:val="bottom"/>
            <w:gridSpan w:val="4"/>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66"/>
        </w:trPr>
        <w:tc>
          <w:tcPr>
            <w:tcW w:w="5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20"/>
              <w:spacing w:after="0" w:line="166" w:lineRule="exact"/>
              <w:rPr>
                <w:sz w:val="20"/>
                <w:szCs w:val="20"/>
                <w:color w:val="auto"/>
              </w:rPr>
            </w:pPr>
            <w:r>
              <w:rPr>
                <w:rFonts w:ascii="Times New Roman" w:cs="Times New Roman" w:eastAsia="Times New Roman" w:hAnsi="Times New Roman"/>
                <w:sz w:val="17"/>
                <w:szCs w:val="17"/>
                <w:b w:val="1"/>
                <w:bCs w:val="1"/>
                <w:color w:val="auto"/>
              </w:rPr>
              <w:t>Fair</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13"/>
              <w:spacing w:after="0" w:line="166"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240"/>
              <w:spacing w:after="0" w:line="166" w:lineRule="exact"/>
              <w:rPr>
                <w:sz w:val="20"/>
                <w:szCs w:val="20"/>
                <w:color w:val="auto"/>
              </w:rPr>
            </w:pPr>
            <w:r>
              <w:rPr>
                <w:rFonts w:ascii="Times New Roman" w:cs="Times New Roman" w:eastAsia="Times New Roman" w:hAnsi="Times New Roman"/>
                <w:sz w:val="17"/>
                <w:szCs w:val="17"/>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3"/>
              <w:spacing w:after="0" w:line="166" w:lineRule="exact"/>
              <w:rPr>
                <w:sz w:val="20"/>
                <w:szCs w:val="20"/>
                <w:color w:val="auto"/>
              </w:rPr>
            </w:pPr>
            <w:r>
              <w:rPr>
                <w:rFonts w:ascii="Times New Roman" w:cs="Times New Roman" w:eastAsia="Times New Roman" w:hAnsi="Times New Roman"/>
                <w:sz w:val="17"/>
                <w:szCs w:val="17"/>
                <w:b w:val="1"/>
                <w:bCs w:val="1"/>
                <w:color w:val="auto"/>
              </w:rPr>
              <w:t>Carrying</w:t>
            </w:r>
          </w:p>
        </w:tc>
      </w:tr>
      <w:tr>
        <w:trPr>
          <w:trHeight w:val="233"/>
        </w:trPr>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20" w:type="dxa"/>
            <w:vAlign w:val="bottom"/>
          </w:tcPr>
          <w:p>
            <w:pPr>
              <w:spacing w:after="0"/>
              <w:rPr>
                <w:sz w:val="20"/>
                <w:szCs w:val="20"/>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1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rate debt</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8,052,960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8,604,553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7,482,054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8,048,605</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7940" w:firstLine="5"/>
        <w:spacing w:after="0" w:line="540" w:lineRule="auto"/>
        <w:tabs>
          <w:tab w:leader="none" w:pos="29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AND DISPOSITIONS The Life Storage Merger</w:t>
      </w:r>
    </w:p>
    <w:p>
      <w:pPr>
        <w:spacing w:after="0" w:line="1" w:lineRule="exact"/>
        <w:rPr>
          <w:sz w:val="20"/>
          <w:szCs w:val="20"/>
          <w:color w:val="auto"/>
        </w:rPr>
      </w:pPr>
    </w:p>
    <w:p>
      <w:pPr>
        <w:ind w:right="80" w:firstLine="433"/>
        <w:spacing w:after="0" w:line="262" w:lineRule="auto"/>
        <w:rPr>
          <w:sz w:val="20"/>
          <w:szCs w:val="20"/>
          <w:color w:val="auto"/>
        </w:rPr>
      </w:pPr>
      <w:r>
        <w:rPr>
          <w:rFonts w:ascii="Times New Roman" w:cs="Times New Roman" w:eastAsia="Times New Roman" w:hAnsi="Times New Roman"/>
          <w:sz w:val="17"/>
          <w:szCs w:val="17"/>
          <w:color w:val="auto"/>
        </w:rPr>
        <w:t>On July 20, 2023, the Company closed its merger with Life Storage (the “Life Storage Merger”), which included 757 wholly-owned stores and one consolidated joint venture store. Under the terms of the Life Storage Merger, Life Storage stockholders and holders of units of the Life Storage operating partnership received 0.895 of a share of common stock (or OP Unit, as applicable) of the Company for each issued and outstanding share (or operating partnership unit) of Life Storage they owned for total equity consideration of $11,602,808, based on the Company's closing share price on July 19, 2023. At closing, the Company retired $1,160,000 in balances on Life Storage's line of credit which included $375,000 that Life Storage used to pay off its private placement notes in connection with the closing of the Life Storage Merger. The Company also paid off $32,000 in secured loans. On July 25, 2023, the Company completed obligor exchange offers and consent solicitations (together the “Exchange Offers”) related to Life Storage's various senior notes. Upon the closing of the Exchange Offers, a total of $2,351,100 of Life Storage's senior notes were exchanged for senior notes of the same tenor of Extra Space Storage L.P. The remaining Life Storage senior note balances which were not exchanged total $48,900 and no longer have any financial reporting requirements or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Consideration and Purchase Price Allocation</w:t>
      </w:r>
    </w:p>
    <w:p>
      <w:pPr>
        <w:spacing w:after="0" w:line="305" w:lineRule="exact"/>
        <w:rPr>
          <w:sz w:val="20"/>
          <w:szCs w:val="20"/>
          <w:color w:val="auto"/>
        </w:rPr>
      </w:pPr>
    </w:p>
    <w:p>
      <w:pPr>
        <w:ind w:right="60" w:firstLine="629"/>
        <w:spacing w:after="0" w:line="277" w:lineRule="auto"/>
        <w:rPr>
          <w:sz w:val="20"/>
          <w:szCs w:val="20"/>
          <w:color w:val="auto"/>
        </w:rPr>
      </w:pPr>
      <w:r>
        <w:rPr>
          <w:rFonts w:ascii="Times New Roman" w:cs="Times New Roman" w:eastAsia="Times New Roman" w:hAnsi="Times New Roman"/>
          <w:sz w:val="17"/>
          <w:szCs w:val="17"/>
          <w:color w:val="auto"/>
        </w:rPr>
        <w:t>The Life Storage Merger was accounted for as an asset acquisition in accordance with ASC Topic 805 which requires that the cost of an acquisition be allocated on a relative fair value basis to the assets acquired and the liabilities assumed. The following table summarizes the fair value of total consideration transferred in the Life Storage Merger:</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Consideration Type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July 20, 2023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Common stock</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11,353,338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 units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for payoff of Life Storage credit facility and debt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Transaction Costs</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consideration</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12,850,127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The following table summarizes the estimated fair values assigned to the assets acquired and liabilities assumed:</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82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60" w:type="dxa"/>
            <w:vAlign w:val="bottom"/>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5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July 20, 2023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14,587,735</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investment in joint venture partnerships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325,250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other assets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107,423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 other</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82,000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Unsecured senior notes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(2,106,866)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(191,077)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(4,338)</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of 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12,850,127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w:t>
      </w:r>
    </w:p>
    <w:p>
      <w:pPr>
        <w:spacing w:after="0" w:line="252" w:lineRule="exact"/>
        <w:rPr>
          <w:sz w:val="20"/>
          <w:szCs w:val="20"/>
          <w:color w:val="auto"/>
        </w:rPr>
      </w:pPr>
    </w:p>
    <w:p>
      <w:pPr>
        <w:ind w:right="240" w:firstLine="433"/>
        <w:spacing w:after="0" w:line="277" w:lineRule="auto"/>
        <w:rPr>
          <w:sz w:val="20"/>
          <w:szCs w:val="20"/>
          <w:color w:val="auto"/>
        </w:rPr>
      </w:pPr>
      <w:r>
        <w:rPr>
          <w:rFonts w:ascii="Times New Roman" w:cs="Times New Roman" w:eastAsia="Times New Roman" w:hAnsi="Times New Roman"/>
          <w:sz w:val="17"/>
          <w:szCs w:val="17"/>
          <w:color w:val="auto"/>
        </w:rPr>
        <w:t>The estimated fair values of assets acquired and liabilities assumed were primarily based on information that was available as of the closing date of the Life Storage Merger. The methodology used to estimate the fair values to apply purchase accounting and the ongoing financial statement impact, if any, are summarized below.</w:t>
      </w:r>
    </w:p>
    <w:p>
      <w:pPr>
        <w:spacing w:after="0" w:line="241" w:lineRule="exact"/>
        <w:rPr>
          <w:sz w:val="20"/>
          <w:szCs w:val="20"/>
          <w:color w:val="auto"/>
        </w:rPr>
      </w:pPr>
    </w:p>
    <w:p>
      <w:pPr>
        <w:ind w:left="480" w:right="20" w:hanging="318"/>
        <w:spacing w:after="0" w:line="270"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assets – Real estate assets acquired were recorded at fair value using standard valuation methodologies, including the cost and market approaches. The remaining useful lives for real estate assets, excluding land, were reset to 39 years. Tenant relationships for storage leases were recorded at fair value based on estimated costs the Company avoided to replace them. Tenant relationships are amortized to expense over 18 months, which is based on the Company’s historical experience with turnover in its stores.</w:t>
      </w:r>
    </w:p>
    <w:p>
      <w:pPr>
        <w:spacing w:after="0" w:line="12" w:lineRule="exact"/>
        <w:rPr>
          <w:rFonts w:ascii="Times New Roman" w:cs="Times New Roman" w:eastAsia="Times New Roman" w:hAnsi="Times New Roman"/>
          <w:sz w:val="17"/>
          <w:szCs w:val="17"/>
          <w:color w:val="auto"/>
        </w:rPr>
      </w:pPr>
    </w:p>
    <w:p>
      <w:pPr>
        <w:ind w:left="480" w:right="880" w:hanging="318"/>
        <w:spacing w:after="0" w:line="289"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investment in joint venture partnerships - Equity investment in joint venture partnerships were recorded at fair value based on a direct capitalization of net operating income.</w:t>
      </w:r>
    </w:p>
    <w:p>
      <w:pPr>
        <w:spacing w:after="0" w:line="1" w:lineRule="exact"/>
        <w:rPr>
          <w:rFonts w:ascii="Times New Roman" w:cs="Times New Roman" w:eastAsia="Times New Roman" w:hAnsi="Times New Roman"/>
          <w:sz w:val="17"/>
          <w:szCs w:val="17"/>
          <w:color w:val="auto"/>
        </w:rPr>
      </w:pPr>
    </w:p>
    <w:p>
      <w:pPr>
        <w:ind w:left="480" w:hanging="318"/>
        <w:spacing w:after="0" w:line="277"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Intangible assets - other – Customer relationships relating to tenant reinsurance contracts were recorded at fair value based on the income approach which estimates the potential revenue loss the Company avoided to replace them. These assets are amortized to expense over 36 months, which is based on the Company’s historical experience with average length of stay for tenants.</w:t>
      </w:r>
    </w:p>
    <w:p>
      <w:pPr>
        <w:spacing w:after="0" w:line="5" w:lineRule="exact"/>
        <w:rPr>
          <w:rFonts w:ascii="Times New Roman" w:cs="Times New Roman" w:eastAsia="Times New Roman" w:hAnsi="Times New Roman"/>
          <w:sz w:val="17"/>
          <w:szCs w:val="17"/>
          <w:color w:val="auto"/>
        </w:rPr>
      </w:pPr>
    </w:p>
    <w:p>
      <w:pPr>
        <w:ind w:left="480" w:right="200" w:hanging="318"/>
        <w:spacing w:after="0" w:line="270"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name – Trade names were recorded at fair value based on royalty payments avoided had the trade name been owned by a third party. This is determined using market royalty rates and a discounted cash flow analysis under the relief-from-royalty method. This method incorporates various assumptions, including projected revenue growth rates, the terminal growth rate, the royalty rate to be applied, and the discount rate utilized. The trade name is an indefinite lived asset and as such is not amortized.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42" w:lineRule="exact"/>
        <w:rPr>
          <w:sz w:val="20"/>
          <w:szCs w:val="20"/>
          <w:color w:val="auto"/>
        </w:rPr>
      </w:pPr>
    </w:p>
    <w:p>
      <w:pPr>
        <w:ind w:left="480" w:right="140" w:hanging="318"/>
        <w:spacing w:after="0" w:line="277" w:lineRule="auto"/>
        <w:tabs>
          <w:tab w:leader="none" w:pos="4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senior notes – Unsecured senior notes were recorded at fair value using readily available market data. The below-market value of debt is recorded as a debt discount and reported as a reduction of the unsecured senior notes balance on the condensed consolidated balance sheets. The discount is amortized using effective interest method as an increase to interest expense over the remaining terms of the unsecured senior notes.</w:t>
      </w:r>
    </w:p>
    <w:p>
      <w:pPr>
        <w:spacing w:after="0" w:line="5" w:lineRule="exact"/>
        <w:rPr>
          <w:rFonts w:ascii="Times New Roman" w:cs="Times New Roman" w:eastAsia="Times New Roman" w:hAnsi="Times New Roman"/>
          <w:sz w:val="17"/>
          <w:szCs w:val="17"/>
          <w:color w:val="auto"/>
        </w:rPr>
      </w:pPr>
    </w:p>
    <w:p>
      <w:pPr>
        <w:ind w:left="480" w:right="400" w:hanging="318"/>
        <w:spacing w:after="0" w:line="297" w:lineRule="auto"/>
        <w:tabs>
          <w:tab w:leader="none" w:pos="4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assets and liabilities – the carrying values of cash, accounts receivable, prepaids and other assets, accounts payable, accrued expenses and other liabilities represented the fair values.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Store Acquisitions</w:t>
      </w:r>
    </w:p>
    <w:p>
      <w:pPr>
        <w:spacing w:after="0" w:line="252" w:lineRule="exact"/>
        <w:rPr>
          <w:sz w:val="20"/>
          <w:szCs w:val="20"/>
          <w:color w:val="auto"/>
        </w:rPr>
      </w:pPr>
    </w:p>
    <w:p>
      <w:pPr>
        <w:ind w:right="120" w:firstLine="433"/>
        <w:spacing w:after="0" w:line="271" w:lineRule="auto"/>
        <w:rPr>
          <w:sz w:val="20"/>
          <w:szCs w:val="20"/>
          <w:color w:val="auto"/>
        </w:rPr>
      </w:pPr>
      <w:r>
        <w:rPr>
          <w:rFonts w:ascii="Times New Roman" w:cs="Times New Roman" w:eastAsia="Times New Roman" w:hAnsi="Times New Roman"/>
          <w:sz w:val="17"/>
          <w:szCs w:val="17"/>
          <w:color w:val="auto"/>
        </w:rPr>
        <w:t>The following table shows the Company’s acquisitions of stores for the three and six months ended June 30, 2024 and 2023. The table excludes purchases of raw land and improvements made to existing assets. All store acquisitions are considered asset acquisitions under ASU 2017-01,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805): Clarifying the Definition of a Business</w:t>
      </w:r>
      <w:r>
        <w:rPr>
          <w:rFonts w:ascii="Times New Roman" w:cs="Times New Roman" w:eastAsia="Times New Roman" w:hAnsi="Times New Roman"/>
          <w:sz w:val="17"/>
          <w:szCs w:val="17"/>
          <w:color w:val="auto"/>
        </w:rPr>
        <w:t>.”</w:t>
      </w:r>
    </w:p>
    <w:tbl>
      <w:tblPr>
        <w:tblLayout w:type="fixed"/>
        <w:tblInd w:w="44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11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Finance Lease</w:t>
            </w:r>
          </w:p>
        </w:tc>
        <w:tc>
          <w:tcPr>
            <w:tcW w:w="27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Investments in Real  Net Liabilities/ (Assets)</w:t>
            </w:r>
          </w:p>
        </w:tc>
        <w:tc>
          <w:tcPr>
            <w:tcW w:w="2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Equity Issued Real estate as</w:t>
            </w:r>
          </w:p>
        </w:tc>
        <w:tc>
          <w:tcPr>
            <w:tcW w:w="0" w:type="dxa"/>
            <w:vAlign w:val="bottom"/>
          </w:tcPr>
          <w:p>
            <w:pPr>
              <w:spacing w:after="0"/>
              <w:rPr>
                <w:sz w:val="1"/>
                <w:szCs w:val="1"/>
                <w:color w:val="auto"/>
              </w:rPr>
            </w:pPr>
          </w:p>
        </w:tc>
      </w:tr>
      <w:tr>
        <w:trPr>
          <w:trHeight w:val="190"/>
        </w:trPr>
        <w:tc>
          <w:tcPr>
            <w:tcW w:w="20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Estate Ventures</w:t>
            </w:r>
          </w:p>
        </w:tc>
        <w:tc>
          <w:tcPr>
            <w:tcW w:w="11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3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Q2 2024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27,644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6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08"/>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Q1 2024</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35,084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2024</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62,728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 $</w:t>
            </w:r>
          </w:p>
        </w:tc>
        <w:tc>
          <w:tcPr>
            <w:tcW w:w="16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w:t>
            </w:r>
          </w:p>
        </w:tc>
        <w:tc>
          <w:tcPr>
            <w:tcW w:w="66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 $</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Q2 2023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32,888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8"/>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Q1 2023</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13,111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4"/>
        </w:trPr>
        <w:tc>
          <w:tcPr>
            <w:tcW w:w="200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Total 2023</w:t>
            </w:r>
          </w:p>
        </w:tc>
        <w:tc>
          <w:tcPr>
            <w:tcW w:w="1060" w:type="dxa"/>
            <w:vAlign w:val="bottom"/>
            <w:tcBorders>
              <w:bottom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1"/>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shd w:val="clear" w:color="auto" w:fill="CCEEFF"/>
          </w:tcPr>
          <w:p>
            <w:pPr>
              <w:jc w:val="right"/>
              <w:ind w:right="3"/>
              <w:spacing w:after="0" w:line="178" w:lineRule="exact"/>
              <w:rPr>
                <w:sz w:val="20"/>
                <w:szCs w:val="20"/>
                <w:color w:val="auto"/>
              </w:rPr>
            </w:pPr>
            <w:r>
              <w:rPr>
                <w:rFonts w:ascii="Times New Roman" w:cs="Times New Roman" w:eastAsia="Times New Roman" w:hAnsi="Times New Roman"/>
                <w:sz w:val="16"/>
                <w:szCs w:val="16"/>
                <w:b w:val="1"/>
                <w:bCs w:val="1"/>
                <w:color w:val="auto"/>
              </w:rPr>
              <w:t>45,999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ind w:left="600"/>
              <w:spacing w:after="0" w:line="178" w:lineRule="exact"/>
              <w:rPr>
                <w:sz w:val="20"/>
                <w:szCs w:val="20"/>
                <w:color w:val="auto"/>
              </w:rPr>
            </w:pPr>
            <w:r>
              <w:rPr>
                <w:rFonts w:ascii="Times New Roman" w:cs="Times New Roman" w:eastAsia="Times New Roman" w:hAnsi="Times New Roman"/>
                <w:sz w:val="16"/>
                <w:szCs w:val="16"/>
                <w:b w:val="1"/>
                <w:bCs w:val="1"/>
                <w:color w:val="auto"/>
              </w:rPr>
              <w:t>— $</w:t>
            </w:r>
          </w:p>
        </w:tc>
        <w:tc>
          <w:tcPr>
            <w:tcW w:w="1600" w:type="dxa"/>
            <w:vAlign w:val="bottom"/>
            <w:tcBorders>
              <w:bottom w:val="single" w:sz="8" w:color="auto"/>
            </w:tcBorders>
            <w:shd w:val="clear" w:color="auto" w:fill="CCEEFF"/>
          </w:tcPr>
          <w:p>
            <w:pPr>
              <w:ind w:left="1100"/>
              <w:spacing w:after="0" w:line="178" w:lineRule="exact"/>
              <w:rPr>
                <w:sz w:val="20"/>
                <w:szCs w:val="20"/>
                <w:color w:val="auto"/>
              </w:rPr>
            </w:pPr>
            <w:r>
              <w:rPr>
                <w:rFonts w:ascii="Times New Roman" w:cs="Times New Roman" w:eastAsia="Times New Roman" w:hAnsi="Times New Roman"/>
                <w:sz w:val="16"/>
                <w:szCs w:val="16"/>
                <w:b w:val="1"/>
                <w:bCs w:val="1"/>
                <w:color w:val="auto"/>
              </w:rPr>
              <w:t>— $</w:t>
            </w:r>
          </w:p>
        </w:tc>
        <w:tc>
          <w:tcPr>
            <w:tcW w:w="11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32</w:t>
            </w:r>
          </w:p>
        </w:tc>
        <w:tc>
          <w:tcPr>
            <w:tcW w:w="660" w:type="dxa"/>
            <w:vAlign w:val="bottom"/>
            <w:tcBorders>
              <w:bottom w:val="single" w:sz="8" w:color="auto"/>
            </w:tcBorders>
            <w:shd w:val="clear" w:color="auto" w:fill="CCEEFF"/>
          </w:tcPr>
          <w:p>
            <w:pPr>
              <w:jc w:val="right"/>
              <w:ind w:right="483"/>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ind w:left="560"/>
              <w:spacing w:after="0" w:line="178" w:lineRule="exact"/>
              <w:rPr>
                <w:sz w:val="20"/>
                <w:szCs w:val="20"/>
                <w:color w:val="auto"/>
              </w:rPr>
            </w:pPr>
            <w:r>
              <w:rPr>
                <w:rFonts w:ascii="Times New Roman" w:cs="Times New Roman" w:eastAsia="Times New Roman" w:hAnsi="Times New Roman"/>
                <w:sz w:val="16"/>
                <w:szCs w:val="16"/>
                <w:b w:val="1"/>
                <w:bCs w:val="1"/>
                <w:color w:val="auto"/>
              </w:rPr>
              <w:t>— $</w:t>
            </w:r>
          </w:p>
        </w:tc>
        <w:tc>
          <w:tcPr>
            <w:tcW w:w="6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46,0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5.</w:t>
        <w:tab/>
        <w:t>REAL ESTATE ASSETS</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real estate assets are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4,903,843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4,904,705</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improvements and other intangibles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21,803,131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21,664,224</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use asset - finance lease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143,842</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 tenant relationships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321,019</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lease rights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27,743</w:t>
            </w:r>
          </w:p>
        </w:tc>
      </w:tr>
      <w:tr>
        <w:trPr>
          <w:trHeight w:val="216"/>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27,197,669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27,061,533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(2,984,371)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(2,624,405)</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operating real estate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24,213,298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24,437,128</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under development/redevelopment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118,745</w:t>
            </w:r>
          </w:p>
        </w:tc>
      </w:tr>
      <w:tr>
        <w:trPr>
          <w:trHeight w:val="216"/>
        </w:trPr>
        <w:tc>
          <w:tcPr>
            <w:tcW w:w="7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Real estate assets, net</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24,340,817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24,555,873</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assets held for sale included in real estate assets, net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70"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As of June 30, 2024, the Company had seven stores classified as held for sale. The estimated fair value less selling costs of these assets is less than the carrying value of the assets and, therefore, an estimated loss of $54,659 related to these assets has been recorded in Loss on real estate assets held for sale on the Company's condensed consolidated statements of operations for the three months ended June 30, 2024. Assets held for sale are included in the self-storage operations segment of the Company’s segment information.</w:t>
      </w: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6.</w:t>
        <w:tab/>
        <w:t>OTHER ASSETS</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other assets are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170,811</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134,716</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and deposits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85,153</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66,332</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interest rate swaps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26,183</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and fixtures,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48,697</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line of credit financing costs,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9,787</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6,021</w:t>
            </w:r>
          </w:p>
        </w:tc>
      </w:tr>
      <w:tr>
        <w:trPr>
          <w:trHeight w:val="216"/>
        </w:trPr>
        <w:tc>
          <w:tcPr>
            <w:tcW w:w="76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617,631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597,700</w:t>
            </w: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7.</w:t>
        <w:tab/>
        <w:t>EARNINGS PER COMMON SHARE</w:t>
      </w:r>
    </w:p>
    <w:p>
      <w:pPr>
        <w:spacing w:after="0" w:line="252" w:lineRule="exact"/>
        <w:rPr>
          <w:sz w:val="20"/>
          <w:szCs w:val="20"/>
          <w:color w:val="auto"/>
        </w:rPr>
      </w:pPr>
    </w:p>
    <w:p>
      <w:pPr>
        <w:ind w:right="20" w:firstLine="433"/>
        <w:spacing w:after="0" w:line="261" w:lineRule="auto"/>
        <w:rPr>
          <w:sz w:val="20"/>
          <w:szCs w:val="20"/>
          <w:color w:val="auto"/>
        </w:rPr>
      </w:pPr>
      <w:r>
        <w:rPr>
          <w:rFonts w:ascii="Times New Roman" w:cs="Times New Roman" w:eastAsia="Times New Roman" w:hAnsi="Times New Roman"/>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208"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w:t>
      </w:r>
    </w:p>
    <w:p>
      <w:pPr>
        <w:spacing w:after="0" w:line="196" w:lineRule="exact"/>
        <w:rPr>
          <w:sz w:val="20"/>
          <w:szCs w:val="20"/>
          <w:color w:val="auto"/>
        </w:rPr>
      </w:pPr>
    </w:p>
    <w:p>
      <w:pPr>
        <w:ind w:right="140" w:firstLine="433"/>
        <w:spacing w:after="0" w:line="270" w:lineRule="auto"/>
        <w:rPr>
          <w:sz w:val="20"/>
          <w:szCs w:val="20"/>
          <w:color w:val="auto"/>
        </w:rPr>
      </w:pPr>
      <w:r>
        <w:rPr>
          <w:rFonts w:ascii="Times New Roman" w:cs="Times New Roman" w:eastAsia="Times New Roman" w:hAnsi="Times New Roman"/>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June 30, 2024 and 2023 was $145.78 and $150.45, respectively.</w:t>
      </w:r>
    </w:p>
    <w:p>
      <w:pPr>
        <w:spacing w:after="0" w:line="196" w:lineRule="exact"/>
        <w:rPr>
          <w:sz w:val="20"/>
          <w:szCs w:val="20"/>
          <w:color w:val="auto"/>
        </w:rPr>
      </w:pPr>
    </w:p>
    <w:p>
      <w:pPr>
        <w:ind w:right="260" w:firstLine="433"/>
        <w:spacing w:after="0" w:line="297" w:lineRule="auto"/>
        <w:rPr>
          <w:sz w:val="20"/>
          <w:szCs w:val="20"/>
          <w:color w:val="auto"/>
        </w:rPr>
      </w:pPr>
      <w:r>
        <w:rPr>
          <w:rFonts w:ascii="Times New Roman" w:cs="Times New Roman" w:eastAsia="Times New Roman" w:hAnsi="Times New Roman"/>
          <w:sz w:val="17"/>
          <w:szCs w:val="17"/>
          <w:color w:val="auto"/>
        </w:rPr>
        <w:t>The following table presents the number of Common and Preferred Operating Partnership units as if converted into potential common shares that were excluded from the computation of earnings per share as their effect would have been anti-dilutive.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6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480" w:type="dxa"/>
            <w:vAlign w:val="bottom"/>
            <w:gridSpan w:val="3"/>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1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4"/>
        </w:trPr>
        <w:tc>
          <w:tcPr>
            <w:tcW w:w="414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32"/>
        </w:trPr>
        <w:tc>
          <w:tcPr>
            <w:tcW w:w="4140" w:type="dxa"/>
            <w:vAlign w:val="bottom"/>
          </w:tcPr>
          <w:p>
            <w:pPr>
              <w:spacing w:after="0"/>
              <w:rPr>
                <w:sz w:val="11"/>
                <w:szCs w:val="11"/>
                <w:color w:val="auto"/>
              </w:rPr>
            </w:pPr>
          </w:p>
        </w:tc>
        <w:tc>
          <w:tcPr>
            <w:tcW w:w="164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8"/>
              </w:rPr>
              <w:t>Equivalent Shares (if</w:t>
            </w:r>
          </w:p>
        </w:tc>
        <w:tc>
          <w:tcPr>
            <w:tcW w:w="100" w:type="dxa"/>
            <w:vAlign w:val="bottom"/>
          </w:tcPr>
          <w:p>
            <w:pPr>
              <w:spacing w:after="0"/>
              <w:rPr>
                <w:sz w:val="11"/>
                <w:szCs w:val="11"/>
                <w:color w:val="auto"/>
              </w:rPr>
            </w:pPr>
          </w:p>
        </w:tc>
        <w:tc>
          <w:tcPr>
            <w:tcW w:w="17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Equivalent Shares (if</w:t>
            </w:r>
          </w:p>
        </w:tc>
        <w:tc>
          <w:tcPr>
            <w:tcW w:w="180" w:type="dxa"/>
            <w:vAlign w:val="bottom"/>
          </w:tcPr>
          <w:p>
            <w:pPr>
              <w:spacing w:after="0"/>
              <w:rPr>
                <w:sz w:val="11"/>
                <w:szCs w:val="11"/>
                <w:color w:val="auto"/>
              </w:rPr>
            </w:pPr>
          </w:p>
        </w:tc>
        <w:tc>
          <w:tcPr>
            <w:tcW w:w="16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8"/>
              </w:rPr>
              <w:t>Equivalent Shares (if</w:t>
            </w:r>
          </w:p>
        </w:tc>
        <w:tc>
          <w:tcPr>
            <w:tcW w:w="120" w:type="dxa"/>
            <w:vAlign w:val="bottom"/>
          </w:tcPr>
          <w:p>
            <w:pPr>
              <w:spacing w:after="0"/>
              <w:rPr>
                <w:sz w:val="11"/>
                <w:szCs w:val="11"/>
                <w:color w:val="auto"/>
              </w:rPr>
            </w:pPr>
          </w:p>
        </w:tc>
        <w:tc>
          <w:tcPr>
            <w:tcW w:w="16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Equivalent Shares (if</w:t>
            </w:r>
          </w:p>
        </w:tc>
      </w:tr>
      <w:tr>
        <w:trPr>
          <w:trHeight w:val="190"/>
        </w:trPr>
        <w:tc>
          <w:tcPr>
            <w:tcW w:w="414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converted)</w:t>
            </w:r>
          </w:p>
        </w:tc>
      </w:tr>
      <w:tr>
        <w:trPr>
          <w:trHeight w:val="21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OP Units</w:t>
            </w:r>
          </w:p>
        </w:tc>
        <w:tc>
          <w:tcPr>
            <w:tcW w:w="1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8,621,889</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B Units</w:t>
            </w:r>
          </w:p>
        </w:tc>
        <w:tc>
          <w:tcPr>
            <w:tcW w:w="1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230,266</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223,118</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230,250</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218,259</w:t>
            </w:r>
          </w:p>
        </w:tc>
      </w:tr>
      <w:tr>
        <w:trPr>
          <w:trHeight w:val="21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D Units</w:t>
            </w:r>
          </w:p>
        </w:tc>
        <w:tc>
          <w:tcPr>
            <w:tcW w:w="1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1,160,861</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1,216,866</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40" w:type="dxa"/>
            <w:vAlign w:val="bottom"/>
          </w:tcPr>
          <w:p>
            <w:pPr>
              <w:spacing w:after="0"/>
              <w:rPr>
                <w:sz w:val="17"/>
                <w:szCs w:val="17"/>
                <w:color w:val="auto"/>
              </w:rPr>
            </w:pPr>
          </w:p>
        </w:tc>
        <w:tc>
          <w:tcPr>
            <w:tcW w:w="1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10,013,016</w:t>
            </w:r>
          </w:p>
        </w:tc>
        <w:tc>
          <w:tcPr>
            <w:tcW w:w="1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223,118</w:t>
            </w:r>
          </w:p>
        </w:tc>
        <w:tc>
          <w:tcPr>
            <w:tcW w:w="18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1,447,116</w:t>
            </w:r>
          </w:p>
        </w:tc>
        <w:tc>
          <w:tcPr>
            <w:tcW w:w="12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218,259</w:t>
            </w:r>
          </w:p>
        </w:tc>
      </w:tr>
      <w:tr>
        <w:trPr>
          <w:trHeight w:val="21"/>
        </w:trPr>
        <w:tc>
          <w:tcPr>
            <w:tcW w:w="4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computation of earnings per common share is as follows for the periods presented:</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30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398,984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398,714</w:t>
            </w:r>
          </w:p>
        </w:tc>
        <w:tc>
          <w:tcPr>
            <w:tcW w:w="0" w:type="dxa"/>
            <w:vAlign w:val="bottom"/>
          </w:tcPr>
          <w:p>
            <w:pPr>
              <w:spacing w:after="0"/>
              <w:rPr>
                <w:sz w:val="1"/>
                <w:szCs w:val="1"/>
                <w:color w:val="auto"/>
              </w:rPr>
            </w:pPr>
          </w:p>
        </w:tc>
      </w:tr>
      <w:tr>
        <w:trPr>
          <w:trHeight w:val="208"/>
        </w:trPr>
        <w:tc>
          <w:tcPr>
            <w:tcW w:w="6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Earnings and dividends allocated to participating securities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20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for basic computations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398,234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398,087</w:t>
            </w:r>
          </w:p>
        </w:tc>
        <w:tc>
          <w:tcPr>
            <w:tcW w:w="0" w:type="dxa"/>
            <w:vAlign w:val="bottom"/>
          </w:tcPr>
          <w:p>
            <w:pPr>
              <w:spacing w:after="0"/>
              <w:rPr>
                <w:sz w:val="1"/>
                <w:szCs w:val="1"/>
                <w:color w:val="auto"/>
              </w:rPr>
            </w:pPr>
          </w:p>
        </w:tc>
      </w:tr>
      <w:tr>
        <w:trPr>
          <w:trHeight w:val="208"/>
        </w:trPr>
        <w:tc>
          <w:tcPr>
            <w:tcW w:w="6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Earnings and dividends allocated to participating securities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159"/>
        </w:trPr>
        <w:tc>
          <w:tcPr>
            <w:tcW w:w="6000" w:type="dxa"/>
            <w:vAlign w:val="bottom"/>
            <w:shd w:val="clear" w:color="auto" w:fill="CCEEFF"/>
          </w:tcPr>
          <w:p>
            <w:pPr>
              <w:ind w:left="480"/>
              <w:spacing w:after="0" w:line="159" w:lineRule="exact"/>
              <w:rPr>
                <w:sz w:val="20"/>
                <w:szCs w:val="20"/>
                <w:color w:val="auto"/>
              </w:rPr>
            </w:pPr>
            <w:r>
              <w:rPr>
                <w:rFonts w:ascii="Times New Roman" w:cs="Times New Roman" w:eastAsia="Times New Roman" w:hAnsi="Times New Roman"/>
                <w:sz w:val="16"/>
                <w:szCs w:val="16"/>
                <w:color w:val="auto"/>
                <w:w w:val="98"/>
              </w:rPr>
              <w:t>Income allocated to noncontrolling interest - Preferred Operating Partnership Units and</w:t>
            </w:r>
          </w:p>
        </w:tc>
        <w:tc>
          <w:tcPr>
            <w:tcW w:w="1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16,336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24,569</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Partnership Units</w:t>
            </w: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for diluted computations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185,476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214,851</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414,570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423,283</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Average number of common shares outstanding - basic</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211,584,155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134,832,232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211,433,877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134,672,672</w:t>
            </w:r>
          </w:p>
        </w:tc>
        <w:tc>
          <w:tcPr>
            <w:tcW w:w="0" w:type="dxa"/>
            <w:vAlign w:val="bottom"/>
          </w:tcPr>
          <w:p>
            <w:pPr>
              <w:spacing w:after="0"/>
              <w:rPr>
                <w:sz w:val="1"/>
                <w:szCs w:val="1"/>
                <w:color w:val="auto"/>
              </w:rPr>
            </w:pPr>
          </w:p>
        </w:tc>
      </w:tr>
      <w:tr>
        <w:trPr>
          <w:trHeight w:val="208"/>
        </w:trPr>
        <w:tc>
          <w:tcPr>
            <w:tcW w:w="6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 Units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7,214,649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8,676,813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7,214,649</w:t>
            </w:r>
          </w:p>
        </w:tc>
        <w:tc>
          <w:tcPr>
            <w:tcW w:w="0" w:type="dxa"/>
            <w:vAlign w:val="bottom"/>
          </w:tcPr>
          <w:p>
            <w:pPr>
              <w:spacing w:after="0"/>
              <w:rPr>
                <w:sz w:val="1"/>
                <w:szCs w:val="1"/>
                <w:color w:val="auto"/>
              </w:rPr>
            </w:pPr>
          </w:p>
        </w:tc>
      </w:tr>
      <w:tr>
        <w:trPr>
          <w:trHeight w:val="212"/>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Series D Units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1,257,366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1,233,178</w:t>
            </w:r>
          </w:p>
        </w:tc>
        <w:tc>
          <w:tcPr>
            <w:tcW w:w="0" w:type="dxa"/>
            <w:vAlign w:val="bottom"/>
          </w:tcPr>
          <w:p>
            <w:pPr>
              <w:spacing w:after="0"/>
              <w:rPr>
                <w:sz w:val="1"/>
                <w:szCs w:val="1"/>
                <w:color w:val="auto"/>
              </w:rPr>
            </w:pPr>
          </w:p>
        </w:tc>
      </w:tr>
      <w:tr>
        <w:trPr>
          <w:trHeight w:val="208"/>
        </w:trPr>
        <w:tc>
          <w:tcPr>
            <w:tcW w:w="6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Unvested restricted stock awards included for treasury stock method</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212,723</w:t>
            </w:r>
          </w:p>
        </w:tc>
        <w:tc>
          <w:tcPr>
            <w:tcW w:w="0" w:type="dxa"/>
            <w:vAlign w:val="bottom"/>
          </w:tcPr>
          <w:p>
            <w:pPr>
              <w:spacing w:after="0"/>
              <w:rPr>
                <w:sz w:val="1"/>
                <w:szCs w:val="1"/>
                <w:color w:val="auto"/>
              </w:rPr>
            </w:pPr>
          </w:p>
        </w:tc>
      </w:tr>
      <w:tr>
        <w:trPr>
          <w:trHeight w:val="212"/>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Shares related to dilutive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3,326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4,300</w:t>
            </w:r>
          </w:p>
        </w:tc>
        <w:tc>
          <w:tcPr>
            <w:tcW w:w="0" w:type="dxa"/>
            <w:vAlign w:val="bottom"/>
          </w:tcPr>
          <w:p>
            <w:pPr>
              <w:spacing w:after="0"/>
              <w:rPr>
                <w:sz w:val="1"/>
                <w:szCs w:val="1"/>
                <w:color w:val="auto"/>
              </w:rPr>
            </w:pPr>
          </w:p>
        </w:tc>
      </w:tr>
      <w:tr>
        <w:trPr>
          <w:trHeight w:val="201"/>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number of common shares outstanding - diluted</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211,587,105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143,529,817</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220,114,016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143,337,522</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00" w:type="dxa"/>
            <w:vAlign w:val="bottom"/>
            <w:shd w:val="clear" w:color="auto" w:fill="CCEEFF"/>
          </w:tcPr>
          <w:p>
            <w:pPr>
              <w:ind w:left="480"/>
              <w:spacing w:after="0" w:line="178" w:lineRule="exact"/>
              <w:rPr>
                <w:sz w:val="20"/>
                <w:szCs w:val="20"/>
                <w:color w:val="auto"/>
              </w:rPr>
            </w:pPr>
            <w:r>
              <w:rPr>
                <w:rFonts w:ascii="Times New Roman" w:cs="Times New Roman" w:eastAsia="Times New Roman" w:hAnsi="Times New Roman"/>
                <w:sz w:val="16"/>
                <w:szCs w:val="16"/>
                <w:color w:val="auto"/>
              </w:rPr>
              <w:t>Earnings per common share</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2"/>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8.</w:t>
        <w:tab/>
        <w:t>INVESTMENTS IN UNCONSOLIDATED REAL ESTATE ENTITIES</w:t>
      </w:r>
    </w:p>
    <w:p>
      <w:pPr>
        <w:spacing w:after="0" w:line="226"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Investments in unconsolidated real estate entities and cash distributions in unconsolidated real estate ventures represent the Company's interest in preferred stock of SmartStop Self Storage REIT, Inc. (“SmartStop”) and Strategic Storage Trust VI, Inc. (“Strategic Storage”), an affiliate of SmartStop, and the Company's noncontrolling interest in real estate joint ventures. The Company accounts for its investments in SmartStop and Strategic Storage preferred stock, which do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4" w:lineRule="exact"/>
        <w:rPr>
          <w:sz w:val="20"/>
          <w:szCs w:val="20"/>
          <w:color w:val="auto"/>
        </w:rPr>
      </w:pPr>
    </w:p>
    <w:p>
      <w:pPr>
        <w:ind w:right="140" w:firstLine="433"/>
        <w:spacing w:after="0" w:line="277" w:lineRule="auto"/>
        <w:rPr>
          <w:sz w:val="20"/>
          <w:szCs w:val="20"/>
          <w:color w:val="auto"/>
        </w:rPr>
      </w:pPr>
      <w:r>
        <w:rPr>
          <w:rFonts w:ascii="Times New Roman" w:cs="Times New Roman" w:eastAsia="Times New Roman" w:hAnsi="Times New Roman"/>
          <w:sz w:val="17"/>
          <w:szCs w:val="17"/>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90"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investments in unconsolidated real estate entities and cash distributions in unconsolidated real estate ventures consist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50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 xml:space="preserve">Excess Profit % </w:t>
            </w:r>
            <w:r>
              <w:rPr>
                <w:rFonts w:ascii="Times New Roman" w:cs="Times New Roman" w:eastAsia="Times New Roman" w:hAnsi="Times New Roman"/>
                <w:sz w:val="18"/>
                <w:szCs w:val="18"/>
                <w:b w:val="1"/>
                <w:bCs w:val="1"/>
                <w:color w:val="auto"/>
                <w:w w:val="95"/>
                <w:vertAlign w:val="superscript"/>
              </w:rPr>
              <w:t>(1)</w:t>
            </w:r>
          </w:p>
        </w:tc>
        <w:tc>
          <w:tcPr>
            <w:tcW w:w="240" w:type="dxa"/>
            <w:vAlign w:val="bottom"/>
          </w:tcPr>
          <w:p>
            <w:pPr>
              <w:spacing w:after="0"/>
              <w:rPr>
                <w:sz w:val="3"/>
                <w:szCs w:val="3"/>
                <w:color w:val="auto"/>
              </w:rPr>
            </w:pPr>
          </w:p>
        </w:tc>
        <w:tc>
          <w:tcPr>
            <w:tcW w:w="10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line="20" w:lineRule="exact"/>
              <w:rPr>
                <w:sz w:val="1"/>
                <w:szCs w:val="1"/>
                <w:color w:val="auto"/>
              </w:rPr>
            </w:pPr>
          </w:p>
        </w:tc>
      </w:tr>
      <w:tr>
        <w:trPr>
          <w:trHeight w:val="195"/>
        </w:trPr>
        <w:tc>
          <w:tcPr>
            <w:tcW w:w="50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Ownership %</w:t>
            </w: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PRISA Self Storage LLC</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9,435</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HF1 Sovran HHF Storage Holdings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105,339</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Storage Portfolio II JV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Storage Portfolio IV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48,184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Storage Portfolio I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(42,487)</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 II EXR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108,160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HF2 Sovran HHF Storage Holdings II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41,613</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HF5 Life Storage-HIERS Storage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26,051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HF6 191 V Life Storage Holdings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ESS-CA TIVS JV LP</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29,128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VRS Self Storage,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(16,386)</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HF10 Life Storage HHF Wasatch Holdings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20,019</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unconsolidated real estate ventures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131</w:t>
            </w:r>
          </w:p>
        </w:tc>
        <w:tc>
          <w:tcPr>
            <w:tcW w:w="11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10%-50%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317,104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SmartStop Self Storage REIT, Inc. Preferred Stock </w:t>
            </w:r>
            <w:r>
              <w:rPr>
                <w:rFonts w:ascii="Times New Roman" w:cs="Times New Roman" w:eastAsia="Times New Roman" w:hAnsi="Times New Roman"/>
                <w:sz w:val="22"/>
                <w:szCs w:val="22"/>
                <w:color w:val="auto"/>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n/a</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Strategic Storage Trust VI, Inc. Preferred Stock </w:t>
            </w:r>
            <w:r>
              <w:rPr>
                <w:rFonts w:ascii="Times New Roman" w:cs="Times New Roman" w:eastAsia="Times New Roman" w:hAnsi="Times New Roman"/>
                <w:sz w:val="22"/>
                <w:szCs w:val="22"/>
                <w:color w:val="auto"/>
                <w:vertAlign w:val="superscript"/>
              </w:rPr>
              <w:t>(3)</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6"/>
              </w:rPr>
              <w:t>n/a</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150"/>
        </w:trPr>
        <w:tc>
          <w:tcPr>
            <w:tcW w:w="50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Net Investments in and Cash distributions in unconsolidated real estate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472</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992,022</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1,000,548</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entities</w:t>
            </w: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80" w:hanging="375"/>
        <w:spacing w:after="0"/>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pro-rata equity ownership share and promoted interest.</w:t>
      </w:r>
    </w:p>
    <w:p>
      <w:pPr>
        <w:spacing w:after="0" w:line="119" w:lineRule="exact"/>
        <w:rPr>
          <w:rFonts w:ascii="Times New Roman" w:cs="Times New Roman" w:eastAsia="Times New Roman" w:hAnsi="Times New Roman"/>
          <w:sz w:val="17"/>
          <w:szCs w:val="17"/>
          <w:color w:val="auto"/>
        </w:rPr>
      </w:pPr>
    </w:p>
    <w:p>
      <w:pPr>
        <w:ind w:left="320" w:hanging="315"/>
        <w:spacing w:after="0" w:line="270" w:lineRule="auto"/>
        <w:tabs>
          <w:tab w:leader="none" w:pos="3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2019, the Company invested $200,000 in shares of convertible preferred stock of SmartStop with a dividend rate of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64" w:lineRule="exact"/>
        <w:rPr>
          <w:rFonts w:ascii="Times New Roman" w:cs="Times New Roman" w:eastAsia="Times New Roman" w:hAnsi="Times New Roman"/>
          <w:sz w:val="17"/>
          <w:szCs w:val="17"/>
          <w:color w:val="auto"/>
        </w:rPr>
      </w:pPr>
    </w:p>
    <w:p>
      <w:pPr>
        <w:ind w:left="320" w:right="360" w:hanging="315"/>
        <w:spacing w:after="0" w:line="270" w:lineRule="auto"/>
        <w:tabs>
          <w:tab w:leader="none" w:pos="3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2023, the Company invested $150,000 in shares of convertible preferred stock of Strategic Storage with a dividend rate of 8.35% per annum, subject to increase after five years. The preferred shares are generally not redeemable for three years, except in the case of a change of control or initial listing of Strategic Storage. Dividend income from this investment is included on the equity in earnings and dividend income from unconsolidated real estate entities line on the Company's condensed consolidated statements of operations.</w:t>
      </w:r>
    </w:p>
    <w:p>
      <w:pPr>
        <w:spacing w:after="0" w:line="2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9.</w:t>
        <w:tab/>
        <w:t>INVESTMENTS IN DEBT SECURITIES AND NOTES RECEIVABLE</w:t>
      </w:r>
    </w:p>
    <w:p>
      <w:pPr>
        <w:spacing w:after="0" w:line="226" w:lineRule="exact"/>
        <w:rPr>
          <w:sz w:val="20"/>
          <w:szCs w:val="20"/>
          <w:color w:val="auto"/>
        </w:rPr>
      </w:pPr>
    </w:p>
    <w:p>
      <w:pPr>
        <w:ind w:right="40" w:firstLine="433"/>
        <w:spacing w:after="0" w:line="277" w:lineRule="auto"/>
        <w:rPr>
          <w:sz w:val="20"/>
          <w:szCs w:val="20"/>
          <w:color w:val="auto"/>
        </w:rPr>
      </w:pPr>
      <w:r>
        <w:rPr>
          <w:rFonts w:ascii="Times New Roman" w:cs="Times New Roman" w:eastAsia="Times New Roman" w:hAnsi="Times New Roman"/>
          <w:sz w:val="17"/>
          <w:szCs w:val="17"/>
          <w:color w:val="auto"/>
        </w:rPr>
        <w:t>Investments in debt securities and notes receivable consists of the Company's investment in mandatorily redeemable preferred stock of Jernigan Capital, Inc. (“JCAP”) in connection with JCAP's acquisition by affiliates of NexPoint Advisors, L.P. (“NexPoint”) and receivables due to the Company under its bridge loan program. Information about these balances is as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8"/>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securities - Preferred Stock</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 - Bridge Loans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1,136,306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594,727</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and Interest Receivable</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6,375</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10,042</w:t>
            </w:r>
          </w:p>
        </w:tc>
      </w:tr>
      <w:tr>
        <w:trPr>
          <w:trHeight w:val="216"/>
        </w:trPr>
        <w:tc>
          <w:tcPr>
            <w:tcW w:w="75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1,442,681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904,769</w:t>
            </w: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right="20" w:firstLine="433"/>
        <w:spacing w:after="0" w:line="264" w:lineRule="auto"/>
        <w:rPr>
          <w:sz w:val="20"/>
          <w:szCs w:val="20"/>
          <w:color w:val="auto"/>
        </w:rPr>
      </w:pPr>
      <w:r>
        <w:rPr>
          <w:rFonts w:ascii="Times New Roman" w:cs="Times New Roman" w:eastAsia="Times New Roman" w:hAnsi="Times New Roman"/>
          <w:sz w:val="17"/>
          <w:szCs w:val="17"/>
          <w:color w:val="auto"/>
        </w:rPr>
        <w:t>In November 2020, the Company invested $300,000 in the preferred stock of JCAP in connection with the acquisition of JCAP by NexPoint. This investment consisted of 200,000 Series A Preferred Shares valued at a total of $200,000, and 100,000 Series B Preferred Shares valued at a total of $100,000. In December 2022, the Company completed a modification with NexPoint Storage Partners (as successor in interest to JCAP) that exchanged the Series A and Series B Preferred Shares for 300,000 Series D Preferred Shares, valued at a total of $300,000. The Series D Preferred Shares are mandatorily redeemable after six years from the modification in December 2022, with two one-year extension options. NexPoint may redeem the Series D Preferred Shares at any time, subject to certain prepayment penalties. The Company accounts for the Series D Preferred Shares as a held to maturity debt security at amortized cost. The Series D Preferred Shares have an initial dividend rate of 8.5%. If the investment is not retired after six years, the preferred dividends increase annually.</w:t>
      </w:r>
    </w:p>
    <w:p>
      <w:pPr>
        <w:spacing w:after="0" w:line="200" w:lineRule="exact"/>
        <w:rPr>
          <w:sz w:val="20"/>
          <w:szCs w:val="20"/>
          <w:color w:val="auto"/>
        </w:rPr>
      </w:pPr>
    </w:p>
    <w:p>
      <w:pPr>
        <w:ind w:right="200" w:firstLine="433"/>
        <w:spacing w:after="0" w:line="267" w:lineRule="auto"/>
        <w:rPr>
          <w:sz w:val="20"/>
          <w:szCs w:val="20"/>
          <w:color w:val="auto"/>
        </w:rPr>
      </w:pPr>
      <w:r>
        <w:rPr>
          <w:rFonts w:ascii="Times New Roman" w:cs="Times New Roman" w:eastAsia="Times New Roman" w:hAnsi="Times New Roman"/>
          <w:sz w:val="17"/>
          <w:szCs w:val="17"/>
          <w:color w:val="auto"/>
        </w:rPr>
        <w:t>The Company offers bridge loan financing to third-party self-storage owners. These notes receivable consist of mortgage loans receivable, which are collateralized by self-storage properties, and mezzanine loans receivable, which are secured by equity interest pledges. As of June 30, 2024, 76% of the notes held are mortgage receivables. The Company intends to sell a portion of the mortgage receivables. These notes receivable typically have a term of three years with two one-year extensions, and have variable interest rates. During the six months ended June 30, 2024 the Company closed on $491,918 in initial loan draws and recorded $23,275 of draws for interest payments.</w:t>
      </w:r>
    </w:p>
    <w:p>
      <w:pPr>
        <w:spacing w:after="0" w:line="198"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The bridge loans typically have a loan to value ratio between 70% and 80%. None of the debt securities or notes receivable are in past-due or nonaccrual status and the allowance for potential credit losses is immaterial.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DEBT</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15"/>
        </w:trPr>
        <w:tc>
          <w:tcPr>
            <w:tcW w:w="70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components of term debt are summarized as follows: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54"/>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Term Debt</w:t>
            </w:r>
          </w:p>
        </w:tc>
        <w:tc>
          <w:tcPr>
            <w:tcW w:w="28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40" w:type="dxa"/>
            <w:vAlign w:val="bottom"/>
          </w:tcPr>
          <w:p>
            <w:pPr>
              <w:spacing w:after="0"/>
              <w:rPr>
                <w:sz w:val="24"/>
                <w:szCs w:val="24"/>
                <w:color w:val="auto"/>
              </w:rPr>
            </w:pPr>
          </w:p>
        </w:tc>
        <w:tc>
          <w:tcPr>
            <w:tcW w:w="192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6"/>
        </w:trPr>
        <w:tc>
          <w:tcPr>
            <w:tcW w:w="7040" w:type="dxa"/>
            <w:vAlign w:val="bottom"/>
            <w:tcBorders>
              <w:top w:val="single" w:sz="8" w:color="auto"/>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7"/>
                <w:szCs w:val="17"/>
                <w:color w:val="auto"/>
              </w:rPr>
              <w:t xml:space="preserve">Secured notes payable </w:t>
            </w:r>
            <w:r>
              <w:rPr>
                <w:rFonts w:ascii="Times New Roman" w:cs="Times New Roman" w:eastAsia="Times New Roman" w:hAnsi="Times New Roman"/>
                <w:sz w:val="22"/>
                <w:szCs w:val="22"/>
                <w:color w:val="auto"/>
                <w:vertAlign w:val="superscript"/>
              </w:rPr>
              <w:t>(1)</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1,270,723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1,279,105</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Unsecured term loans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2,660,000</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senior notes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7,325,000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6,725,000</w:t>
            </w:r>
          </w:p>
        </w:tc>
      </w:tr>
      <w:tr>
        <w:trPr>
          <w:trHeight w:val="216"/>
        </w:trPr>
        <w:tc>
          <w:tcPr>
            <w:tcW w:w="70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10,855,723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10,664,105</w:t>
            </w:r>
          </w:p>
        </w:tc>
      </w:tr>
      <w:tr>
        <w:trPr>
          <w:trHeight w:val="223"/>
        </w:trPr>
        <w:tc>
          <w:tcPr>
            <w:tcW w:w="70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Less: Discount on unsecured senior notes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(274,350)</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(55,007)</w:t>
            </w:r>
          </w:p>
        </w:tc>
      </w:tr>
      <w:tr>
        <w:trPr>
          <w:trHeight w:val="241"/>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10,547,305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10,334,748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260" w:hanging="238"/>
        <w:spacing w:after="0"/>
        <w:tabs>
          <w:tab w:leader="none" w:pos="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loans are collateralized by mortgages on real estate assets and the assignment of rents.</w:t>
      </w:r>
    </w:p>
    <w:p>
      <w:pPr>
        <w:spacing w:after="0" w:line="32" w:lineRule="exact"/>
        <w:rPr>
          <w:rFonts w:ascii="Times New Roman" w:cs="Times New Roman" w:eastAsia="Times New Roman" w:hAnsi="Times New Roman"/>
          <w:sz w:val="17"/>
          <w:szCs w:val="17"/>
          <w:color w:val="auto"/>
        </w:rPr>
      </w:pPr>
    </w:p>
    <w:p>
      <w:pPr>
        <w:ind w:left="260" w:hanging="238"/>
        <w:spacing w:after="0"/>
        <w:tabs>
          <w:tab w:leader="none" w:pos="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senior notes from the Life Storage Merger were recorded at fair value, resulting in a discount to be amortized over the term of the debt.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4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scheduled maturities of term debt, excluding available extensions, at June 30, 2024:</w:t>
      </w:r>
    </w:p>
    <w:p>
      <w:pPr>
        <w:spacing w:after="0" w:line="196"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248,250</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1,119,521</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1,409,581</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1,314,104</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1,028,400</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1,542,125</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1,343,742</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1,650,000</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41"/>
        </w:trPr>
        <w:tc>
          <w:tcPr>
            <w:tcW w:w="5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10,855,723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00" w:firstLine="393"/>
        <w:spacing w:after="0" w:line="280" w:lineRule="auto"/>
        <w:rPr>
          <w:sz w:val="20"/>
          <w:szCs w:val="20"/>
          <w:color w:val="auto"/>
        </w:rPr>
      </w:pPr>
      <w:r>
        <w:rPr>
          <w:rFonts w:ascii="Times New Roman" w:cs="Times New Roman" w:eastAsia="Times New Roman" w:hAnsi="Times New Roman"/>
          <w:sz w:val="17"/>
          <w:szCs w:val="17"/>
          <w:color w:val="auto"/>
        </w:rPr>
        <w:t>All of the Company’s lines of credit are guaranteed by the Company. The following table presents information on the Company’s lines of credit, the proceeds of which are used to repay debt and for general corporate purposes,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As of June 30, 2024</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Revolving Lines of Credit</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Amount Drawn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Capacity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Interest Rate</w:t>
            </w:r>
          </w:p>
        </w:tc>
        <w:tc>
          <w:tcPr>
            <w:tcW w:w="10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980" w:type="dxa"/>
            <w:vAlign w:val="bottom"/>
          </w:tcPr>
          <w:p>
            <w:pPr>
              <w:jc w:val="center"/>
              <w:spacing w:after="0" w:line="217" w:lineRule="exact"/>
              <w:rPr>
                <w:sz w:val="20"/>
                <w:szCs w:val="20"/>
                <w:color w:val="auto"/>
              </w:rPr>
            </w:pPr>
            <w:r>
              <w:rPr>
                <w:rFonts w:ascii="Times New Roman" w:cs="Times New Roman" w:eastAsia="Times New Roman" w:hAnsi="Times New Roman"/>
                <w:sz w:val="17"/>
                <w:szCs w:val="17"/>
                <w:b w:val="1"/>
                <w:bCs w:val="1"/>
                <w:color w:val="auto"/>
                <w:w w:val="98"/>
              </w:rPr>
              <w:t xml:space="preserve">Basis Rate </w:t>
            </w:r>
            <w:r>
              <w:rPr>
                <w:rFonts w:ascii="Times New Roman" w:cs="Times New Roman" w:eastAsia="Times New Roman" w:hAnsi="Times New Roman"/>
                <w:sz w:val="22"/>
                <w:szCs w:val="22"/>
                <w:b w:val="1"/>
                <w:bCs w:val="1"/>
                <w:color w:val="auto"/>
                <w:w w:val="98"/>
                <w:vertAlign w:val="superscript"/>
              </w:rPr>
              <w:t>(1)</w:t>
            </w:r>
          </w:p>
        </w:tc>
      </w:tr>
      <w:tr>
        <w:trPr>
          <w:trHeight w:val="216"/>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Credit Line 1</w:t>
            </w:r>
          </w:p>
        </w:tc>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7/1/2026</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SOFR plus 1.35%</w:t>
            </w:r>
          </w:p>
        </w:tc>
      </w:tr>
      <w:tr>
        <w:trPr>
          <w:trHeight w:val="223"/>
        </w:trPr>
        <w:tc>
          <w:tcPr>
            <w:tcW w:w="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Credit Line 2</w:t>
            </w:r>
          </w:p>
        </w:tc>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(3)(4)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919,000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53"/>
              <w:spacing w:after="0"/>
              <w:rPr>
                <w:sz w:val="20"/>
                <w:szCs w:val="20"/>
                <w:color w:val="auto"/>
              </w:rPr>
            </w:pPr>
            <w:r>
              <w:rPr>
                <w:rFonts w:ascii="Times New Roman" w:cs="Times New Roman" w:eastAsia="Times New Roman" w:hAnsi="Times New Roman"/>
                <w:sz w:val="17"/>
                <w:szCs w:val="17"/>
                <w:color w:val="auto"/>
              </w:rPr>
              <w:t>6/22/2027</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SOFR plus 0.875%</w:t>
            </w:r>
          </w:p>
        </w:tc>
      </w:tr>
      <w:tr>
        <w:trPr>
          <w:trHeight w:val="222"/>
        </w:trPr>
        <w:tc>
          <w:tcPr>
            <w:tcW w:w="98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948,000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2,140,000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r>
    </w:tbl>
    <w:p>
      <w:pPr>
        <w:ind w:left="240" w:hanging="218"/>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Simple Secured Overnight Financing Rate (“SOFR”)</w:t>
      </w:r>
    </w:p>
    <w:p>
      <w:pPr>
        <w:spacing w:after="0" w:line="24" w:lineRule="exact"/>
        <w:rPr>
          <w:rFonts w:ascii="Times New Roman" w:cs="Times New Roman" w:eastAsia="Times New Roman" w:hAnsi="Times New Roman"/>
          <w:sz w:val="16"/>
          <w:szCs w:val="16"/>
          <w:color w:val="auto"/>
        </w:rPr>
      </w:pPr>
    </w:p>
    <w:p>
      <w:pPr>
        <w:ind w:left="240" w:hanging="218"/>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Secured by mortgages on certain real estate assets. On January 13, 2023, the maturity date was extended to July 1, 2026 with one extension of one year available.</w:t>
      </w:r>
    </w:p>
    <w:p>
      <w:pPr>
        <w:spacing w:after="0" w:line="25" w:lineRule="exact"/>
        <w:rPr>
          <w:rFonts w:ascii="Times New Roman" w:cs="Times New Roman" w:eastAsia="Times New Roman" w:hAnsi="Times New Roman"/>
          <w:sz w:val="16"/>
          <w:szCs w:val="16"/>
          <w:color w:val="auto"/>
        </w:rPr>
      </w:pPr>
    </w:p>
    <w:p>
      <w:pPr>
        <w:ind w:left="20" w:right="140" w:firstLine="2"/>
        <w:spacing w:after="0" w:line="237" w:lineRule="auto"/>
        <w:tabs>
          <w:tab w:leader="none" w:pos="24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On June 22, 2023, the maturity date was extended to June 22, 2027 with two six-month extensions available. On August 11, 2023, the capacity was increased by $60.0 million.</w:t>
      </w:r>
    </w:p>
    <w:p>
      <w:pPr>
        <w:spacing w:after="0" w:line="3" w:lineRule="exact"/>
        <w:rPr>
          <w:rFonts w:ascii="Times New Roman" w:cs="Times New Roman" w:eastAsia="Times New Roman" w:hAnsi="Times New Roman"/>
          <w:sz w:val="16"/>
          <w:szCs w:val="16"/>
          <w:color w:val="auto"/>
        </w:rPr>
      </w:pPr>
    </w:p>
    <w:p>
      <w:pPr>
        <w:ind w:left="240" w:hanging="218"/>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Rate as of June 30, 2024. Rate is subject to change based on the Company's investment grade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-607060</wp:posOffset>
            </wp:positionV>
            <wp:extent cx="16484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8460" cy="8255"/>
                    </a:xfrm>
                    <a:prstGeom prst="rect">
                      <a:avLst/>
                    </a:prstGeom>
                    <a:noFill/>
                  </pic:spPr>
                </pic:pic>
              </a:graphicData>
            </a:graphic>
          </wp:anchor>
        </w:drawing>
      </w:r>
    </w:p>
    <w:p>
      <w:pPr>
        <w:spacing w:after="0" w:line="303" w:lineRule="exact"/>
        <w:rPr>
          <w:sz w:val="20"/>
          <w:szCs w:val="20"/>
          <w:color w:val="auto"/>
        </w:rPr>
      </w:pPr>
    </w:p>
    <w:p>
      <w:pPr>
        <w:jc w:val="both"/>
        <w:ind w:right="160" w:firstLine="393"/>
        <w:spacing w:after="0" w:line="261" w:lineRule="auto"/>
        <w:rPr>
          <w:sz w:val="20"/>
          <w:szCs w:val="20"/>
          <w:color w:val="auto"/>
        </w:rPr>
      </w:pPr>
      <w:r>
        <w:rPr>
          <w:rFonts w:ascii="Times New Roman" w:cs="Times New Roman" w:eastAsia="Times New Roman" w:hAnsi="Times New Roman"/>
          <w:sz w:val="17"/>
          <w:szCs w:val="17"/>
          <w:color w:val="auto"/>
        </w:rPr>
        <w:t>On June 22, 2023, the Company entered into the Third Amended and Restated Credit Agreement (the “Credit Agreement”). Pursuant to the terms of the Credit Agreement, the Company may request an extension of the term of the revolving credit facility for up to two additional periods of six months each, after satisfying certain conditions.</w:t>
      </w:r>
    </w:p>
    <w:p>
      <w:pPr>
        <w:spacing w:after="0" w:line="201" w:lineRule="exact"/>
        <w:rPr>
          <w:sz w:val="20"/>
          <w:szCs w:val="20"/>
          <w:color w:val="auto"/>
        </w:rPr>
      </w:pPr>
    </w:p>
    <w:p>
      <w:pPr>
        <w:jc w:val="both"/>
        <w:ind w:right="340" w:firstLine="393"/>
        <w:spacing w:after="0" w:line="253" w:lineRule="auto"/>
        <w:rPr>
          <w:sz w:val="20"/>
          <w:szCs w:val="20"/>
          <w:color w:val="auto"/>
        </w:rPr>
      </w:pPr>
      <w:r>
        <w:rPr>
          <w:rFonts w:ascii="Times New Roman" w:cs="Times New Roman" w:eastAsia="Times New Roman" w:hAnsi="Times New Roman"/>
          <w:sz w:val="17"/>
          <w:szCs w:val="17"/>
          <w:color w:val="auto"/>
        </w:rPr>
        <w:t>As of June 30, 2024, amounts outstanding under the revolving credit facility bore interest at floating rates, at the Company’s option, equal to either (i) Adjusted Term or Daily Simple SOFR plus the applicable margin or (ii) the applicable base rate which is the applicable margin plus the highest of (a) 0.0%,</w:t>
      </w:r>
    </w:p>
    <w:p>
      <w:pPr>
        <w:spacing w:after="0" w:line="1" w:lineRule="exact"/>
        <w:rPr>
          <w:sz w:val="20"/>
          <w:szCs w:val="20"/>
          <w:color w:val="auto"/>
        </w:rPr>
      </w:pPr>
    </w:p>
    <w:p>
      <w:pPr>
        <w:ind w:right="180" w:firstLine="5"/>
        <w:spacing w:after="0" w:line="257" w:lineRule="auto"/>
        <w:tabs>
          <w:tab w:leader="none" w:pos="24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plus 0.50%, (c) U.S. Bank’s prime rate or (d) the SOFR rate plus 1.00%. Per the Credit Agreement, the applicable SOFR rate margin and applicable base rate margin are based on the Company’s achieved debt rating, with the SOFR rate margin ranging from 0.7% to 2.2% per annum and the applicable base rate margin ranging from 0.00% to 1.20% per annum.</w:t>
      </w:r>
    </w:p>
    <w:p>
      <w:pPr>
        <w:spacing w:after="0" w:line="191"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Credit Agreement is guaranteed by the Company and is not secured by any assets of the Company. The Company's unsecured debt is subject to certain financial covenants. As of June 30, 2024, the Company was in compliance with all of its financial covenants.</w:t>
      </w:r>
    </w:p>
    <w:p>
      <w:pPr>
        <w:spacing w:after="0" w:line="172"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As of June 30, 2024, the Company’s percentage of fixed-rate debt to total debt was 75.0%. The weighted average interest rates of the Company’s fixed and variable-rate debt were 4.0% and 6.5%, respectively. The combined weighted average interest rate was 4.6%.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DERIVATIVES</w:t>
      </w:r>
    </w:p>
    <w:p>
      <w:pPr>
        <w:spacing w:after="0" w:line="252" w:lineRule="exact"/>
        <w:rPr>
          <w:sz w:val="20"/>
          <w:szCs w:val="20"/>
          <w:color w:val="auto"/>
        </w:rPr>
      </w:pPr>
    </w:p>
    <w:p>
      <w:pPr>
        <w:ind w:right="200" w:firstLine="433"/>
        <w:spacing w:after="0" w:line="264" w:lineRule="auto"/>
        <w:rPr>
          <w:sz w:val="20"/>
          <w:szCs w:val="20"/>
          <w:color w:val="auto"/>
        </w:rPr>
      </w:pPr>
      <w:r>
        <w:rPr>
          <w:rFonts w:ascii="Times New Roman" w:cs="Times New Roman" w:eastAsia="Times New Roman" w:hAnsi="Times New Roman"/>
          <w:sz w:val="17"/>
          <w:szCs w:val="17"/>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payments principally related to the Company’s borrowings.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 Hedges of Interest Rate Risk</w:t>
      </w:r>
    </w:p>
    <w:p>
      <w:pPr>
        <w:spacing w:after="0" w:line="121"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96"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six months ended June 30, 2024 and 2023, such derivatives were used to hedge the variable cash flows associated with existing variable-rate debt. In the coming 12 months, the Company estimates that $20,946 will be reclassified as an increase to interest income.</w:t>
      </w:r>
    </w:p>
    <w:p>
      <w:pPr>
        <w:spacing w:after="0" w:line="198" w:lineRule="exact"/>
        <w:rPr>
          <w:sz w:val="20"/>
          <w:szCs w:val="20"/>
          <w:color w:val="auto"/>
        </w:rPr>
      </w:pPr>
    </w:p>
    <w:p>
      <w:pPr>
        <w:ind w:right="460" w:firstLine="433"/>
        <w:spacing w:after="0" w:line="297" w:lineRule="auto"/>
        <w:rPr>
          <w:sz w:val="20"/>
          <w:szCs w:val="20"/>
          <w:color w:val="auto"/>
        </w:rPr>
      </w:pPr>
      <w:r>
        <w:rPr>
          <w:rFonts w:ascii="Times New Roman" w:cs="Times New Roman" w:eastAsia="Times New Roman" w:hAnsi="Times New Roman"/>
          <w:sz w:val="17"/>
          <w:szCs w:val="17"/>
          <w:color w:val="auto"/>
        </w:rPr>
        <w:t>The Company held 14 active derivative financial instruments, which had a total current notional amount of $1,383,303, as of June 30, 2024 and two forward-starting derivative financial instruments with effective dates of October 31, 2024 and July 14,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Values of Derivative Instruments</w:t>
      </w:r>
    </w:p>
    <w:p>
      <w:pPr>
        <w:spacing w:after="0" w:line="121" w:lineRule="exact"/>
        <w:rPr>
          <w:sz w:val="20"/>
          <w:szCs w:val="20"/>
          <w:color w:val="auto"/>
        </w:rPr>
      </w:pPr>
    </w:p>
    <w:p>
      <w:pPr>
        <w:ind w:right="320" w:firstLine="433"/>
        <w:spacing w:after="0" w:line="277" w:lineRule="auto"/>
        <w:rPr>
          <w:sz w:val="20"/>
          <w:szCs w:val="20"/>
          <w:color w:val="auto"/>
        </w:rPr>
      </w:pPr>
      <w:r>
        <w:rPr>
          <w:rFonts w:ascii="Times New Roman" w:cs="Times New Roman" w:eastAsia="Times New Roman" w:hAnsi="Times New Roman"/>
          <w:sz w:val="17"/>
          <w:szCs w:val="17"/>
          <w:color w:val="auto"/>
        </w:rPr>
        <w:t>The table below presents the fair value of the Company’s derivative financial instruments as well as their classification on the 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4"/>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Asset / Liability Derivatives</w:t>
            </w:r>
          </w:p>
        </w:tc>
        <w:tc>
          <w:tcPr>
            <w:tcW w:w="0" w:type="dxa"/>
            <w:vAlign w:val="bottom"/>
          </w:tcPr>
          <w:p>
            <w:pPr>
              <w:spacing w:after="0"/>
              <w:rPr>
                <w:sz w:val="1"/>
                <w:szCs w:val="1"/>
                <w:color w:val="auto"/>
              </w:rPr>
            </w:pPr>
          </w:p>
        </w:tc>
      </w:tr>
      <w:tr>
        <w:trPr>
          <w:trHeight w:val="24"/>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2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31,133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26,183</w:t>
            </w:r>
          </w:p>
        </w:tc>
        <w:tc>
          <w:tcPr>
            <w:tcW w:w="0" w:type="dxa"/>
            <w:vAlign w:val="bottom"/>
          </w:tcPr>
          <w:p>
            <w:pPr>
              <w:spacing w:after="0"/>
              <w:rPr>
                <w:sz w:val="1"/>
                <w:szCs w:val="1"/>
                <w:color w:val="auto"/>
              </w:rPr>
            </w:pP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5,030</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Derivative Instruments</w:t>
      </w:r>
    </w:p>
    <w:p>
      <w:pPr>
        <w:spacing w:after="0" w:line="121" w:lineRule="exact"/>
        <w:rPr>
          <w:sz w:val="20"/>
          <w:szCs w:val="20"/>
          <w:color w:val="auto"/>
        </w:rPr>
      </w:pPr>
    </w:p>
    <w:p>
      <w:pPr>
        <w:ind w:right="380" w:firstLine="433"/>
        <w:spacing w:after="0" w:line="297" w:lineRule="auto"/>
        <w:rPr>
          <w:sz w:val="20"/>
          <w:szCs w:val="20"/>
          <w:color w:val="auto"/>
        </w:rPr>
      </w:pPr>
      <w:r>
        <w:rPr>
          <w:rFonts w:ascii="Times New Roman" w:cs="Times New Roman" w:eastAsia="Times New Roman" w:hAnsi="Times New Roman"/>
          <w:sz w:val="17"/>
          <w:szCs w:val="17"/>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40" w:type="dxa"/>
            <w:vAlign w:val="bottom"/>
            <w:gridSpan w:val="5"/>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Gain (loss) recognized in OCI for the Three Months</w:t>
            </w:r>
          </w:p>
        </w:tc>
        <w:tc>
          <w:tcPr>
            <w:tcW w:w="10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Location of amounts</w:t>
            </w:r>
          </w:p>
        </w:tc>
        <w:tc>
          <w:tcPr>
            <w:tcW w:w="160" w:type="dxa"/>
            <w:vAlign w:val="bottom"/>
          </w:tcPr>
          <w:p>
            <w:pPr>
              <w:spacing w:after="0"/>
              <w:rPr>
                <w:sz w:val="13"/>
                <w:szCs w:val="13"/>
                <w:color w:val="auto"/>
              </w:rPr>
            </w:pPr>
          </w:p>
        </w:tc>
        <w:tc>
          <w:tcPr>
            <w:tcW w:w="3140" w:type="dxa"/>
            <w:vAlign w:val="bottom"/>
            <w:gridSpan w:val="5"/>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Gain (loss) reclassified from OCI for the Three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gridSpan w:val="3"/>
          </w:tcPr>
          <w:p>
            <w:pPr>
              <w:jc w:val="center"/>
              <w:ind w:left="825"/>
              <w:spacing w:after="0" w:line="131" w:lineRule="exact"/>
              <w:rPr>
                <w:sz w:val="20"/>
                <w:szCs w:val="20"/>
                <w:color w:val="auto"/>
              </w:rPr>
            </w:pPr>
            <w:r>
              <w:rPr>
                <w:rFonts w:ascii="Times New Roman" w:cs="Times New Roman" w:eastAsia="Times New Roman" w:hAnsi="Times New Roman"/>
                <w:sz w:val="14"/>
                <w:szCs w:val="14"/>
                <w:b w:val="1"/>
                <w:bCs w:val="1"/>
                <w:color w:val="auto"/>
                <w:w w:val="99"/>
              </w:rPr>
              <w:t>Ended June 30,</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3"/>
          </w:tcPr>
          <w:p>
            <w:pPr>
              <w:jc w:val="center"/>
              <w:ind w:left="645"/>
              <w:spacing w:after="0" w:line="131" w:lineRule="exact"/>
              <w:rPr>
                <w:sz w:val="20"/>
                <w:szCs w:val="20"/>
                <w:color w:val="auto"/>
              </w:rPr>
            </w:pPr>
            <w:r>
              <w:rPr>
                <w:rFonts w:ascii="Times New Roman" w:cs="Times New Roman" w:eastAsia="Times New Roman" w:hAnsi="Times New Roman"/>
                <w:sz w:val="14"/>
                <w:szCs w:val="14"/>
                <w:b w:val="1"/>
                <w:bCs w:val="1"/>
                <w:color w:val="auto"/>
                <w:w w:val="98"/>
              </w:rPr>
              <w:t>Months Ended June 30,</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72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reclassified from OCI into</w:t>
            </w:r>
          </w:p>
        </w:tc>
        <w:tc>
          <w:tcPr>
            <w:tcW w:w="1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line="20" w:lineRule="exact"/>
              <w:rPr>
                <w:sz w:val="1"/>
                <w:szCs w:val="1"/>
                <w:color w:val="auto"/>
              </w:rPr>
            </w:pPr>
          </w:p>
        </w:tc>
        <w:tc>
          <w:tcPr>
            <w:tcW w:w="1480" w:type="dxa"/>
            <w:vAlign w:val="bottom"/>
            <w:vMerge w:val="restart"/>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vMerge w:val="restart"/>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Swap Agreements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23,628</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7,059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Gain (loss) recognized in OCI for the Six Months</w:t>
            </w:r>
          </w:p>
        </w:tc>
        <w:tc>
          <w:tcPr>
            <w:tcW w:w="100" w:type="dxa"/>
            <w:vAlign w:val="bottom"/>
          </w:tcPr>
          <w:p>
            <w:pPr>
              <w:spacing w:after="0"/>
              <w:rPr>
                <w:sz w:val="24"/>
                <w:szCs w:val="24"/>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Location of amounts</w:t>
            </w:r>
          </w:p>
        </w:tc>
        <w:tc>
          <w:tcPr>
            <w:tcW w:w="33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Gain (loss) reclassified from OCI for the Six Months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3"/>
          </w:tcPr>
          <w:p>
            <w:pPr>
              <w:jc w:val="center"/>
              <w:ind w:left="825"/>
              <w:spacing w:after="0" w:line="143" w:lineRule="exact"/>
              <w:rPr>
                <w:sz w:val="20"/>
                <w:szCs w:val="20"/>
                <w:color w:val="auto"/>
              </w:rPr>
            </w:pPr>
            <w:r>
              <w:rPr>
                <w:rFonts w:ascii="Times New Roman" w:cs="Times New Roman" w:eastAsia="Times New Roman" w:hAnsi="Times New Roman"/>
                <w:sz w:val="14"/>
                <w:szCs w:val="14"/>
                <w:b w:val="1"/>
                <w:bCs w:val="1"/>
                <w:color w:val="auto"/>
                <w:w w:val="99"/>
              </w:rPr>
              <w:t>Ended June 30,</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jc w:val="center"/>
              <w:ind w:left="645"/>
              <w:spacing w:after="0" w:line="143" w:lineRule="exact"/>
              <w:rPr>
                <w:sz w:val="20"/>
                <w:szCs w:val="20"/>
                <w:color w:val="auto"/>
              </w:rPr>
            </w:pPr>
            <w:r>
              <w:rPr>
                <w:rFonts w:ascii="Times New Roman" w:cs="Times New Roman" w:eastAsia="Times New Roman" w:hAnsi="Times New Roman"/>
                <w:sz w:val="14"/>
                <w:szCs w:val="14"/>
                <w:b w:val="1"/>
                <w:bCs w:val="1"/>
                <w:color w:val="auto"/>
                <w:w w:val="99"/>
              </w:rPr>
              <w:t>Ended June 30,</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reclassified from OCI into</w:t>
            </w:r>
          </w:p>
        </w:tc>
        <w:tc>
          <w:tcPr>
            <w:tcW w:w="1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2"/>
                <w:szCs w:val="2"/>
                <w:color w:val="auto"/>
              </w:rPr>
            </w:pPr>
          </w:p>
        </w:tc>
        <w:tc>
          <w:tcPr>
            <w:tcW w:w="1480" w:type="dxa"/>
            <w:vAlign w:val="bottom"/>
            <w:vMerge w:val="restart"/>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vMerge w:val="restart"/>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Swap Agreements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25,294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18,065</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15,076</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32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Credit-Risk-Related Contingent Features</w:t>
      </w:r>
    </w:p>
    <w:p>
      <w:pPr>
        <w:spacing w:after="0" w:line="121" w:lineRule="exact"/>
        <w:rPr>
          <w:sz w:val="20"/>
          <w:szCs w:val="20"/>
          <w:color w:val="auto"/>
        </w:rPr>
      </w:pPr>
    </w:p>
    <w:p>
      <w:pPr>
        <w:jc w:val="both"/>
        <w:ind w:right="300" w:firstLine="433"/>
        <w:spacing w:after="0" w:line="277" w:lineRule="auto"/>
        <w:rPr>
          <w:sz w:val="20"/>
          <w:szCs w:val="20"/>
          <w:color w:val="auto"/>
        </w:rPr>
      </w:pPr>
      <w:r>
        <w:rPr>
          <w:rFonts w:ascii="Times New Roman" w:cs="Times New Roman" w:eastAsia="Times New Roman" w:hAnsi="Times New Roman"/>
          <w:sz w:val="17"/>
          <w:szCs w:val="17"/>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89" w:lineRule="exact"/>
        <w:rPr>
          <w:sz w:val="20"/>
          <w:szCs w:val="20"/>
          <w:color w:val="auto"/>
        </w:rPr>
      </w:pPr>
    </w:p>
    <w:p>
      <w:pPr>
        <w:ind w:right="220" w:firstLine="433"/>
        <w:spacing w:after="0" w:line="277" w:lineRule="auto"/>
        <w:rPr>
          <w:sz w:val="20"/>
          <w:szCs w:val="20"/>
          <w:color w:val="auto"/>
        </w:rPr>
      </w:pPr>
      <w:r>
        <w:rPr>
          <w:rFonts w:ascii="Times New Roman" w:cs="Times New Roman" w:eastAsia="Times New Roman" w:hAnsi="Times New Roman"/>
          <w:sz w:val="17"/>
          <w:szCs w:val="17"/>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89" w:lineRule="exact"/>
        <w:rPr>
          <w:sz w:val="20"/>
          <w:szCs w:val="20"/>
          <w:color w:val="auto"/>
        </w:rPr>
      </w:pPr>
    </w:p>
    <w:p>
      <w:pPr>
        <w:ind w:right="140" w:firstLine="433"/>
        <w:spacing w:after="0" w:line="270" w:lineRule="auto"/>
        <w:rPr>
          <w:sz w:val="20"/>
          <w:szCs w:val="20"/>
          <w:color w:val="auto"/>
        </w:rPr>
      </w:pPr>
      <w:r>
        <w:rPr>
          <w:rFonts w:ascii="Times New Roman" w:cs="Times New Roman" w:eastAsia="Times New Roman" w:hAnsi="Times New Roman"/>
          <w:sz w:val="17"/>
          <w:szCs w:val="17"/>
          <w:color w:val="auto"/>
        </w:rPr>
        <w:t>As of June 30, 2024, the fair value of derivatives in a net liability position, which includes accrued interest but excludes any adjustment for nonperformance risk related to these agreements, was $85. As of June 30, 2024, the Company had not posted any collateral related to these agreements. If the Company had breached any of these provisions as of June 30, 2024, it could have been required to cash settle its obligations under these agreements at their termination value of $85.</w:t>
      </w:r>
    </w:p>
    <w:p>
      <w:pPr>
        <w:spacing w:after="0" w:line="2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tab/>
        <w:t>STOCKHOLDERS’ EQUITY</w:t>
      </w:r>
    </w:p>
    <w:p>
      <w:pPr>
        <w:spacing w:after="0" w:line="252" w:lineRule="exact"/>
        <w:rPr>
          <w:sz w:val="20"/>
          <w:szCs w:val="20"/>
          <w:color w:val="auto"/>
        </w:rPr>
      </w:pPr>
    </w:p>
    <w:p>
      <w:pPr>
        <w:ind w:right="40" w:firstLine="433"/>
        <w:spacing w:after="0" w:line="274" w:lineRule="auto"/>
        <w:rPr>
          <w:sz w:val="20"/>
          <w:szCs w:val="20"/>
          <w:color w:val="auto"/>
        </w:rPr>
      </w:pPr>
      <w:r>
        <w:rPr>
          <w:rFonts w:ascii="Times New Roman" w:cs="Times New Roman" w:eastAsia="Times New Roman" w:hAnsi="Times New Roman"/>
          <w:sz w:val="17"/>
          <w:szCs w:val="17"/>
          <w:color w:val="auto"/>
        </w:rPr>
        <w:t>On April 15, 2024, the Company filed its $800,000 “at the market” equity program with the Securities and Exchange Commission using a shelf registration statement on Form S-3, and entered into an equity distribution agreement with nine sales agents. No shares have been sold under the current “at the market” equity program, and no shares were sold under the previous “at the market” equity program, which spanned from August 9, 2021 through April 14, 2024.</w:t>
      </w:r>
    </w:p>
    <w:p>
      <w:pPr>
        <w:spacing w:after="0" w:line="200" w:lineRule="exact"/>
        <w:rPr>
          <w:sz w:val="20"/>
          <w:szCs w:val="20"/>
          <w:color w:val="auto"/>
        </w:rPr>
      </w:pPr>
    </w:p>
    <w:p>
      <w:pPr>
        <w:spacing w:after="0" w:line="206"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On November 13, 2023, the Company's board of directors authorized a share repurchase program allowing for the repurchase of shares with an aggregate value up to $500,000. During the year ended December 31, 2023 and the six months ended June 30, 2024, no shares were repurchased. As of June 30, 2024, the Company had remaining authorization to repurchase shares with an aggregate value up to $500,000.</w:t>
      </w:r>
    </w:p>
    <w:p>
      <w:pPr>
        <w:spacing w:after="0" w:line="189" w:lineRule="exact"/>
        <w:rPr>
          <w:sz w:val="20"/>
          <w:szCs w:val="20"/>
          <w:color w:val="auto"/>
        </w:rPr>
      </w:pPr>
    </w:p>
    <w:p>
      <w:pPr>
        <w:ind w:right="360" w:firstLine="433"/>
        <w:spacing w:after="0" w:line="297" w:lineRule="auto"/>
        <w:rPr>
          <w:sz w:val="20"/>
          <w:szCs w:val="20"/>
          <w:color w:val="auto"/>
        </w:rPr>
      </w:pPr>
      <w:r>
        <w:rPr>
          <w:rFonts w:ascii="Times New Roman" w:cs="Times New Roman" w:eastAsia="Times New Roman" w:hAnsi="Times New Roman"/>
          <w:sz w:val="17"/>
          <w:szCs w:val="17"/>
          <w:color w:val="auto"/>
        </w:rPr>
        <w:t>On July 20, 2023, the Company issued 76,217,359 shares of its common stock at $148.96 for a total value of $11,353,338 as part of the Life Storage Merger. See Acquisitions and Dispositions note above.</w:t>
      </w:r>
    </w:p>
    <w:p>
      <w:pPr>
        <w:spacing w:after="0" w:line="24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tab/>
        <w:t>NONCONTROLLING INTEREST REPRESENTED BY PREFERRED OPERATING PARTNERSHIP UNITS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Classification of Noncontrolling Interests</w:t>
      </w:r>
    </w:p>
    <w:p>
      <w:pPr>
        <w:spacing w:after="0" w:line="121"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8" w:lineRule="exact"/>
        <w:rPr>
          <w:sz w:val="20"/>
          <w:szCs w:val="20"/>
          <w:color w:val="auto"/>
        </w:rPr>
      </w:pPr>
    </w:p>
    <w:p>
      <w:pPr>
        <w:ind w:right="220" w:firstLine="433"/>
        <w:spacing w:after="0" w:line="267" w:lineRule="auto"/>
        <w:rPr>
          <w:sz w:val="20"/>
          <w:szCs w:val="20"/>
          <w:color w:val="auto"/>
        </w:rPr>
      </w:pPr>
      <w:r>
        <w:rPr>
          <w:rFonts w:ascii="Times New Roman" w:cs="Times New Roman" w:eastAsia="Times New Roman" w:hAnsi="Times New Roman"/>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firstLine="433"/>
        <w:spacing w:after="0" w:line="270" w:lineRule="auto"/>
        <w:rPr>
          <w:sz w:val="20"/>
          <w:szCs w:val="20"/>
          <w:color w:val="auto"/>
        </w:rPr>
      </w:pPr>
      <w:r>
        <w:rPr>
          <w:rFonts w:ascii="Times New Roman" w:cs="Times New Roman" w:eastAsia="Times New Roman" w:hAnsi="Times New Roman"/>
          <w:sz w:val="17"/>
          <w:szCs w:val="17"/>
          <w:color w:val="auto"/>
        </w:rPr>
        <w:t>At June 30, 2024 and December 31, 2023,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The balances for each of the specific Preferred OP Units as presented in the Statement of Noncontrolling Interests and Equity as of the periods indicated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Series B Units</w:t>
            </w: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1520" w:type="dxa"/>
            <w:vAlign w:val="bottom"/>
          </w:tcPr>
          <w:p>
            <w:pPr>
              <w:jc w:val="right"/>
              <w:ind w:right="13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33,567</w:t>
            </w:r>
          </w:p>
        </w:tc>
        <w:tc>
          <w:tcPr>
            <w:tcW w:w="18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33,567</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D Units</w:t>
            </w:r>
          </w:p>
        </w:tc>
        <w:tc>
          <w:tcPr>
            <w:tcW w:w="1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157,739</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188,793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520" w:type="dxa"/>
            <w:vAlign w:val="bottom"/>
            <w:tcBorders>
              <w:bottom w:val="single" w:sz="8" w:color="auto"/>
            </w:tcBorders>
          </w:tcPr>
          <w:p>
            <w:pPr>
              <w:jc w:val="right"/>
              <w:ind w:right="13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191,306</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222,360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Participating Redeemable Preferred Units</w:t>
      </w:r>
    </w:p>
    <w:p>
      <w:pPr>
        <w:spacing w:after="0" w:line="252" w:lineRule="exact"/>
        <w:rPr>
          <w:sz w:val="20"/>
          <w:szCs w:val="20"/>
          <w:color w:val="auto"/>
        </w:rPr>
      </w:pPr>
    </w:p>
    <w:p>
      <w:pPr>
        <w:ind w:right="260" w:firstLine="433"/>
        <w:spacing w:after="0" w:line="27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A Units. The Series A Units have priority over all other partnership interests of the Operating Partnership with respect to distributions and liquidation. As of June 30, 2024 and December 31, 2023, there were no outstanding Series A Units.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B Redeemable Preferred Units</w:t>
      </w:r>
    </w:p>
    <w:p>
      <w:pPr>
        <w:spacing w:after="0" w:line="25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72"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Series B Units were issued in 2013 and 2014. The Series B Units have a liquidation value of $25.00 per unit for a fixed liquidation value of $33,567 which represents 1,342,727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C Redeemable Preferred Units</w:t>
      </w:r>
    </w:p>
    <w:p>
      <w:pPr>
        <w:spacing w:after="0" w:line="239" w:lineRule="exact"/>
        <w:rPr>
          <w:sz w:val="20"/>
          <w:szCs w:val="20"/>
          <w:color w:val="auto"/>
        </w:rPr>
      </w:pPr>
    </w:p>
    <w:p>
      <w:pPr>
        <w:ind w:right="280" w:firstLine="433"/>
        <w:spacing w:after="0" w:line="261"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 As of June 30, 2024 and December 31, 2023, there were no outstanding Series C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D Redeemable Preferred Units</w:t>
      </w:r>
    </w:p>
    <w:p>
      <w:pPr>
        <w:spacing w:after="0" w:line="252" w:lineRule="exact"/>
        <w:rPr>
          <w:sz w:val="20"/>
          <w:szCs w:val="20"/>
          <w:color w:val="auto"/>
        </w:rPr>
      </w:pPr>
    </w:p>
    <w:p>
      <w:pPr>
        <w:jc w:val="both"/>
        <w:ind w:right="420" w:firstLine="433"/>
        <w:spacing w:after="0" w:line="27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57" w:lineRule="exact"/>
        <w:rPr>
          <w:sz w:val="20"/>
          <w:szCs w:val="20"/>
          <w:color w:val="auto"/>
        </w:rPr>
      </w:pPr>
    </w:p>
    <w:p>
      <w:pPr>
        <w:ind w:right="80" w:firstLine="433"/>
        <w:spacing w:after="0" w:line="266" w:lineRule="auto"/>
        <w:rPr>
          <w:sz w:val="20"/>
          <w:szCs w:val="20"/>
          <w:color w:val="auto"/>
        </w:rPr>
      </w:pPr>
      <w:r>
        <w:rPr>
          <w:rFonts w:ascii="Times New Roman" w:cs="Times New Roman" w:eastAsia="Times New Roman" w:hAnsi="Times New Roman"/>
          <w:sz w:val="17"/>
          <w:szCs w:val="17"/>
          <w:color w:val="auto"/>
        </w:rPr>
        <w:t>The Series D Units have a liquidation value of $25.00 per unit, for a fixed liquidation value of $157,739, which represents 6,309,567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the six months ended June 30, 2024, 1,242,168 Series D Units were redeemed for 213,661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14.</w:t>
        <w:tab/>
        <w:t>NONCONTROLLING INTEREST IN OPERATING PARTNERSHIP AND OTHER NONCONTROLLING INTERESTS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 in Operating Partnership</w:t>
      </w:r>
    </w:p>
    <w:p>
      <w:pPr>
        <w:spacing w:after="0" w:line="252"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Company’s interest in its stores is held through the Operating Partnership. Between its general partner and limited partner interests, the Company held a 95.5% ownership interest in the Operating Partnership as of June 30, 2024. The remaining ownership interests in the Operating Partnership (including Preferred OP Units) of 4.5% are held by certain former owners of assets acquired by the Operating Partnership. As of June 30, 2024 and December 31, 2023, the noncontrolling interests in the Operating Partnership are shown on the balance sheet net of a note receivable of $1,900 because a borrower under the note receivable is also a holder of OP Units. This note receivable originated in December 2014, bears interest at 5.0% per annum and matures on December 15, 2024.</w:t>
      </w:r>
    </w:p>
    <w:p>
      <w:pPr>
        <w:spacing w:after="0" w:line="198" w:lineRule="exact"/>
        <w:rPr>
          <w:sz w:val="20"/>
          <w:szCs w:val="20"/>
          <w:color w:val="auto"/>
        </w:rPr>
      </w:pPr>
    </w:p>
    <w:p>
      <w:pPr>
        <w:ind w:right="20" w:firstLine="433"/>
        <w:spacing w:after="0" w:line="264" w:lineRule="auto"/>
        <w:rPr>
          <w:sz w:val="20"/>
          <w:szCs w:val="20"/>
          <w:color w:val="auto"/>
        </w:rPr>
      </w:pPr>
      <w:r>
        <w:rPr>
          <w:rFonts w:ascii="Times New Roman" w:cs="Times New Roman" w:eastAsia="Times New Roman" w:hAnsi="Times New Roman"/>
          <w:sz w:val="17"/>
          <w:szCs w:val="17"/>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June 30, 2024, the ten-day average closing price of the Company's common stock was $157.24 and there were 8,621,449 OP Units outstanding. Assuming that all of the OP Unit holders exercised their right to redeem all of their OP Units on June 30, 2024 and the Company elected to pay the OP Unit holders cash, the Company would have paid $1,355,637 in cash consideration to redeem the units.</w:t>
      </w: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OP Unit activity is summarized as follows for the periods presented:</w:t>
      </w:r>
    </w:p>
    <w:p>
      <w:pPr>
        <w:spacing w:after="0" w:line="5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18415</wp:posOffset>
            </wp:positionV>
            <wp:extent cx="24314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9" w:lineRule="exact"/>
        <w:rPr>
          <w:sz w:val="20"/>
          <w:szCs w:val="20"/>
          <w:color w:val="auto"/>
        </w:rPr>
      </w:pPr>
    </w:p>
    <w:p>
      <w:pPr>
        <w:ind w:left="8180"/>
        <w:spacing w:after="0"/>
        <w:tabs>
          <w:tab w:leader="none" w:pos="101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149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8620" w:val="left"/>
          <w:tab w:leader="none" w:pos="10980" w:val="left"/>
        </w:tabs>
        <w:rPr>
          <w:sz w:val="20"/>
          <w:szCs w:val="20"/>
          <w:color w:val="auto"/>
        </w:rPr>
      </w:pPr>
      <w:r>
        <w:rPr>
          <w:rFonts w:ascii="Times New Roman" w:cs="Times New Roman" w:eastAsia="Times New Roman" w:hAnsi="Times New Roman"/>
          <w:sz w:val="17"/>
          <w:szCs w:val="17"/>
          <w:color w:val="auto"/>
        </w:rPr>
        <w:t>OP Units redeemed for common stock</w:t>
      </w:r>
      <w:r>
        <w:rPr>
          <w:sz w:val="20"/>
          <w:szCs w:val="20"/>
          <w:color w:val="auto"/>
        </w:rPr>
        <w:tab/>
      </w:r>
      <w:r>
        <w:rPr>
          <w:rFonts w:ascii="Times New Roman" w:cs="Times New Roman" w:eastAsia="Times New Roman" w:hAnsi="Times New Roman"/>
          <w:sz w:val="17"/>
          <w:szCs w:val="17"/>
          <w:color w:val="auto"/>
        </w:rPr>
        <w:t>264,145</w:t>
      </w:r>
      <w:r>
        <w:rPr>
          <w:sz w:val="20"/>
          <w:szCs w:val="20"/>
          <w:color w:val="auto"/>
        </w:rPr>
        <w:tab/>
      </w:r>
      <w:r>
        <w:rPr>
          <w:rFonts w:ascii="Times New Roman" w:cs="Times New Roman" w:eastAsia="Times New Roman" w:hAnsi="Times New Roman"/>
          <w:sz w:val="17"/>
          <w:szCs w:val="17"/>
          <w:color w:val="auto"/>
        </w:rPr>
        <w:t>—</w:t>
      </w:r>
    </w:p>
    <w:p>
      <w:pPr>
        <w:spacing w:after="0" w:line="342"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8"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Noncontrolling Interests</w:t>
      </w:r>
    </w:p>
    <w:p>
      <w:pPr>
        <w:spacing w:after="0" w:line="252" w:lineRule="exact"/>
        <w:rPr>
          <w:sz w:val="20"/>
          <w:szCs w:val="20"/>
          <w:color w:val="auto"/>
        </w:rPr>
      </w:pPr>
    </w:p>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Other noncontrolling interests represent the ownership interest of partners in nine consolidated joint ventures as of June 30, 2024. Five joint ventures each own one operating store and the other four joint ventures each have properties under development. The voting interests of the partners are 17.0% or less.</w:t>
      </w:r>
    </w:p>
    <w:p>
      <w:pPr>
        <w:spacing w:after="0" w:line="172" w:lineRule="exact"/>
        <w:rPr>
          <w:sz w:val="20"/>
          <w:szCs w:val="20"/>
          <w:color w:val="auto"/>
        </w:rPr>
      </w:pPr>
    </w:p>
    <w:p>
      <w:pPr>
        <w:ind w:right="340" w:firstLine="472"/>
        <w:spacing w:after="0" w:line="277" w:lineRule="auto"/>
        <w:rPr>
          <w:sz w:val="20"/>
          <w:szCs w:val="20"/>
          <w:color w:val="auto"/>
        </w:rPr>
      </w:pPr>
      <w:r>
        <w:rPr>
          <w:rFonts w:ascii="Times New Roman" w:cs="Times New Roman" w:eastAsia="Times New Roman" w:hAnsi="Times New Roman"/>
          <w:sz w:val="17"/>
          <w:szCs w:val="17"/>
          <w:color w:val="auto"/>
        </w:rPr>
        <w:t>Based on the facts and circumstances of each of the Company’s joint ventures, the Company has determined that one of the joint ventures at June 30, 2024 was a variable interest entity (“VIE”) in accordance with ASC 810, “Consolidation.” The Company has consolidated that joint venture as it was determined that the Company has the power to direct the activities of the joint venture and is the primary beneficiary of the joint venture.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15.</w:t>
        <w:tab/>
        <w:t>SEGMENT INFORMATION</w:t>
      </w:r>
    </w:p>
    <w:p>
      <w:pPr>
        <w:spacing w:after="0" w:line="252" w:lineRule="exact"/>
        <w:rPr>
          <w:sz w:val="20"/>
          <w:szCs w:val="20"/>
          <w:color w:val="auto"/>
        </w:rPr>
      </w:pPr>
    </w:p>
    <w:p>
      <w:pPr>
        <w:ind w:right="120" w:firstLine="433"/>
        <w:spacing w:after="0" w:line="267" w:lineRule="auto"/>
        <w:rPr>
          <w:sz w:val="20"/>
          <w:szCs w:val="20"/>
          <w:color w:val="auto"/>
        </w:rPr>
      </w:pPr>
      <w:r>
        <w:rPr>
          <w:rFonts w:ascii="Times New Roman" w:cs="Times New Roman" w:eastAsia="Times New Roman" w:hAnsi="Times New Roman"/>
          <w:sz w:val="17"/>
          <w:szCs w:val="17"/>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The Company’s segments are comprised of two reportable segments: (1) self-storage operations and (2) tenant reinsurance. NOI for the Company's self-storage operations represents total property revenue less direct property operating expenses. NOI for the Company's tenant reinsurance segment represents tenant reinsurance revenues less tenant reinsurance expense.</w:t>
      </w:r>
    </w:p>
    <w:p>
      <w:pPr>
        <w:spacing w:after="0" w:line="198"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The self-storage operations activities include rental operations of wholly-owned stores and self-storage units acquired in the Bargold transaction on June 1, 2022.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96" w:lineRule="exact"/>
        <w:rPr>
          <w:sz w:val="20"/>
          <w:szCs w:val="20"/>
          <w:color w:val="auto"/>
        </w:rPr>
      </w:pPr>
    </w:p>
    <w:p>
      <w:pPr>
        <w:ind w:right="680" w:firstLine="433"/>
        <w:spacing w:after="0" w:line="283" w:lineRule="auto"/>
        <w:rPr>
          <w:sz w:val="20"/>
          <w:szCs w:val="20"/>
          <w:color w:val="auto"/>
        </w:rPr>
      </w:pPr>
      <w:r>
        <w:rPr>
          <w:rFonts w:ascii="Times New Roman" w:cs="Times New Roman" w:eastAsia="Times New Roman" w:hAnsi="Times New Roman"/>
          <w:sz w:val="17"/>
          <w:szCs w:val="17"/>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20"/>
          </w:cols>
          <w:pgMar w:left="320" w:top="355" w:right="359" w:bottom="1440" w:gutter="0" w:footer="0" w:header="0"/>
        </w:sectPr>
      </w:pPr>
    </w:p>
    <w:p>
      <w:pPr>
        <w:jc w:val="center"/>
        <w:ind w:left="4100"/>
        <w:spacing w:after="0"/>
        <w:rPr>
          <w:sz w:val="20"/>
          <w:szCs w:val="20"/>
          <w:color w:val="auto"/>
        </w:rPr>
      </w:pPr>
      <w:r>
        <w:rPr>
          <w:rFonts w:ascii="Times New Roman" w:cs="Times New Roman" w:eastAsia="Times New Roman" w:hAnsi="Times New Roman"/>
          <w:sz w:val="15"/>
          <w:szCs w:val="15"/>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25400</wp:posOffset>
            </wp:positionV>
            <wp:extent cx="2248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30" w:lineRule="exact"/>
        <w:rPr>
          <w:sz w:val="20"/>
          <w:szCs w:val="20"/>
          <w:color w:val="auto"/>
        </w:rPr>
      </w:pPr>
    </w:p>
    <w:p>
      <w:pPr>
        <w:ind w:left="4820"/>
        <w:spacing w:after="0"/>
        <w:tabs>
          <w:tab w:leader="none" w:pos="656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Times New Roman" w:cs="Times New Roman" w:eastAsia="Times New Roman" w:hAnsi="Times New Roman"/>
          <w:sz w:val="15"/>
          <w:szCs w:val="15"/>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25400</wp:posOffset>
            </wp:positionV>
            <wp:extent cx="2148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spacing w:after="0" w:line="30" w:lineRule="exact"/>
        <w:rPr>
          <w:sz w:val="20"/>
          <w:szCs w:val="20"/>
          <w:color w:val="auto"/>
        </w:rPr>
      </w:pPr>
    </w:p>
    <w:p>
      <w:pPr>
        <w:ind w:left="180"/>
        <w:spacing w:after="0"/>
        <w:tabs>
          <w:tab w:leader="none" w:pos="186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4" w:lineRule="exact"/>
        <w:rPr>
          <w:sz w:val="20"/>
          <w:szCs w:val="20"/>
          <w:color w:val="auto"/>
        </w:rPr>
      </w:pPr>
    </w:p>
    <w:p>
      <w:pPr>
        <w:sectPr>
          <w:pgSz w:w="11900" w:h="16838" w:orient="portrait"/>
          <w:cols w:equalWidth="0" w:num="2">
            <w:col w:w="7620" w:space="720"/>
            <w:col w:w="2880"/>
          </w:cols>
          <w:pgMar w:left="320" w:top="355" w:right="359" w:bottom="1440" w:gutter="0" w:footer="0" w:header="0"/>
          <w:type w:val="continuous"/>
        </w:sectPr>
      </w:pPr>
    </w:p>
    <w:tbl>
      <w:tblPr>
        <w:tblLayout w:type="fixed"/>
        <w:tblInd w:w="40" w:type="dxa"/>
        <w:tblCellMar>
          <w:top w:w="0" w:type="dxa"/>
          <w:left w:w="0" w:type="dxa"/>
          <w:bottom w:w="0" w:type="dxa"/>
          <w:right w:w="0" w:type="dxa"/>
        </w:tblCellMar>
      </w:tblPr>
      <w:tr>
        <w:trPr>
          <w:trHeight w:val="19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5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Self-Storage Operations</w:t>
            </w: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697,100</w:t>
            </w:r>
          </w:p>
        </w:tc>
        <w:tc>
          <w:tcPr>
            <w:tcW w:w="6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440,747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1,385,144</w:t>
            </w: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874,709</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Tenant Reinsurance</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83,705</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48,433</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165,052</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96,137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segment revenues</w:t>
            </w: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780,805</w:t>
            </w: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489,180</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1,550,196</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970,846</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Self-Storage Operations</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196,902</w:t>
            </w: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114,637</w:t>
            </w:r>
          </w:p>
        </w:tc>
        <w:tc>
          <w:tcPr>
            <w:tcW w:w="20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401,420</w:t>
            </w: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231,803</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Tenant Reinsurance</w:t>
            </w: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19,631</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9,482</w:t>
            </w:r>
          </w:p>
        </w:tc>
        <w:tc>
          <w:tcPr>
            <w:tcW w:w="2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38,136</w:t>
            </w: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18,571</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segment operating expenses</w:t>
            </w:r>
          </w:p>
        </w:tc>
        <w:tc>
          <w:tcPr>
            <w:tcW w:w="5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216,533</w:t>
            </w:r>
          </w:p>
        </w:tc>
        <w:tc>
          <w:tcPr>
            <w:tcW w:w="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124,119</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439,556</w:t>
            </w:r>
          </w:p>
        </w:tc>
        <w:tc>
          <w:tcPr>
            <w:tcW w:w="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250,374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income:</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Self-Storage Operations</w:t>
            </w: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500,198</w:t>
            </w:r>
          </w:p>
        </w:tc>
        <w:tc>
          <w:tcPr>
            <w:tcW w:w="6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326,110</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983,724</w:t>
            </w: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642,906</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Tenant Reinsurance</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64,074</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38,951</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126,916</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77,566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segment net operating income:</w:t>
            </w: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564,272</w:t>
            </w: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365,061</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1,110,640</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720,472</w:t>
            </w: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components of net income:</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29,858</w:t>
            </w: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22,206</w:t>
            </w:r>
          </w:p>
        </w:tc>
        <w:tc>
          <w:tcPr>
            <w:tcW w:w="20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60,006</w:t>
            </w: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43,590</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(39,901)</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(34,842)</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(83,623)</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(69,605)</w:t>
            </w:r>
          </w:p>
        </w:tc>
        <w:tc>
          <w:tcPr>
            <w:tcW w:w="0" w:type="dxa"/>
            <w:vAlign w:val="bottom"/>
          </w:tcPr>
          <w:p>
            <w:pPr>
              <w:spacing w:after="0"/>
              <w:rPr>
                <w:sz w:val="1"/>
                <w:szCs w:val="1"/>
                <w:color w:val="auto"/>
              </w:rPr>
            </w:pPr>
          </w:p>
        </w:tc>
      </w:tr>
      <w:tr>
        <w:trPr>
          <w:trHeight w:val="223"/>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(194,809)</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(79,086)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(391,775)</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(157,576)</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(137,133)</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(86,372)</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(270,020)</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(166,471)</w:t>
            </w:r>
          </w:p>
        </w:tc>
        <w:tc>
          <w:tcPr>
            <w:tcW w:w="0" w:type="dxa"/>
            <w:vAlign w:val="bottom"/>
          </w:tcPr>
          <w:p>
            <w:pPr>
              <w:spacing w:after="0"/>
              <w:rPr>
                <w:sz w:val="1"/>
                <w:szCs w:val="1"/>
                <w:color w:val="auto"/>
              </w:rPr>
            </w:pPr>
          </w:p>
        </w:tc>
      </w:tr>
      <w:tr>
        <w:trPr>
          <w:trHeight w:val="157"/>
        </w:trPr>
        <w:tc>
          <w:tcPr>
            <w:tcW w:w="406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Non-cash interest expense related to amortization of</w:t>
            </w:r>
          </w:p>
        </w:tc>
        <w:tc>
          <w:tcPr>
            <w:tcW w:w="5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(10,853)</w:t>
            </w:r>
          </w:p>
        </w:tc>
        <w:tc>
          <w:tcPr>
            <w:tcW w:w="620" w:type="dxa"/>
            <w:vAlign w:val="bottom"/>
          </w:tcPr>
          <w:p>
            <w:pPr>
              <w:spacing w:after="0"/>
              <w:rPr>
                <w:sz w:val="13"/>
                <w:szCs w:val="13"/>
                <w:color w:val="auto"/>
              </w:rPr>
            </w:pPr>
          </w:p>
        </w:tc>
        <w:tc>
          <w:tcPr>
            <w:tcW w:w="13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(21,558)</w:t>
            </w:r>
          </w:p>
        </w:tc>
        <w:tc>
          <w:tcPr>
            <w:tcW w:w="5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discount on Life Storage unsecured senior notes</w:t>
            </w:r>
          </w:p>
        </w:tc>
        <w:tc>
          <w:tcPr>
            <w:tcW w:w="5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31,226</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54,799</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40,515</w:t>
            </w:r>
          </w:p>
        </w:tc>
        <w:tc>
          <w:tcPr>
            <w:tcW w:w="0" w:type="dxa"/>
            <w:vAlign w:val="bottom"/>
          </w:tcPr>
          <w:p>
            <w:pPr>
              <w:spacing w:after="0"/>
              <w:rPr>
                <w:sz w:val="1"/>
                <w:szCs w:val="1"/>
                <w:color w:val="auto"/>
              </w:rPr>
            </w:pPr>
          </w:p>
        </w:tc>
      </w:tr>
      <w:tr>
        <w:trPr>
          <w:trHeight w:val="157"/>
        </w:trPr>
        <w:tc>
          <w:tcPr>
            <w:tcW w:w="406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Equity in earnings and dividend income from</w:t>
            </w:r>
          </w:p>
        </w:tc>
        <w:tc>
          <w:tcPr>
            <w:tcW w:w="5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17,255</w:t>
            </w:r>
          </w:p>
        </w:tc>
        <w:tc>
          <w:tcPr>
            <w:tcW w:w="6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13,254</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32,262</w:t>
            </w:r>
          </w:p>
        </w:tc>
        <w:tc>
          <w:tcPr>
            <w:tcW w:w="5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23,559</w:t>
            </w:r>
          </w:p>
        </w:tc>
        <w:tc>
          <w:tcPr>
            <w:tcW w:w="0" w:type="dxa"/>
            <w:vAlign w:val="bottom"/>
          </w:tcPr>
          <w:p>
            <w:pPr>
              <w:spacing w:after="0"/>
              <w:rPr>
                <w:sz w:val="1"/>
                <w:szCs w:val="1"/>
                <w:color w:val="auto"/>
              </w:rPr>
            </w:pPr>
          </w:p>
        </w:tc>
      </w:tr>
      <w:tr>
        <w:trPr>
          <w:trHeight w:val="210"/>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unconsolidated real estate entities</w:t>
            </w:r>
          </w:p>
        </w:tc>
        <w:tc>
          <w:tcPr>
            <w:tcW w:w="5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expense</w:t>
            </w: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(9,844)</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(5,986)</w:t>
            </w:r>
          </w:p>
        </w:tc>
        <w:tc>
          <w:tcPr>
            <w:tcW w:w="2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(16,586)</w:t>
            </w: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(10,294)</w:t>
            </w:r>
          </w:p>
        </w:tc>
        <w:tc>
          <w:tcPr>
            <w:tcW w:w="0" w:type="dxa"/>
            <w:vAlign w:val="bottom"/>
          </w:tcPr>
          <w:p>
            <w:pPr>
              <w:spacing w:after="0"/>
              <w:rPr>
                <w:sz w:val="1"/>
                <w:szCs w:val="1"/>
                <w:color w:val="auto"/>
              </w:rPr>
            </w:pPr>
          </w:p>
        </w:tc>
      </w:tr>
      <w:tr>
        <w:trPr>
          <w:trHeight w:val="216"/>
        </w:trPr>
        <w:tc>
          <w:tcPr>
            <w:tcW w:w="4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195,412</w:t>
            </w:r>
          </w:p>
        </w:tc>
        <w:tc>
          <w:tcPr>
            <w:tcW w:w="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215,312</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419,486</w:t>
            </w:r>
          </w:p>
        </w:tc>
        <w:tc>
          <w:tcPr>
            <w:tcW w:w="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424,190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16.</w:t>
        <w:tab/>
        <w:t>COMMITMENTS AND CONTINGENCIES</w:t>
      </w:r>
    </w:p>
    <w:p>
      <w:pPr>
        <w:spacing w:after="0" w:line="252"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As of June 30, 2024, the Company was under agreement to acquire four stores at a total purchase price of $49,166. All four stores are scheduled to close in 2024.</w:t>
      </w:r>
    </w:p>
    <w:p>
      <w:pPr>
        <w:spacing w:after="0" w:line="172" w:lineRule="exact"/>
        <w:rPr>
          <w:sz w:val="20"/>
          <w:szCs w:val="20"/>
          <w:color w:val="auto"/>
        </w:rPr>
      </w:pPr>
    </w:p>
    <w:p>
      <w:pPr>
        <w:ind w:right="80" w:firstLine="433"/>
        <w:spacing w:after="0" w:line="264" w:lineRule="auto"/>
        <w:rPr>
          <w:sz w:val="20"/>
          <w:szCs w:val="20"/>
          <w:color w:val="auto"/>
        </w:rPr>
      </w:pPr>
      <w:r>
        <w:rPr>
          <w:rFonts w:ascii="Times New Roman" w:cs="Times New Roman" w:eastAsia="Times New Roman" w:hAnsi="Times New Roman"/>
          <w:sz w:val="17"/>
          <w:szCs w:val="17"/>
          <w:color w:val="auto"/>
        </w:rPr>
        <w:t>As of June 30, 2024,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200"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28" w:name="page29"/>
    <w:bookmarkEnd w:id="28"/>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LANGUAGE</w:t>
      </w:r>
    </w:p>
    <w:p>
      <w:pPr>
        <w:spacing w:after="0" w:line="250"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unaudited </w:t>
      </w:r>
      <w:r>
        <w:rPr>
          <w:rFonts w:ascii="Times New Roman" w:cs="Times New Roman" w:eastAsia="Times New Roman" w:hAnsi="Times New Roman"/>
          <w:sz w:val="17"/>
          <w:szCs w:val="17"/>
          <w:i w:val="1"/>
          <w:iCs w:val="1"/>
          <w:color w:val="auto"/>
        </w:rPr>
        <w:t>“Condensed Consolidated Financial Statements”</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 Condensed Consolidated Financial Statements (unaudited)” </w:t>
      </w:r>
      <w:r>
        <w:rPr>
          <w:rFonts w:ascii="Times New Roman" w:cs="Times New Roman" w:eastAsia="Times New Roman" w:hAnsi="Times New Roman"/>
          <w:sz w:val="17"/>
          <w:szCs w:val="17"/>
          <w:color w:val="auto"/>
        </w:rPr>
        <w:t>appearing elsewhere in this report and the</w:t>
      </w:r>
      <w:r>
        <w:rPr>
          <w:rFonts w:ascii="Times New Roman" w:cs="Times New Roman" w:eastAsia="Times New Roman" w:hAnsi="Times New Roman"/>
          <w:sz w:val="17"/>
          <w:szCs w:val="17"/>
          <w:i w:val="1"/>
          <w:iCs w:val="1"/>
          <w:color w:val="auto"/>
        </w:rPr>
        <w:t xml:space="preserve"> “Consolidated Financial Statements,” “Notes to Consolidated Financial Statements”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“Management’s Discussion and Analysis of Financial Condition and Results of Operations” </w:t>
      </w:r>
      <w:r>
        <w:rPr>
          <w:rFonts w:ascii="Times New Roman" w:cs="Times New Roman" w:eastAsia="Times New Roman" w:hAnsi="Times New Roman"/>
          <w:sz w:val="17"/>
          <w:szCs w:val="17"/>
          <w:color w:val="auto"/>
        </w:rPr>
        <w:t>contained in our</w:t>
      </w:r>
    </w:p>
    <w:p>
      <w:pPr>
        <w:spacing w:after="0" w:line="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Form 10-K for the year ended December 31, 2023. We make statements in this section that are forward-looking statements within the meaning of the federal securities laws. For a complete discussion of forward-looking statements, see the section in this Form 10-Q entitled “</w:t>
      </w:r>
      <w:r>
        <w:rPr>
          <w:rFonts w:ascii="Times New Roman" w:cs="Times New Roman" w:eastAsia="Times New Roman" w:hAnsi="Times New Roman"/>
          <w:sz w:val="17"/>
          <w:szCs w:val="17"/>
          <w:i w:val="1"/>
          <w:iCs w:val="1"/>
          <w:color w:val="auto"/>
        </w:rPr>
        <w:t>Statement on Forward-Looking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52"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Our notes to the unaudited condensed consolidated financial statements contained elsewhere in this report and the audited financial statements contained in our Form 10-K for the year ended December 31, 2023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201"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9" w:lineRule="exact"/>
        <w:rPr>
          <w:sz w:val="20"/>
          <w:szCs w:val="20"/>
          <w:color w:val="auto"/>
        </w:rPr>
      </w:pPr>
    </w:p>
    <w:p>
      <w:pPr>
        <w:ind w:right="80" w:firstLine="433"/>
        <w:spacing w:after="0" w:line="264" w:lineRule="auto"/>
        <w:rPr>
          <w:sz w:val="20"/>
          <w:szCs w:val="20"/>
          <w:color w:val="auto"/>
        </w:rPr>
      </w:pPr>
      <w:r>
        <w:rPr>
          <w:rFonts w:ascii="Times New Roman" w:cs="Times New Roman" w:eastAsia="Times New Roman" w:hAnsi="Times New Roman"/>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388"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Our stores are generally situated in highly visible locations clustered around large population centers.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spacing w:after="0" w:line="169" w:lineRule="exact"/>
        <w:rPr>
          <w:sz w:val="20"/>
          <w:szCs w:val="20"/>
          <w:color w:val="auto"/>
        </w:rPr>
      </w:pPr>
    </w:p>
    <w:p>
      <w:pPr>
        <w:ind w:right="160" w:firstLine="433"/>
        <w:spacing w:after="0" w:line="264" w:lineRule="auto"/>
        <w:rPr>
          <w:sz w:val="20"/>
          <w:szCs w:val="20"/>
          <w:color w:val="auto"/>
        </w:rPr>
      </w:pPr>
      <w:r>
        <w:rPr>
          <w:rFonts w:ascii="Times New Roman" w:cs="Times New Roman" w:eastAsia="Times New Roman" w:hAnsi="Times New Roman"/>
          <w:sz w:val="17"/>
          <w:szCs w:val="17"/>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 leading technology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PROPERTIES</w:t>
      </w:r>
    </w:p>
    <w:p>
      <w:pPr>
        <w:spacing w:after="0" w:line="252" w:lineRule="exact"/>
        <w:rPr>
          <w:sz w:val="20"/>
          <w:szCs w:val="20"/>
          <w:color w:val="auto"/>
        </w:rPr>
      </w:pPr>
    </w:p>
    <w:p>
      <w:pPr>
        <w:ind w:right="160" w:firstLine="433"/>
        <w:spacing w:after="0" w:line="267" w:lineRule="auto"/>
        <w:rPr>
          <w:sz w:val="20"/>
          <w:szCs w:val="20"/>
          <w:color w:val="auto"/>
        </w:rPr>
      </w:pPr>
      <w:r>
        <w:rPr>
          <w:rFonts w:ascii="Times New Roman" w:cs="Times New Roman" w:eastAsia="Times New Roman" w:hAnsi="Times New Roman"/>
          <w:sz w:val="17"/>
          <w:szCs w:val="17"/>
          <w:color w:val="auto"/>
        </w:rPr>
        <w:t>As of June 30, 2024, we owned or had ownership interests in 2,389 operating stores. Of these stores, 1,912 are wholly-owned, five are in consolidated joint ventures, and 472 are in unconsolidated joint ventures. In addition, we managed an additional 1,423 stores for third parties bringing the total number of stores which we own and/or manage to 3,812. These stores are located in 42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98"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As of June 30, 2024, approximately 2,235,000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June 30, 2024, the average length of stay for tenants who have vacated was approximately 17.5 months.</w:t>
      </w:r>
    </w:p>
    <w:p>
      <w:pPr>
        <w:spacing w:after="0" w:line="198"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The average annual rent per square foot for our existing customers at stabilized stores, net of discounts and bad debt, was $20.38 for the three months ended June 30, 2024 and 2023. Average annual rent per square foot for new leases was $15.60 for the three months ended June 30, 2024, compared to $17.15 for the three months ended June 30, 2023. The average discounts, as a percentage of rental revenues, at all stabilized properties during these periods were 2.3% and 2.7%, respectively.</w:t>
      </w:r>
    </w:p>
    <w:p>
      <w:pPr>
        <w:spacing w:after="0" w:line="196" w:lineRule="exact"/>
        <w:rPr>
          <w:sz w:val="20"/>
          <w:szCs w:val="20"/>
          <w:color w:val="auto"/>
        </w:rPr>
      </w:pPr>
    </w:p>
    <w:p>
      <w:pPr>
        <w:ind w:right="40" w:firstLine="433"/>
        <w:spacing w:after="0" w:line="297" w:lineRule="auto"/>
        <w:rPr>
          <w:sz w:val="20"/>
          <w:szCs w:val="20"/>
          <w:color w:val="auto"/>
        </w:rPr>
      </w:pPr>
      <w:r>
        <w:rPr>
          <w:rFonts w:ascii="Times New Roman" w:cs="Times New Roman" w:eastAsia="Times New Roman" w:hAnsi="Times New Roman"/>
          <w:sz w:val="17"/>
          <w:szCs w:val="17"/>
          <w:color w:val="auto"/>
        </w:rPr>
        <w:t>Our store portfolio is made up of different types of construction and building configurations. Most often sites are what we consider “hybrid” stores, a mix of drive-up and multi-floor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7"/>
          <w:szCs w:val="17"/>
          <w:color w:val="auto"/>
        </w:rPr>
        <w:t>The following table presents additional information regarding net rentable square feet and the number of stores by state.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2280" w:type="dxa"/>
            <w:vAlign w:val="bottom"/>
            <w:tcBorders>
              <w:bottom w:val="single" w:sz="8" w:color="auto"/>
            </w:tcBorders>
            <w:gridSpan w:val="2"/>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REIT Owned</w:t>
            </w:r>
          </w:p>
        </w:tc>
        <w:tc>
          <w:tcPr>
            <w:tcW w:w="222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Joint Venture Owned</w:t>
            </w:r>
          </w:p>
        </w:tc>
        <w:tc>
          <w:tcPr>
            <w:tcW w:w="2220" w:type="dxa"/>
            <w:vAlign w:val="bottom"/>
            <w:tcBorders>
              <w:bottom w:val="single" w:sz="8" w:color="auto"/>
            </w:tcBorders>
            <w:gridSpan w:val="2"/>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Managed</w:t>
            </w:r>
          </w:p>
        </w:tc>
        <w:tc>
          <w:tcPr>
            <w:tcW w:w="8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1"/>
        </w:trPr>
        <w:tc>
          <w:tcPr>
            <w:tcW w:w="2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8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860" w:type="dxa"/>
            <w:vAlign w:val="bottom"/>
          </w:tcPr>
          <w:p>
            <w:pPr>
              <w:jc w:val="right"/>
              <w:ind w:right="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300" w:type="dxa"/>
            <w:vAlign w:val="bottom"/>
          </w:tcPr>
          <w:p>
            <w:pPr>
              <w:jc w:val="right"/>
              <w:ind w:right="10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16"/>
                <w:szCs w:val="16"/>
                <w:b w:val="1"/>
                <w:bCs w:val="1"/>
                <w:color w:val="auto"/>
              </w:rPr>
              <w:t>Count</w:t>
            </w:r>
            <w:r>
              <w:rPr>
                <w:rFonts w:ascii="Times New Roman" w:cs="Times New Roman" w:eastAsia="Times New Roman" w:hAnsi="Times New Roman"/>
                <w:sz w:val="20"/>
                <w:szCs w:val="20"/>
                <w:b w:val="1"/>
                <w:bCs w:val="1"/>
                <w:color w:val="auto"/>
                <w:vertAlign w:val="superscript"/>
              </w:rPr>
              <w:t>(1)</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8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2,968,178</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150,909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905,600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4,024,687</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3,557,234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2,090,168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3,597,543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9,244,945</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217</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17,812,279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3,715,629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12,151,077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33,678,985</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1,891,461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938,525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2,387,692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5,217,678</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1,756,149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713,967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859,009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3,329,125</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143,640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307,281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450,921</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247</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18,536,270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4,655,500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182</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14,226,330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37,418,100</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119</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9,138,907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1,929,485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4,360,387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15,428,779</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941,639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258,750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1,200,389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131,689</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290,407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422,096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7,669,251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939,747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3,780,187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12,389,185</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4,042,285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57,760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1,983,907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6,083,952</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Iowa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86,929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86,929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50,314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108,921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314,519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473,754</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1,093,249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51,796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1,036,033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2,181,078</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771,728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1,253,493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2,025,221</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Maine</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352,887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753,996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1,106,883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3,468,922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900,099</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3,724,799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8,093,820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4,138,857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984,579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2,550,353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7,673,789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675,219</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309,052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900,230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1,884,501</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710,094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646,538</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1,112,636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2,469,268</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561,454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537,293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1,098,747</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2,353,476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508,324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1,692,237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4,554,037</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372,210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372,210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2,843,868</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837,105</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1,124,780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4,805,753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1,277,778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84,693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870,485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2,232,956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7,082,660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2,617,729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64</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4,982,843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14,683,232</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762,097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681,410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1,084,074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2,527,581</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5,693,991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2,318,986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6,258,761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14,271,738</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3,756,712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629,967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2,832,344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7,219,023</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3,432,140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327,017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1,584,362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5,343,519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269,973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1,590,885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1,860,858</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550,120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166,658</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431,467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1,148,245</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2,369,148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941,646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3,939,738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7,250,532</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351,392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95,844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535,703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982,939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2,974,760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710,647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3,102,457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6,787,864</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2,410,235</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1,092,106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1,947,531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5,449,872</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20,050,338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5,497,864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148</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12,238,599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37,786,801</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733,676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3,192,714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3,926,390</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5,941,618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759,216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2,458,088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9,158,922</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1,089,844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199,465</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1,285,895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2,575,204</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Washington, DC</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100,203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104,230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532,410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736,843</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97,638</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882,949</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1,430,914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2,411,501</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Totals</w:t>
            </w: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1,917</w:t>
            </w: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144,409,733</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472</w:t>
            </w: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36,792,171</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1,423</w:t>
            </w: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110,866,948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292,068,852</w:t>
            </w:r>
          </w:p>
        </w:tc>
        <w:tc>
          <w:tcPr>
            <w:tcW w:w="0" w:type="dxa"/>
            <w:vAlign w:val="bottom"/>
          </w:tcPr>
          <w:p>
            <w:pPr>
              <w:spacing w:after="0"/>
              <w:rPr>
                <w:sz w:val="1"/>
                <w:szCs w:val="1"/>
                <w:color w:val="auto"/>
              </w:rPr>
            </w:pP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80" w:hanging="375"/>
        <w:spacing w:after="0"/>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five consolidated joint ventures and excludes approximately 18,000 units related to Bargold.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48"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and six months ended June 30, 2024 and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Overview</w:t>
      </w:r>
    </w:p>
    <w:p>
      <w:pPr>
        <w:spacing w:after="0" w:line="121"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Results for the three and six months ended June 30, 2024 included the operations of 2,389 stores (1,912 wholly-owned, five in consolidated joint ventures, and 472 in joint ventures accounted for using the equity method) compared to the results for the three and six months ended June 30, 2023, which included the operations of 1,457 stores (1,133 wholly-owned, one in a consolidated joint venture, and 323 in joint ventures accounted for using the equity method).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Revenues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revenues earned for the periods indicated:</w:t>
      </w:r>
    </w:p>
    <w:p>
      <w:pPr>
        <w:spacing w:after="0" w:line="136"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6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30,</w:t>
            </w: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36130" cy="141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rental</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697,100</w:t>
            </w:r>
          </w:p>
        </w:tc>
        <w:tc>
          <w:tcPr>
            <w:tcW w:w="12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256,353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58.2 %</w:t>
            </w:r>
          </w:p>
        </w:tc>
        <w:tc>
          <w:tcPr>
            <w:tcW w:w="12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1,385,144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874,709</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510,435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58.4 %</w:t>
            </w:r>
          </w:p>
        </w:tc>
      </w:tr>
      <w:tr>
        <w:trPr>
          <w:trHeight w:val="223"/>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Tenant reinsurance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165,052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68,915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71.7 %</w:t>
            </w:r>
          </w:p>
        </w:tc>
      </w:tr>
      <w:tr>
        <w:trPr>
          <w:trHeight w:val="223"/>
        </w:trPr>
        <w:tc>
          <w:tcPr>
            <w:tcW w:w="32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7"/>
                <w:szCs w:val="17"/>
                <w:color w:val="auto"/>
              </w:rPr>
              <w:t>Management fees and other income</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60,006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37.7 %</w:t>
            </w:r>
          </w:p>
        </w:tc>
      </w:tr>
      <w:tr>
        <w:trPr>
          <w:trHeight w:val="228"/>
        </w:trPr>
        <w:tc>
          <w:tcPr>
            <w:tcW w:w="3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revenues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299,277</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1,610,202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1,014,436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595,766</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right="260" w:firstLine="433"/>
        <w:spacing w:after="0" w:line="262" w:lineRule="auto"/>
        <w:rPr>
          <w:sz w:val="20"/>
          <w:szCs w:val="20"/>
          <w:color w:val="auto"/>
        </w:rPr>
      </w:pPr>
      <w:r>
        <w:rPr>
          <w:rFonts w:ascii="Times New Roman" w:cs="Times New Roman" w:eastAsia="Times New Roman" w:hAnsi="Times New Roman"/>
          <w:sz w:val="17"/>
          <w:szCs w:val="17"/>
          <w:b w:val="1"/>
          <w:bCs w:val="1"/>
          <w:color w:val="auto"/>
        </w:rPr>
        <w:t>Property Rental—</w:t>
      </w:r>
      <w:r>
        <w:rPr>
          <w:rFonts w:ascii="Times New Roman" w:cs="Times New Roman" w:eastAsia="Times New Roman" w:hAnsi="Times New Roman"/>
          <w:sz w:val="17"/>
          <w:szCs w:val="17"/>
          <w:color w:val="auto"/>
        </w:rPr>
        <w:t>The increase in property rental revenues for the three and six months ended June 30, 2024 was primarily the result of an increase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$501,213 associated with the merger of Life Storage (the “Life Storage Merger”), other acquisitions completed in 2023, and acquisitions completed in the first six months of 2024. We acquired 761 wholly-owned stores in 2023 and an additional nine wholly-owned stores during the six months ended June 30, 2024.</w:t>
      </w:r>
    </w:p>
    <w:p>
      <w:pPr>
        <w:spacing w:after="0" w:line="186" w:lineRule="exact"/>
        <w:rPr>
          <w:sz w:val="20"/>
          <w:szCs w:val="20"/>
          <w:color w:val="auto"/>
        </w:rPr>
      </w:pPr>
    </w:p>
    <w:p>
      <w:pPr>
        <w:ind w:right="18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Tenant Reinsurance—</w:t>
      </w:r>
      <w:r>
        <w:rPr>
          <w:rFonts w:ascii="Times New Roman" w:cs="Times New Roman" w:eastAsia="Times New Roman" w:hAnsi="Times New Roman"/>
          <w:sz w:val="17"/>
          <w:szCs w:val="17"/>
          <w:color w:val="auto"/>
        </w:rPr>
        <w:t>The increase in tenant reinsurance revenues was due primarily to an increase in the number of stores operated. We operated 3,812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stores at June 30, 2024 compared to 2,388 stores at June 30, 2023.</w:t>
      </w:r>
    </w:p>
    <w:p>
      <w:pPr>
        <w:spacing w:after="0" w:line="169" w:lineRule="exact"/>
        <w:rPr>
          <w:sz w:val="20"/>
          <w:szCs w:val="20"/>
          <w:color w:val="auto"/>
        </w:rPr>
      </w:pPr>
    </w:p>
    <w:p>
      <w:pPr>
        <w:ind w:right="22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Management Fees and Other Income—</w:t>
      </w:r>
      <w:r>
        <w:rPr>
          <w:rFonts w:ascii="Times New Roman" w:cs="Times New Roman" w:eastAsia="Times New Roman" w:hAnsi="Times New Roman"/>
          <w:sz w:val="17"/>
          <w:szCs w:val="17"/>
          <w:color w:val="auto"/>
        </w:rPr>
        <w:t>Management fees and other income primarily represent the fees collected for our management of stores owned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third parties and unconsolidated joint ventures and other transaction fee income. The increase for the three and six months ended June 30, 2024 was due to both an increase in the number of stores managed and an increase in the overall revenue of stores under management when compared to the same period last year. As of June 30, 2024, we managed 1,895 stores for joint ventures and third parties, compared to 1,254 stores as of June 30,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expenses for the periods indicated:</w:t>
      </w:r>
    </w:p>
    <w:p>
      <w:pPr>
        <w:spacing w:after="0" w:line="136"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8"/>
        </w:trPr>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30,</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5"/>
              </w:rPr>
              <w:t>% Chan</w:t>
            </w:r>
          </w:p>
        </w:tc>
      </w:tr>
    </w:tbl>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-118745</wp:posOffset>
            </wp:positionV>
            <wp:extent cx="6922770" cy="141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2770" cy="141605"/>
                    </a:xfrm>
                    <a:prstGeom prst="rect">
                      <a:avLst/>
                    </a:prstGeom>
                    <a:noFill/>
                  </pic:spPr>
                </pic:pic>
              </a:graphicData>
            </a:graphic>
          </wp:anchor>
        </w:drawing>
      </w:r>
    </w:p>
    <w:p>
      <w:pPr>
        <w:spacing w:after="0" w:line="14"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Property operations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196,902</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114,637</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82,265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71.8 %</w:t>
            </w:r>
          </w:p>
        </w:tc>
        <w:tc>
          <w:tcPr>
            <w:tcW w:w="18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401,420</w:t>
            </w:r>
          </w:p>
        </w:tc>
        <w:tc>
          <w:tcPr>
            <w:tcW w:w="120" w:type="dxa"/>
            <w:vAlign w:val="bottom"/>
          </w:tcPr>
          <w:p>
            <w:pPr>
              <w:spacing w:after="0"/>
              <w:rPr>
                <w:sz w:val="19"/>
                <w:szCs w:val="19"/>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231,803</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169,617</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23"/>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Tenant reinsurance</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107.0 %</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23"/>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14,018</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3"/>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146.3 %</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157,576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234,199</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3"/>
        </w:trPr>
        <w:tc>
          <w:tcPr>
            <w:tcW w:w="29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expenses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451,243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213,196</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89.6 %</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914,954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477,555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437,399</w:t>
            </w: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
        </w:trPr>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30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Property Operations—</w:t>
      </w:r>
      <w:r>
        <w:rPr>
          <w:rFonts w:ascii="Times New Roman" w:cs="Times New Roman" w:eastAsia="Times New Roman" w:hAnsi="Times New Roman"/>
          <w:sz w:val="17"/>
          <w:szCs w:val="17"/>
          <w:color w:val="auto"/>
        </w:rPr>
        <w:t>The increase in property operations expense during the three and six months ended June 30, 2024 consists primarily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 of $152,504 related to the Life Storage Merger, other acquisitions completed in 2023, and acquisitions completed in the first six months of 2024. We acquired 761 wholly-owned stores in 2023 and an additional nine wholly-owned stores during the six months ended June 30, 2024. Additionally, for the three and six months ended June 30,</w:t>
      </w: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512" w:right="239" w:bottom="1440" w:gutter="0" w:footer="0" w:header="0"/>
        </w:sectPr>
      </w:pPr>
    </w:p>
    <w:bookmarkStart w:id="32" w:name="page33"/>
    <w:bookmarkEnd w:id="32"/>
    <w:p>
      <w:pPr>
        <w:ind w:right="320"/>
        <w:spacing w:after="0" w:line="297" w:lineRule="auto"/>
        <w:rPr>
          <w:sz w:val="20"/>
          <w:szCs w:val="20"/>
          <w:color w:val="auto"/>
        </w:rPr>
      </w:pPr>
      <w:r>
        <w:rPr>
          <w:rFonts w:ascii="Times New Roman" w:cs="Times New Roman" w:eastAsia="Times New Roman" w:hAnsi="Times New Roman"/>
          <w:sz w:val="17"/>
          <w:szCs w:val="17"/>
          <w:color w:val="auto"/>
        </w:rPr>
        <w:t>2024 there was an increase of $17,340 at our stabilized stores primarily due to property and casualty insurance, payroll, marketing, and property tax, partially offset by utilities.</w:t>
      </w:r>
    </w:p>
    <w:p>
      <w:pPr>
        <w:spacing w:after="0" w:line="170" w:lineRule="exact"/>
        <w:rPr>
          <w:sz w:val="20"/>
          <w:szCs w:val="20"/>
          <w:color w:val="auto"/>
        </w:rPr>
      </w:pPr>
    </w:p>
    <w:p>
      <w:pPr>
        <w:ind w:right="50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Tenant Reinsurance—</w:t>
      </w:r>
      <w:r>
        <w:rPr>
          <w:rFonts w:ascii="Times New Roman" w:cs="Times New Roman" w:eastAsia="Times New Roman" w:hAnsi="Times New Roman"/>
          <w:sz w:val="17"/>
          <w:szCs w:val="17"/>
          <w:color w:val="auto"/>
        </w:rPr>
        <w:t>Tenant reinsurance expense represents the costs that are incurred to provide tenant reinsurance. These increases are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to an increase in stores. We operated 3,812 stores at June 30, 2024 compared to 2,388 stores at June 30, 2023.</w:t>
      </w:r>
    </w:p>
    <w:p>
      <w:pPr>
        <w:spacing w:after="0" w:line="155" w:lineRule="exact"/>
        <w:rPr>
          <w:sz w:val="20"/>
          <w:szCs w:val="20"/>
          <w:color w:val="auto"/>
        </w:rPr>
      </w:pPr>
    </w:p>
    <w:p>
      <w:pPr>
        <w:ind w:right="120" w:firstLine="433"/>
        <w:spacing w:after="0" w:line="255" w:lineRule="auto"/>
        <w:rPr>
          <w:sz w:val="20"/>
          <w:szCs w:val="20"/>
          <w:color w:val="auto"/>
        </w:rPr>
      </w:pPr>
      <w:r>
        <w:rPr>
          <w:rFonts w:ascii="Times New Roman" w:cs="Times New Roman" w:eastAsia="Times New Roman" w:hAnsi="Times New Roman"/>
          <w:sz w:val="17"/>
          <w:szCs w:val="17"/>
          <w:b w:val="1"/>
          <w:bCs w:val="1"/>
          <w:color w:val="auto"/>
        </w:rPr>
        <w:t>General and Administrative—</w:t>
      </w:r>
      <w:r>
        <w:rPr>
          <w:rFonts w:ascii="Times New Roman" w:cs="Times New Roman" w:eastAsia="Times New Roman" w:hAnsi="Times New Roman"/>
          <w:sz w:val="17"/>
          <w:szCs w:val="17"/>
          <w:color w:val="auto"/>
        </w:rPr>
        <w:t>General and administrative expenses primarily include all expenses not directly related to our stores, including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payroll, office expense, office rent, travel and professional fees. These expenses are recognized as incurred. Our overall General and Administrative expense has increased primarily as a result of our increased size through acquisitions, business combinations and growth through our joint venture partners and managed portfolio.</w:t>
      </w:r>
    </w:p>
    <w:p>
      <w:pPr>
        <w:spacing w:after="0" w:line="205" w:lineRule="exact"/>
        <w:rPr>
          <w:sz w:val="20"/>
          <w:szCs w:val="20"/>
          <w:color w:val="auto"/>
        </w:rPr>
      </w:pPr>
    </w:p>
    <w:p>
      <w:pPr>
        <w:ind w:right="140" w:firstLine="433"/>
        <w:spacing w:after="0" w:line="278" w:lineRule="auto"/>
        <w:rPr>
          <w:sz w:val="20"/>
          <w:szCs w:val="20"/>
          <w:color w:val="auto"/>
        </w:rPr>
      </w:pPr>
      <w:r>
        <w:rPr>
          <w:rFonts w:ascii="Times New Roman" w:cs="Times New Roman" w:eastAsia="Times New Roman" w:hAnsi="Times New Roman"/>
          <w:sz w:val="17"/>
          <w:szCs w:val="17"/>
          <w:b w:val="1"/>
          <w:bCs w:val="1"/>
          <w:color w:val="auto"/>
        </w:rPr>
        <w:t>Depreciation and Amortization—</w:t>
      </w:r>
      <w:r>
        <w:rPr>
          <w:rFonts w:ascii="Times New Roman" w:cs="Times New Roman" w:eastAsia="Times New Roman" w:hAnsi="Times New Roman"/>
          <w:sz w:val="17"/>
          <w:szCs w:val="17"/>
          <w:color w:val="auto"/>
        </w:rPr>
        <w:t>Depreciation and amortization expense increased as a result of the acquisition of new stores. We acquired 761 wholly-owned stores in 2023 and an additional nine wholly-owned stores during the six months ended June 30, 2024. Additionally, the increase relates to the amortization of intangibles recorded as part of the Life Storage Merger.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Revenues and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other revenues and expenses for the periods indicated:</w:t>
      </w:r>
    </w:p>
    <w:p>
      <w:pPr>
        <w:spacing w:after="0" w:line="13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74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real estate assets held for sale</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(54,659)</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(54,659)</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(103,549)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59"/>
        </w:trPr>
        <w:tc>
          <w:tcPr>
            <w:tcW w:w="31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Non-cash interest expense related to</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amortization of discount on Life Storage</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(10,853)</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(21,558)</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(21,558)</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senior notes</w:t>
            </w: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59"/>
        </w:trPr>
        <w:tc>
          <w:tcPr>
            <w:tcW w:w="31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Equity in earnings and dividend income from</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32,262</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8,703</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unconsolidated real estate entities</w:t>
            </w: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64.5 %</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28"/>
        </w:trPr>
        <w:tc>
          <w:tcPr>
            <w:tcW w:w="3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revenues &amp; expenses, net</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182.6 %</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(275,762)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(112,691)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(163,071)</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right="40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Loss on real estate assets held for sale— </w:t>
      </w:r>
      <w:r>
        <w:rPr>
          <w:rFonts w:ascii="Times New Roman" w:cs="Times New Roman" w:eastAsia="Times New Roman" w:hAnsi="Times New Roman"/>
          <w:sz w:val="17"/>
          <w:szCs w:val="17"/>
          <w:color w:val="auto"/>
        </w:rPr>
        <w:t>During the three months ended June 30, 2024, the Company listed seven properties for sale. The properties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been recorded at current fair value less selling costs which resulted in an estimated loss of $54,659.</w:t>
      </w:r>
    </w:p>
    <w:p>
      <w:pPr>
        <w:spacing w:after="0" w:line="169" w:lineRule="exact"/>
        <w:rPr>
          <w:sz w:val="20"/>
          <w:szCs w:val="20"/>
          <w:color w:val="auto"/>
        </w:rPr>
      </w:pPr>
    </w:p>
    <w:p>
      <w:pPr>
        <w:ind w:right="10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color w:val="auto"/>
        </w:rPr>
        <w:t>The increase in interest expense during the three and six months ended June 30, 2024 was primarily the result of a higher debt balance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higher weighted average interest rate compared to the same period in the prior year. As of June 30, 2024, we had approximately $11.8 billion in total face value of debt, compared to approximately $7.5 billion at June 30, 2023. The increase in the face value of debt is due to the Life Storage Merger. The weighted average interest rate of the total of fixed- and variable-rate debt was 4.6% at June 30, 2024, compared to 4.5% at June 30, 2023.</w:t>
      </w:r>
    </w:p>
    <w:p>
      <w:pPr>
        <w:spacing w:after="0" w:line="179" w:lineRule="exact"/>
        <w:rPr>
          <w:sz w:val="20"/>
          <w:szCs w:val="20"/>
          <w:color w:val="auto"/>
        </w:rPr>
      </w:pPr>
    </w:p>
    <w:p>
      <w:pPr>
        <w:ind w:right="580" w:firstLine="433"/>
        <w:spacing w:after="0" w:line="283" w:lineRule="auto"/>
        <w:rPr>
          <w:sz w:val="20"/>
          <w:szCs w:val="20"/>
          <w:color w:val="auto"/>
        </w:rPr>
      </w:pPr>
      <w:r>
        <w:rPr>
          <w:rFonts w:ascii="Times New Roman" w:cs="Times New Roman" w:eastAsia="Times New Roman" w:hAnsi="Times New Roman"/>
          <w:sz w:val="17"/>
          <w:szCs w:val="17"/>
          <w:b w:val="1"/>
          <w:bCs w:val="1"/>
          <w:color w:val="auto"/>
        </w:rPr>
        <w:t>Non-cash Interest Expense Related to Amortization of Discount on Life Storage Unsecured Senior Notes—</w:t>
      </w:r>
      <w:r>
        <w:rPr>
          <w:rFonts w:ascii="Times New Roman" w:cs="Times New Roman" w:eastAsia="Times New Roman" w:hAnsi="Times New Roman"/>
          <w:sz w:val="17"/>
          <w:szCs w:val="17"/>
          <w:color w:val="auto"/>
        </w:rPr>
        <w:t>Represents the amortization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discount assigned to the fair value of the Life Storage unsecured senior notes assumed as part of the Life Storage Merger.</w:t>
      </w:r>
    </w:p>
    <w:p>
      <w:pPr>
        <w:spacing w:after="0" w:line="182" w:lineRule="exact"/>
        <w:rPr>
          <w:sz w:val="20"/>
          <w:szCs w:val="20"/>
          <w:color w:val="auto"/>
        </w:rPr>
      </w:pPr>
    </w:p>
    <w:p>
      <w:pPr>
        <w:ind w:right="20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Interest Income—</w:t>
      </w:r>
      <w:r>
        <w:rPr>
          <w:rFonts w:ascii="Times New Roman" w:cs="Times New Roman" w:eastAsia="Times New Roman" w:hAnsi="Times New Roman"/>
          <w:sz w:val="17"/>
          <w:szCs w:val="17"/>
          <w:color w:val="auto"/>
        </w:rPr>
        <w:t>Interest income represents interest earned on variable interest rate bridge loans, debt securities and on notes receivable from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Preferred Operating Partnership unit holders. The increase in interest income during the three and six months ended June 30, 2024 was primarily the result of an increase in amount of bridge loans held combined with an increase in interest rates. The balance of bridge loans was $1,136,306 as of June 30, 2024, compared to $540,355 as of June 30, 2023.</w:t>
      </w:r>
    </w:p>
    <w:p>
      <w:pPr>
        <w:spacing w:after="0" w:line="192" w:lineRule="exact"/>
        <w:rPr>
          <w:sz w:val="20"/>
          <w:szCs w:val="20"/>
          <w:color w:val="auto"/>
        </w:rPr>
      </w:pPr>
    </w:p>
    <w:p>
      <w:pPr>
        <w:ind w:right="260" w:firstLine="433"/>
        <w:spacing w:after="0" w:line="266" w:lineRule="auto"/>
        <w:rPr>
          <w:sz w:val="20"/>
          <w:szCs w:val="20"/>
          <w:color w:val="auto"/>
        </w:rPr>
      </w:pPr>
      <w:r>
        <w:rPr>
          <w:rFonts w:ascii="Times New Roman" w:cs="Times New Roman" w:eastAsia="Times New Roman" w:hAnsi="Times New Roman"/>
          <w:sz w:val="17"/>
          <w:szCs w:val="17"/>
          <w:b w:val="1"/>
          <w:bCs w:val="1"/>
          <w:color w:val="auto"/>
        </w:rPr>
        <w:t>Equity in Earnings and Dividend Income from Unconsolidated Real Estate Entities—</w:t>
      </w:r>
      <w:r>
        <w:rPr>
          <w:rFonts w:ascii="Times New Roman" w:cs="Times New Roman" w:eastAsia="Times New Roman" w:hAnsi="Times New Roman"/>
          <w:sz w:val="17"/>
          <w:szCs w:val="17"/>
          <w:color w:val="auto"/>
        </w:rPr>
        <w:t>Equity in earnings of unconsolidated real estate entities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We added a total of 154 stores to new and existing joint ventures (145 stores from the Life Storage Merger) during 2023. These additional joint ventures have contributed to the increase. Dividend income represents dividends from our investment in preferred stock of SmartStop Self Storage REIT, Inc. and Strategic Storage Trust VI, Inc.</w:t>
      </w: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515" w:right="239" w:bottom="1440" w:gutter="0" w:footer="0" w:header="0"/>
        </w:sectPr>
      </w:pPr>
    </w:p>
    <w:bookmarkStart w:id="33" w:name="page34"/>
    <w:bookmarkEnd w:id="33"/>
    <w:p>
      <w:pPr>
        <w:ind w:right="22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Income Tax Expense</w:t>
      </w:r>
      <w:r>
        <w:rPr>
          <w:rFonts w:ascii="Times New Roman" w:cs="Times New Roman" w:eastAsia="Times New Roman" w:hAnsi="Times New Roman"/>
          <w:sz w:val="17"/>
          <w:szCs w:val="17"/>
          <w:color w:val="auto"/>
        </w:rPr>
        <w:t>—The increase in income tax expense for the three and six months ended June 30, 2024 was primarily the result of an increase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book income and a decrease in permanent tax deductions related to stock awards.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FUNDS FROM OPERATIONS</w:t>
      </w:r>
    </w:p>
    <w:p>
      <w:pPr>
        <w:spacing w:after="0" w:line="252" w:lineRule="exact"/>
        <w:rPr>
          <w:sz w:val="20"/>
          <w:szCs w:val="20"/>
          <w:color w:val="auto"/>
        </w:rPr>
      </w:pPr>
    </w:p>
    <w:p>
      <w:pPr>
        <w:ind w:firstLine="433"/>
        <w:spacing w:after="0" w:line="262" w:lineRule="auto"/>
        <w:rPr>
          <w:sz w:val="20"/>
          <w:szCs w:val="20"/>
          <w:color w:val="auto"/>
        </w:rPr>
      </w:pPr>
      <w:r>
        <w:rPr>
          <w:rFonts w:ascii="Times New Roman" w:cs="Times New Roman" w:eastAsia="Times New Roman" w:hAnsi="Times New Roman"/>
          <w:sz w:val="17"/>
          <w:szCs w:val="17"/>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204"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the calculation of FFO for the periods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26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6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stockholders</w:t>
            </w: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202,410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398,714</w:t>
            </w:r>
          </w:p>
        </w:tc>
      </w:tr>
      <w:tr>
        <w:trPr>
          <w:trHeight w:val="249"/>
        </w:trPr>
        <w:tc>
          <w:tcPr>
            <w:tcW w:w="6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depreciation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143,633</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7,779</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real estate assets held for sale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Unconsolidated joint venture real estate 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9,661</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paid on Series A Preferred Operating Partnership units</w:t>
            </w: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allocated to Operating Partnership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12,902</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25,476</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Funds from operations attributable to common stockholders and unit holders</w:t>
            </w:r>
          </w:p>
        </w:tc>
        <w:tc>
          <w:tcPr>
            <w:tcW w:w="2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439,434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296,028</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855,004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585,104</w:t>
            </w: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SAME-STORE RESULTS</w:t>
      </w:r>
    </w:p>
    <w:p>
      <w:pPr>
        <w:spacing w:after="0" w:line="252" w:lineRule="exact"/>
        <w:rPr>
          <w:sz w:val="20"/>
          <w:szCs w:val="20"/>
          <w:color w:val="auto"/>
        </w:rPr>
      </w:pPr>
    </w:p>
    <w:p>
      <w:pPr>
        <w:ind w:right="220" w:firstLine="433"/>
        <w:spacing w:after="0" w:line="263" w:lineRule="auto"/>
        <w:rPr>
          <w:sz w:val="20"/>
          <w:szCs w:val="20"/>
          <w:color w:val="auto"/>
        </w:rPr>
      </w:pPr>
      <w:r>
        <w:rPr>
          <w:rFonts w:ascii="Times New Roman" w:cs="Times New Roman" w:eastAsia="Times New Roman" w:hAnsi="Times New Roman"/>
          <w:sz w:val="17"/>
          <w:szCs w:val="17"/>
          <w:color w:val="auto"/>
        </w:rPr>
        <w:t>Our same-store pool for the periods presented consists of 1,078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tbl>
      <w:tblPr>
        <w:tblLayout w:type="fixed"/>
        <w:tblInd w:w="440" w:type="dxa"/>
        <w:tblCellMar>
          <w:top w:w="0" w:type="dxa"/>
          <w:left w:w="0" w:type="dxa"/>
          <w:bottom w:w="0" w:type="dxa"/>
          <w:right w:w="0" w:type="dxa"/>
        </w:tblCellMar>
      </w:tblPr>
      <w:tr>
        <w:trPr>
          <w:trHeight w:val="147"/>
        </w:trPr>
        <w:tc>
          <w:tcPr>
            <w:tcW w:w="4300" w:type="dxa"/>
            <w:vAlign w:val="bottom"/>
          </w:tcPr>
          <w:p>
            <w:pPr>
              <w:spacing w:after="0"/>
              <w:rPr>
                <w:sz w:val="12"/>
                <w:szCs w:val="12"/>
                <w:color w:val="auto"/>
              </w:rPr>
            </w:pPr>
          </w:p>
        </w:tc>
        <w:tc>
          <w:tcPr>
            <w:tcW w:w="2340" w:type="dxa"/>
            <w:vAlign w:val="bottom"/>
            <w:gridSpan w:val="7"/>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0" w:type="dxa"/>
            <w:vAlign w:val="bottom"/>
            <w:gridSpan w:val="6"/>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Same-store rental revenues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rental income</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403,087</w:t>
            </w:r>
          </w:p>
        </w:tc>
        <w:tc>
          <w:tcPr>
            <w:tcW w:w="36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400,279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2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801,879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795,538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operating income</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same-store rental revenues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419,249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416,704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833,906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827,283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62"/>
        </w:trPr>
        <w:tc>
          <w:tcPr>
            <w:tcW w:w="4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Same-store operating expenses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Payroll and benefits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44,990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3"/>
        </w:trPr>
        <w:tc>
          <w:tcPr>
            <w:tcW w:w="4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Marketing</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Office expense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3"/>
        </w:trPr>
        <w:tc>
          <w:tcPr>
            <w:tcW w:w="4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Property operating expense</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19,904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Repairs and maintenance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3"/>
        </w:trPr>
        <w:tc>
          <w:tcPr>
            <w:tcW w:w="4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Property taxes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37,284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74,700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Insurance</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17.4 %</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same-store operating expenses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99,928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213,777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202,117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62"/>
        </w:trPr>
        <w:tc>
          <w:tcPr>
            <w:tcW w:w="43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Same-store net operating income</w:t>
            </w: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313,322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316,776</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620,129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625,166</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Same-store square foot occupancy as of year end</w:t>
            </w:r>
          </w:p>
        </w:tc>
        <w:tc>
          <w:tcPr>
            <w:tcW w:w="200" w:type="dxa"/>
            <w:vAlign w:val="bottom"/>
          </w:tcPr>
          <w:p>
            <w:pPr>
              <w:spacing w:after="0"/>
              <w:rPr>
                <w:sz w:val="19"/>
                <w:szCs w:val="19"/>
                <w:color w:val="auto"/>
              </w:rPr>
            </w:pPr>
          </w:p>
        </w:tc>
        <w:tc>
          <w:tcPr>
            <w:tcW w:w="8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94.3%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94.0%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94.0%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same-store square foot occupancy</w:t>
            </w:r>
          </w:p>
        </w:tc>
        <w:tc>
          <w:tcPr>
            <w:tcW w:w="200" w:type="dxa"/>
            <w:vAlign w:val="bottom"/>
          </w:tcPr>
          <w:p>
            <w:pPr>
              <w:spacing w:after="0"/>
              <w:rPr>
                <w:sz w:val="19"/>
                <w:szCs w:val="19"/>
                <w:color w:val="auto"/>
              </w:rPr>
            </w:pPr>
          </w:p>
        </w:tc>
        <w:tc>
          <w:tcPr>
            <w:tcW w:w="8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94.1%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93.7%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93.6%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93.2%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Properties included in same-store</w:t>
            </w:r>
          </w:p>
        </w:tc>
        <w:tc>
          <w:tcPr>
            <w:tcW w:w="200" w:type="dxa"/>
            <w:vAlign w:val="bottom"/>
          </w:tcPr>
          <w:p>
            <w:pPr>
              <w:spacing w:after="0"/>
              <w:rPr>
                <w:sz w:val="19"/>
                <w:szCs w:val="19"/>
                <w:color w:val="auto"/>
              </w:rPr>
            </w:pPr>
          </w:p>
        </w:tc>
        <w:tc>
          <w:tcPr>
            <w:tcW w:w="8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1,078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1,078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1,078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1,078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512" w:right="239" w:bottom="1440" w:gutter="0" w:footer="0" w:header="0"/>
        </w:sectPr>
      </w:pPr>
    </w:p>
    <w:bookmarkStart w:id="35" w:name="page36"/>
    <w:bookmarkEnd w:id="35"/>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presents a reconciliation of same-store net operating income to net income as presented on our condensed consolidated statements of operations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34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5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195,412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215,312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419,486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424,190</w:t>
            </w:r>
          </w:p>
        </w:tc>
      </w:tr>
      <w:tr>
        <w:trPr>
          <w:trHeight w:val="223"/>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Adjusted to exclude: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on real estate assets held for sale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0"/>
        </w:trPr>
        <w:tc>
          <w:tcPr>
            <w:tcW w:w="5580" w:type="dxa"/>
            <w:vAlign w:val="bottom"/>
          </w:tcPr>
          <w:p>
            <w:pPr>
              <w:ind w:left="220"/>
              <w:spacing w:after="0" w:line="171" w:lineRule="exact"/>
              <w:rPr>
                <w:sz w:val="20"/>
                <w:szCs w:val="20"/>
                <w:color w:val="auto"/>
              </w:rPr>
            </w:pPr>
            <w:r>
              <w:rPr>
                <w:rFonts w:ascii="Times New Roman" w:cs="Times New Roman" w:eastAsia="Times New Roman" w:hAnsi="Times New Roman"/>
                <w:sz w:val="17"/>
                <w:szCs w:val="17"/>
                <w:color w:val="auto"/>
              </w:rPr>
              <w:t>Equity in earnings and dividend income from unconsolidated real estate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6"/>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entities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(23,559)</w:t>
            </w: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137,133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86,372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270,020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166,471</w:t>
            </w:r>
          </w:p>
        </w:tc>
      </w:tr>
      <w:tr>
        <w:trPr>
          <w:trHeight w:val="170"/>
        </w:trPr>
        <w:tc>
          <w:tcPr>
            <w:tcW w:w="5580" w:type="dxa"/>
            <w:vAlign w:val="bottom"/>
          </w:tcPr>
          <w:p>
            <w:pPr>
              <w:ind w:left="220"/>
              <w:spacing w:after="0" w:line="171" w:lineRule="exact"/>
              <w:rPr>
                <w:sz w:val="20"/>
                <w:szCs w:val="20"/>
                <w:color w:val="auto"/>
              </w:rPr>
            </w:pPr>
            <w:r>
              <w:rPr>
                <w:rFonts w:ascii="Times New Roman" w:cs="Times New Roman" w:eastAsia="Times New Roman" w:hAnsi="Times New Roman"/>
                <w:sz w:val="17"/>
                <w:szCs w:val="17"/>
                <w:color w:val="auto"/>
              </w:rPr>
              <w:t>Non-cash interest expense related to amortization of discount on Life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6"/>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Storage unsecured senior notes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194,809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391,775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157,576</w:t>
            </w:r>
          </w:p>
        </w:tc>
      </w:tr>
      <w:tr>
        <w:trPr>
          <w:trHeight w:val="223"/>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10,294</w:t>
            </w: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39,901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34,842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83,623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69,605</w:t>
            </w:r>
          </w:p>
        </w:tc>
      </w:tr>
      <w:tr>
        <w:trPr>
          <w:trHeight w:val="223"/>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fees, other income and interest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(61,084)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(84,105)</w:t>
            </w: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tenant insurance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(64,074)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(38,951)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(126,916)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(77,566)</w:t>
            </w:r>
          </w:p>
        </w:tc>
      </w:tr>
      <w:tr>
        <w:trPr>
          <w:trHeight w:val="223"/>
        </w:trPr>
        <w:tc>
          <w:tcPr>
            <w:tcW w:w="5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 same-store rental revenue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(277,851)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(551,238)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(47,426)</w:t>
            </w:r>
          </w:p>
        </w:tc>
      </w:tr>
      <w:tr>
        <w:trPr>
          <w:trHeight w:val="22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 same-store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90,975</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14,709</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187,643</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29,686</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same-store net operating income</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313,322</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316,776</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620,129</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625,166</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8"/>
        </w:trPr>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Same-store rental revenues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419,249</w:t>
            </w:r>
          </w:p>
        </w:tc>
        <w:tc>
          <w:tcPr>
            <w:tcW w:w="24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416,704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833,906</w:t>
            </w:r>
          </w:p>
        </w:tc>
        <w:tc>
          <w:tcPr>
            <w:tcW w:w="24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827,283</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Same-store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105,927</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99,928</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213,777</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202,117</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Same-store net operating income</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313,322</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316,776</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620,129</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625,166</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52"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Cash flows from operating activities for the six months ended June 30, 2024 increased when compared to the same period in the prior year. Cash flows used in investing activities relate primarily to our acquisition and development of new stores, sales of stores, investments in unconsolidated real estate entities and notes receivable from bridge loans, and fluctuate depending on our actions in those areas. Cash flows from financing activities depend primarily on our debt and equity financing activities. A summary of cash flows along with significant components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8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629,527</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(764,767)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(357,586)</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(316,763)</w:t>
            </w:r>
          </w:p>
        </w:tc>
      </w:tr>
      <w:tr>
        <w:trPr>
          <w:trHeight w:val="262"/>
        </w:trPr>
        <w:tc>
          <w:tcPr>
            <w:tcW w:w="8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Significant components of net cash flow included: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419,486</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424,190</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157,576</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real estate assets held for sale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66,587</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 and development of real estate assets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(164,660)</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Investment in unconsolidated real estate entities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(171,126)</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and purchase of notes receivable, net of principal payments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(77,637)</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unsecured term loans and senior notes and revolving lines of credit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3,263,470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2,479,592</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payments on unsecured term loans and senior notes and revolving lines of credit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(3,407,382)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(3,246,378)</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issuance of public bonds,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950,000</w:t>
            </w:r>
          </w:p>
        </w:tc>
      </w:tr>
      <w:tr>
        <w:trPr>
          <w:trHeight w:val="228"/>
        </w:trPr>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(438,783)</w:t>
            </w:r>
          </w:p>
        </w:tc>
      </w:tr>
    </w:tbl>
    <w:p>
      <w:pPr>
        <w:spacing w:after="0" w:line="305" w:lineRule="exact"/>
        <w:rPr>
          <w:sz w:val="20"/>
          <w:szCs w:val="20"/>
          <w:color w:val="auto"/>
        </w:rPr>
      </w:pPr>
    </w:p>
    <w:p>
      <w:pPr>
        <w:ind w:right="40" w:firstLine="433"/>
        <w:spacing w:after="0" w:line="270" w:lineRule="auto"/>
        <w:rPr>
          <w:sz w:val="20"/>
          <w:szCs w:val="20"/>
          <w:color w:val="auto"/>
        </w:rPr>
      </w:pPr>
      <w:r>
        <w:rPr>
          <w:rFonts w:ascii="Times New Roman" w:cs="Times New Roman" w:eastAsia="Times New Roman" w:hAnsi="Times New Roman"/>
          <w:sz w:val="17"/>
          <w:szCs w:val="17"/>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twelve months. These cash needs include operating expenses, monthly debt service payments, recurring capital expenditures, acquisitions, funding for the bridge loan program, building redevelopments and expansions, distributions to unit holders and dividends to stockholders necessary to maintain our REIT qualification.</w:t>
      </w:r>
    </w:p>
    <w:p>
      <w:pPr>
        <w:spacing w:after="0" w:line="196" w:lineRule="exact"/>
        <w:rPr>
          <w:sz w:val="20"/>
          <w:szCs w:val="20"/>
          <w:color w:val="auto"/>
        </w:rPr>
      </w:pPr>
    </w:p>
    <w:p>
      <w:pPr>
        <w:jc w:val="both"/>
        <w:ind w:right="20" w:firstLine="433"/>
        <w:spacing w:after="0" w:line="277" w:lineRule="auto"/>
        <w:rPr>
          <w:sz w:val="20"/>
          <w:szCs w:val="20"/>
          <w:color w:val="auto"/>
        </w:rPr>
      </w:pPr>
      <w:r>
        <w:rPr>
          <w:rFonts w:ascii="Times New Roman" w:cs="Times New Roman" w:eastAsia="Times New Roman" w:hAnsi="Times New Roman"/>
          <w:sz w:val="17"/>
          <w:szCs w:val="17"/>
          <w:color w:val="auto"/>
        </w:rPr>
        <w:t>We expect to generate positive cash flow from operations in 2024, and we consider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6" w:lineRule="exact"/>
        <w:rPr>
          <w:sz w:val="20"/>
          <w:szCs w:val="20"/>
          <w:color w:val="auto"/>
        </w:rPr>
      </w:pPr>
    </w:p>
    <w:p>
      <w:pPr>
        <w:ind w:right="200" w:firstLine="433"/>
        <w:spacing w:after="0" w:line="270" w:lineRule="auto"/>
        <w:rPr>
          <w:sz w:val="20"/>
          <w:szCs w:val="20"/>
          <w:color w:val="auto"/>
        </w:rPr>
      </w:pPr>
      <w:r>
        <w:rPr>
          <w:rFonts w:ascii="Times New Roman" w:cs="Times New Roman" w:eastAsia="Times New Roman" w:hAnsi="Times New Roman"/>
          <w:sz w:val="17"/>
          <w:szCs w:val="17"/>
          <w:color w:val="auto"/>
        </w:rPr>
        <w:t>As of June 30, 2024, we had $76,973 available in cash and cash equivalents. Our cash and cash equivalents are held in accounts managed by third party financial institutions and consist of invested cash and cash in our operating accounts. During 2024 and 2023, we experienced no loss or lack of access to our cash or cash equivalents; however, there can be no assurance that access to our cash and cash equivalents will not be impacted by adverse conditions in the financial markets.</w:t>
      </w:r>
    </w:p>
    <w:p>
      <w:pPr>
        <w:spacing w:after="0" w:line="196" w:lineRule="exact"/>
        <w:rPr>
          <w:sz w:val="20"/>
          <w:szCs w:val="20"/>
          <w:color w:val="auto"/>
        </w:rPr>
      </w:pPr>
    </w:p>
    <w:p>
      <w:pPr>
        <w:ind w:right="120" w:firstLine="433"/>
        <w:spacing w:after="0" w:line="267" w:lineRule="auto"/>
        <w:rPr>
          <w:sz w:val="20"/>
          <w:szCs w:val="20"/>
          <w:color w:val="auto"/>
        </w:rPr>
      </w:pPr>
      <w:r>
        <w:rPr>
          <w:rFonts w:ascii="Times New Roman" w:cs="Times New Roman" w:eastAsia="Times New Roman" w:hAnsi="Times New Roman"/>
          <w:sz w:val="17"/>
          <w:szCs w:val="17"/>
          <w:color w:val="auto"/>
        </w:rPr>
        <w:t>As of June 30, 2024, we had $11,803,723 face value of debt, resulting in a debt to total enterprise value ratio of 25.5%. As of June 30, 2024, the ratio of total fixed-rate debt and other instruments to total debt was 75.0% ($8,857,343 total fixed-rate debt including $1,383,303 on which we have interest rate swaps that have been included as fixed-rate debt). The weighted average interest rate of the total of fixed- and variable-rate debt at June 30, 2024 was 4.6%. Certain real estate assets are pledged as collateral for our debt. We are subject to certain restrictive covenants relating to our outstanding debt. We were in compliance with all financial covenants at June 30, 2024.</w:t>
      </w:r>
    </w:p>
    <w:p>
      <w:pPr>
        <w:spacing w:after="0" w:line="198" w:lineRule="exact"/>
        <w:rPr>
          <w:sz w:val="20"/>
          <w:szCs w:val="20"/>
          <w:color w:val="auto"/>
        </w:rPr>
      </w:pPr>
    </w:p>
    <w:p>
      <w:pPr>
        <w:ind w:right="420" w:firstLine="433"/>
        <w:spacing w:after="0" w:line="270" w:lineRule="auto"/>
        <w:rPr>
          <w:sz w:val="20"/>
          <w:szCs w:val="20"/>
          <w:color w:val="auto"/>
        </w:rPr>
      </w:pPr>
      <w:r>
        <w:rPr>
          <w:rFonts w:ascii="Times New Roman" w:cs="Times New Roman" w:eastAsia="Times New Roman" w:hAnsi="Times New Roman"/>
          <w:sz w:val="17"/>
          <w:szCs w:val="17"/>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ind w:right="260" w:firstLine="433"/>
        <w:spacing w:after="0" w:line="254" w:lineRule="auto"/>
        <w:rPr>
          <w:sz w:val="20"/>
          <w:szCs w:val="20"/>
          <w:color w:val="auto"/>
        </w:rPr>
      </w:pPr>
      <w:r>
        <w:rPr>
          <w:rFonts w:ascii="Times New Roman" w:cs="Times New Roman" w:eastAsia="Times New Roman" w:hAnsi="Times New Roman"/>
          <w:sz w:val="17"/>
          <w:szCs w:val="17"/>
          <w:color w:val="auto"/>
        </w:rPr>
        <w:t>We hold a BBB+/Stable rating from S&amp;P, which was upgraded from BBB/Stable in July 2023 in connection with the Life Storage Merger, and a Baa2 rating from Moody's Investors Service. We intend to manage our balance sheet to maintain these ratings. Certain of our real estate assets are pledged as collateral for our debt. As of June 30, 2024, we had a total of 1,680 unencumbered stores as defined by our public bonds. Our unencumbered asset value was calculated as $32,357,105 and our total asset value was calculated as $38,192,174 according to the calculations as defined by our public bonds.</w:t>
      </w:r>
    </w:p>
    <w:p>
      <w:pPr>
        <w:spacing w:after="0" w:line="208" w:lineRule="exact"/>
        <w:rPr>
          <w:sz w:val="20"/>
          <w:szCs w:val="20"/>
          <w:color w:val="auto"/>
        </w:rPr>
      </w:pPr>
    </w:p>
    <w:p>
      <w:pPr>
        <w:ind w:firstLine="433"/>
        <w:spacing w:after="0" w:line="252" w:lineRule="auto"/>
        <w:rPr>
          <w:sz w:val="20"/>
          <w:szCs w:val="20"/>
          <w:color w:val="auto"/>
        </w:rPr>
      </w:pPr>
      <w:r>
        <w:rPr>
          <w:rFonts w:ascii="Times New Roman" w:cs="Times New Roman" w:eastAsia="Times New Roman" w:hAnsi="Times New Roman"/>
          <w:sz w:val="17"/>
          <w:szCs w:val="17"/>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11" w:lineRule="exact"/>
        <w:rPr>
          <w:sz w:val="20"/>
          <w:szCs w:val="20"/>
          <w:color w:val="auto"/>
        </w:rPr>
      </w:pPr>
    </w:p>
    <w:p>
      <w:pPr>
        <w:ind w:right="40" w:firstLine="433"/>
        <w:spacing w:after="0" w:line="252" w:lineRule="auto"/>
        <w:rPr>
          <w:sz w:val="20"/>
          <w:szCs w:val="20"/>
          <w:color w:val="auto"/>
        </w:rPr>
      </w:pPr>
      <w:r>
        <w:rPr>
          <w:rFonts w:ascii="Times New Roman" w:cs="Times New Roman" w:eastAsia="Times New Roman" w:hAnsi="Times New Roman"/>
          <w:sz w:val="17"/>
          <w:szCs w:val="17"/>
          <w:color w:val="auto"/>
        </w:rPr>
        <w:t>On April 15, 2024, we entered into equity distribution agreement (the “Equity Distribution Agreement”) with certain sales agents and forward purchasers named therein. Under the terms of the Equity Distribution Agreement, we may issue and sell, and the forward purchasers may sell, from time to time through or to the sales agents, shares of our common stock having an aggregate offering price of up to $800 million. The shares of common stock will be offered pursuant to our effective registration statement on Form S-3 (Registration Statement No. 333-278690) previously filed with and declared effective by the Securities and Exchange Commission (the “SEC”) and a prospectus supplement and accompanying prospectus, filed with the SEC. As of June 30, 2024, no shares have been sold under the Equity Distribution Agreement, which we refer to as our "at the market" equity program.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52"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52"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38" w:name="page39"/>
    <w:bookmarkEnd w:id="38"/>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121" w:lineRule="exact"/>
        <w:rPr>
          <w:sz w:val="20"/>
          <w:szCs w:val="20"/>
          <w:color w:val="auto"/>
        </w:rPr>
      </w:pPr>
    </w:p>
    <w:p>
      <w:pPr>
        <w:ind w:right="180" w:firstLine="433"/>
        <w:spacing w:after="0" w:line="297" w:lineRule="auto"/>
        <w:rPr>
          <w:sz w:val="20"/>
          <w:szCs w:val="20"/>
          <w:color w:val="auto"/>
        </w:rPr>
      </w:pPr>
      <w:r>
        <w:rPr>
          <w:rFonts w:ascii="Times New Roman" w:cs="Times New Roman" w:eastAsia="Times New Roman" w:hAnsi="Times New Roman"/>
          <w:sz w:val="17"/>
          <w:szCs w:val="17"/>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21" w:lineRule="exact"/>
        <w:rPr>
          <w:sz w:val="20"/>
          <w:szCs w:val="20"/>
          <w:color w:val="auto"/>
        </w:rPr>
      </w:pPr>
    </w:p>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Interest rate risk is highly sensitive to many factors, including governmental monetary and tax policies, domestic and international economic and political considerations and other factors beyond our control.</w:t>
      </w:r>
    </w:p>
    <w:p>
      <w:pPr>
        <w:spacing w:after="0" w:line="41" w:lineRule="exact"/>
        <w:rPr>
          <w:sz w:val="20"/>
          <w:szCs w:val="20"/>
          <w:color w:val="auto"/>
        </w:rPr>
      </w:pPr>
    </w:p>
    <w:p>
      <w:pPr>
        <w:ind w:right="160" w:firstLine="433"/>
        <w:spacing w:after="0" w:line="277" w:lineRule="auto"/>
        <w:rPr>
          <w:sz w:val="20"/>
          <w:szCs w:val="20"/>
          <w:color w:val="auto"/>
        </w:rPr>
      </w:pPr>
      <w:r>
        <w:rPr>
          <w:rFonts w:ascii="Times New Roman" w:cs="Times New Roman" w:eastAsia="Times New Roman" w:hAnsi="Times New Roman"/>
          <w:sz w:val="17"/>
          <w:szCs w:val="17"/>
          <w:color w:val="auto"/>
        </w:rPr>
        <w:t>As of June 30, 2024, we had approximately $11.8 billion in total face value of debt, of which approximately $2.9 billion was subject to variable interest rates (excluding debt with interest rate swaps). If SOFR was to increase or decrease by 100 basis points, the increase or decrease in interest expense on the variable-rate debt would increase or decrease future earnings and cash flows by approximately $29.5 million annually.</w:t>
      </w:r>
    </w:p>
    <w:p>
      <w:pPr>
        <w:spacing w:after="0" w:line="57"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50" w:lineRule="exact"/>
        <w:rPr>
          <w:sz w:val="20"/>
          <w:szCs w:val="20"/>
          <w:color w:val="auto"/>
        </w:rPr>
      </w:pPr>
    </w:p>
    <w:p>
      <w:pPr>
        <w:ind w:left="620" w:hanging="615"/>
        <w:spacing w:after="0"/>
        <w:tabs>
          <w:tab w:leader="none" w:pos="6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Controls and Procedures</w:t>
      </w:r>
    </w:p>
    <w:p>
      <w:pPr>
        <w:spacing w:after="0" w:line="252" w:lineRule="exact"/>
        <w:rPr>
          <w:sz w:val="20"/>
          <w:szCs w:val="20"/>
          <w:color w:val="auto"/>
        </w:rPr>
      </w:pPr>
    </w:p>
    <w:p>
      <w:pPr>
        <w:ind w:right="120" w:firstLine="433"/>
        <w:spacing w:after="0" w:line="263" w:lineRule="auto"/>
        <w:rPr>
          <w:sz w:val="20"/>
          <w:szCs w:val="20"/>
          <w:color w:val="auto"/>
        </w:rPr>
      </w:pPr>
      <w:r>
        <w:rPr>
          <w:rFonts w:ascii="Times New Roman" w:cs="Times New Roman" w:eastAsia="Times New Roman" w:hAnsi="Times New Roman"/>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1"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72" w:lineRule="exact"/>
        <w:rPr>
          <w:sz w:val="20"/>
          <w:szCs w:val="20"/>
          <w:color w:val="auto"/>
        </w:rPr>
      </w:pPr>
    </w:p>
    <w:p>
      <w:pPr>
        <w:jc w:val="both"/>
        <w:ind w:right="40" w:firstLine="433"/>
        <w:spacing w:after="0" w:line="270" w:lineRule="auto"/>
        <w:rPr>
          <w:sz w:val="20"/>
          <w:szCs w:val="20"/>
          <w:color w:val="auto"/>
        </w:rPr>
      </w:pPr>
      <w:r>
        <w:rPr>
          <w:rFonts w:ascii="Times New Roman" w:cs="Times New Roman" w:eastAsia="Times New Roman" w:hAnsi="Times New Roman"/>
          <w:sz w:val="17"/>
          <w:szCs w:val="17"/>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94" w:lineRule="exact"/>
        <w:rPr>
          <w:sz w:val="20"/>
          <w:szCs w:val="20"/>
          <w:color w:val="auto"/>
        </w:rPr>
      </w:pPr>
    </w:p>
    <w:p>
      <w:pPr>
        <w:ind w:left="620" w:hanging="615"/>
        <w:spacing w:after="0"/>
        <w:tabs>
          <w:tab w:leader="none" w:pos="6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2"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9" w:name="page40"/>
    <w:bookmarkEnd w:id="39"/>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PART II.</w:t>
        <w:tab/>
        <w:t>OTHER INFORMATION</w:t>
      </w:r>
    </w:p>
    <w:p>
      <w:pPr>
        <w:spacing w:after="0" w:line="2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52"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39" w:lineRule="exact"/>
        <w:rPr>
          <w:sz w:val="20"/>
          <w:szCs w:val="20"/>
          <w:color w:val="auto"/>
        </w:rPr>
      </w:pPr>
    </w:p>
    <w:p>
      <w:pPr>
        <w:ind w:right="60" w:firstLine="433"/>
        <w:spacing w:after="0" w:line="249"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factors discussed in “Part I. Item 1A. Risk Factors” in our Annual Report on Form 10-K for the year ended December 31, 2023, which could materially affect our business, financial condition and results of operations. There have been no material changes to the risk factors described in the “Risk Factors” section in our Annual Report on Form 10-K for the year ended December 31, 2023. The risks described in our Annual Report on Form 10-K and our Quarterly Reports on Form 10-Q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1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52"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During the three months ended June 30, 2024, none of our officers or directors adopted, modified or terminated any contract, instruction or written plan for the purchase or sale of our securities that was intended to satisfy the affirmative defense conditions of Rule 10b5-1(c) or any “non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512" w:right="4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5460" w:type="dxa"/>
            <w:vAlign w:val="bottom"/>
            <w:gridSpan w:val="41"/>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0" w:type="dxa"/>
            <w:vAlign w:val="bottom"/>
          </w:tcPr>
          <w:p>
            <w:pPr>
              <w:spacing w:after="0"/>
              <w:rPr>
                <w:sz w:val="1"/>
                <w:szCs w:val="1"/>
                <w:color w:val="auto"/>
              </w:rPr>
            </w:pPr>
          </w:p>
        </w:tc>
      </w:tr>
      <w:tr>
        <w:trPr>
          <w:trHeight w:val="317"/>
        </w:trPr>
        <w:tc>
          <w:tcPr>
            <w:tcW w:w="260" w:type="dxa"/>
            <w:vAlign w:val="bottom"/>
          </w:tcPr>
          <w:p>
            <w:pPr>
              <w:spacing w:after="0"/>
              <w:rPr>
                <w:sz w:val="24"/>
                <w:szCs w:val="24"/>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31"/>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540" w:type="dxa"/>
            <w:vAlign w:val="bottom"/>
            <w:gridSpan w:val="2"/>
          </w:tcPr>
          <w:p>
            <w:pPr>
              <w:jc w:val="center"/>
              <w:ind w:right="40"/>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3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2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Equity Distribution Agreement, dated April 15, 2024, by and among Extra</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60" w:type="dxa"/>
            <w:vAlign w:val="bottom"/>
            <w:tcBorders>
              <w:top w:val="single" w:sz="8" w:color="0000FF"/>
            </w:tcBorders>
            <w:gridSpan w:val="35"/>
          </w:tcPr>
          <w:p>
            <w:pPr>
              <w:spacing w:after="0" w:line="150"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Space Storage Inc., Extra Space Storage LP, BMO Capital Markets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gridSpan w:val="38"/>
          </w:tcPr>
          <w:p>
            <w:pPr>
              <w:spacing w:after="0" w:line="163"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Corp., BofA Securities, Inc., Citigroup Global Markets Inc., Jefferies</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LLC, J.P. Morgan Securities LLC, Regions Securities LLC, TD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Securities (USA) LLC, Truist Securities, Inc. and Wells Fargo</w:t>
              </w:r>
            </w:hyperlink>
          </w:p>
        </w:tc>
        <w:tc>
          <w:tcPr>
            <w:tcW w:w="680" w:type="dxa"/>
            <w:vAlign w:val="bottom"/>
            <w:tcBorders>
              <w:bottom w:val="single" w:sz="8" w:color="0000FF"/>
            </w:tcBorders>
            <w:gridSpan w:val="24"/>
          </w:tcPr>
          <w:p>
            <w:pPr>
              <w:spacing w:after="0" w:line="150" w:lineRule="exact"/>
              <w:rPr>
                <w:rFonts w:ascii="Times New Roman" w:cs="Times New Roman" w:eastAsia="Times New Roman" w:hAnsi="Times New Roman"/>
                <w:sz w:val="17"/>
                <w:szCs w:val="17"/>
                <w:color w:val="0000FF"/>
                <w:w w:val="92"/>
              </w:rPr>
            </w:pPr>
            <w:hyperlink r:id="rId61">
              <w:r>
                <w:rPr>
                  <w:rFonts w:ascii="Times New Roman" w:cs="Times New Roman" w:eastAsia="Times New Roman" w:hAnsi="Times New Roman"/>
                  <w:sz w:val="17"/>
                  <w:szCs w:val="17"/>
                  <w:color w:val="0000FF"/>
                  <w:w w:val="92"/>
                </w:rPr>
                <w:t>Securities,</w:t>
              </w:r>
            </w:hyperlink>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gridSpan w:val="38"/>
          </w:tcPr>
          <w:p>
            <w:pPr>
              <w:spacing w:after="0" w:line="163"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LLC</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Agreement and Plan of Merger, dated as of April 2, 2023, by and among</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92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Extra Space Storage Inc., Extra Space Storage LP, Eros Merger Sub,</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LLC, Eros OP Merger Sub, LLC, Life Storage, Inc. and Life Storage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20" w:type="dxa"/>
            <w:vAlign w:val="bottom"/>
            <w:tcBorders>
              <w:bottom w:val="single" w:sz="8" w:color="0000FF"/>
            </w:tcBorders>
            <w:gridSpan w:val="10"/>
          </w:tcPr>
          <w:p>
            <w:pPr>
              <w:spacing w:after="0" w:line="163"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LP</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2.2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Amendment to Agreement and Plan of Merger, dated as of May 18, 2023,</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0" w:type="dxa"/>
            <w:vAlign w:val="bottom"/>
            <w:tcBorders>
              <w:top w:val="single" w:sz="8" w:color="0000FF"/>
            </w:tcBorders>
            <w:gridSpan w:val="32"/>
          </w:tcPr>
          <w:p>
            <w:pPr>
              <w:spacing w:after="0" w:line="150"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by and among Extra Space Storage Inc., Extra Space Storage LP, Eros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tcBorders>
              <w:top w:val="single" w:sz="8" w:color="0000FF"/>
            </w:tcBorders>
            <w:gridSpan w:val="27"/>
          </w:tcPr>
          <w:p>
            <w:pPr>
              <w:spacing w:after="0" w:line="163"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Merger Sub, LLC, Eros OP Merger Sub, LLC, Life Storage, Inc. and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Life Storage LP</w:t>
              </w:r>
            </w:hyperlink>
          </w:p>
        </w:tc>
        <w:tc>
          <w:tcPr>
            <w:tcW w:w="370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Amended and Restated Articles of Incorporation of Extra Space</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32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Storage Inc.</w:t>
              </w:r>
            </w:hyperlink>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Articles of Amendment of Extra Space Storage Inc., dated September 28,</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tcBorders>
            <w:gridSpan w:val="3"/>
          </w:tcPr>
          <w:p>
            <w:pPr>
              <w:ind w:left="140"/>
              <w:spacing w:after="0" w:line="150" w:lineRule="exact"/>
              <w:rPr>
                <w:rFonts w:ascii="Times New Roman" w:cs="Times New Roman" w:eastAsia="Times New Roman" w:hAnsi="Times New Roman"/>
                <w:sz w:val="17"/>
                <w:szCs w:val="17"/>
                <w:color w:val="0000FF"/>
                <w:w w:val="99"/>
              </w:rPr>
            </w:pPr>
            <w:hyperlink r:id="rId65">
              <w:r>
                <w:rPr>
                  <w:rFonts w:ascii="Times New Roman" w:cs="Times New Roman" w:eastAsia="Times New Roman" w:hAnsi="Times New Roman"/>
                  <w:sz w:val="17"/>
                  <w:szCs w:val="17"/>
                  <w:color w:val="0000FF"/>
                  <w:w w:val="99"/>
                </w:rPr>
                <w:t>2007.</w:t>
              </w:r>
            </w:hyperlink>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Articles of Amendment of Extra Space Storage Inc., dated August 29,</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tcBorders>
            <w:gridSpan w:val="3"/>
          </w:tcPr>
          <w:p>
            <w:pPr>
              <w:ind w:left="140"/>
              <w:spacing w:after="0" w:line="150" w:lineRule="exact"/>
              <w:rPr>
                <w:rFonts w:ascii="Times New Roman" w:cs="Times New Roman" w:eastAsia="Times New Roman" w:hAnsi="Times New Roman"/>
                <w:sz w:val="17"/>
                <w:szCs w:val="17"/>
                <w:color w:val="0000FF"/>
                <w:w w:val="99"/>
              </w:rPr>
            </w:pPr>
            <w:hyperlink r:id="rId66">
              <w:r>
                <w:rPr>
                  <w:rFonts w:ascii="Times New Roman" w:cs="Times New Roman" w:eastAsia="Times New Roman" w:hAnsi="Times New Roman"/>
                  <w:sz w:val="17"/>
                  <w:szCs w:val="17"/>
                  <w:color w:val="0000FF"/>
                  <w:w w:val="99"/>
                </w:rPr>
                <w:t>2013.</w:t>
              </w:r>
            </w:hyperlink>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tcBorders>
              <w:bottom w:val="single" w:sz="8" w:color="0000FF"/>
            </w:tcBorders>
            <w:gridSpan w:val="34"/>
          </w:tcPr>
          <w:p>
            <w:pPr>
              <w:spacing w:after="0"/>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Articles of Amendment of Extra Space Storage Inc., dated May 21, 2014.</w:t>
              </w:r>
            </w:hyperlink>
          </w:p>
        </w:tc>
        <w:tc>
          <w:tcPr>
            <w:tcW w:w="1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Second Amended and Restated Bylaws of Extra Space Storage Inc.</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3.6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Fourth Amended and Restated Agreement of Limited Partnership of Extra</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20" w:type="dxa"/>
            <w:vAlign w:val="bottom"/>
            <w:tcBorders>
              <w:top w:val="single" w:sz="8" w:color="0000FF"/>
            </w:tcBorders>
            <w:gridSpan w:val="33"/>
          </w:tcPr>
          <w:p>
            <w:pPr>
              <w:spacing w:after="0" w:line="150"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Space Storage LP.</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Junior Subordinated Note</w:t>
              </w:r>
            </w:hyperlink>
          </w:p>
        </w:tc>
        <w:tc>
          <w:tcPr>
            <w:tcW w:w="3480" w:type="dxa"/>
            <w:vAlign w:val="bottom"/>
            <w:gridSpan w:val="3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FF"/>
            </w:tcBorders>
            <w:gridSpan w:val="8"/>
          </w:tcPr>
          <w:p>
            <w:pPr>
              <w:spacing w:after="0"/>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Description of Securities</w:t>
              </w:r>
            </w:hyperlink>
          </w:p>
        </w:tc>
        <w:tc>
          <w:tcPr>
            <w:tcW w:w="35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Indenture, dated as of May 11, 2021, among Extra Space Storage LP, as</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86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issuer, Extra Space Storage Inc., ESS Holdings Business Trust I and</w:t>
              </w:r>
            </w:hyperlink>
          </w:p>
        </w:tc>
        <w:tc>
          <w:tcPr>
            <w:tcW w:w="260" w:type="dxa"/>
            <w:vAlign w:val="bottom"/>
            <w:gridSpan w:val="12"/>
          </w:tcPr>
          <w:p>
            <w:pPr>
              <w:spacing w:after="0" w:line="150" w:lineRule="exact"/>
              <w:rPr>
                <w:rFonts w:ascii="Times New Roman" w:cs="Times New Roman" w:eastAsia="Times New Roman" w:hAnsi="Times New Roman"/>
                <w:sz w:val="17"/>
                <w:szCs w:val="17"/>
                <w:color w:val="0000FF"/>
                <w:w w:val="81"/>
              </w:rPr>
            </w:pPr>
            <w:hyperlink r:id="rId72">
              <w:r>
                <w:rPr>
                  <w:rFonts w:ascii="Times New Roman" w:cs="Times New Roman" w:eastAsia="Times New Roman" w:hAnsi="Times New Roman"/>
                  <w:sz w:val="17"/>
                  <w:szCs w:val="17"/>
                  <w:color w:val="0000FF"/>
                  <w:w w:val="81"/>
                </w:rPr>
                <w:t>ESS</w:t>
              </w:r>
            </w:hyperlink>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00" w:type="dxa"/>
            <w:vAlign w:val="bottom"/>
            <w:tcBorders>
              <w:top w:val="single" w:sz="8" w:color="0000FF"/>
            </w:tcBorders>
            <w:gridSpan w:val="37"/>
          </w:tcPr>
          <w:p>
            <w:pPr>
              <w:spacing w:after="0" w:line="163"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Holdings Business Trust II, as guarantors, and Wells Fargo Bank,</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National Association, as trustee.</w:t>
              </w:r>
            </w:hyperlink>
          </w:p>
        </w:tc>
        <w:tc>
          <w:tcPr>
            <w:tcW w:w="230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First Supplemental Indenture, dated as of May 11, 2021, among Extra</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740" w:type="dxa"/>
            <w:vAlign w:val="bottom"/>
            <w:tcBorders>
              <w:top w:val="single" w:sz="8" w:color="0000FF"/>
              <w:bottom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Space Storage LP, as issuer, Extra Space Storage Inc., ESS Holdings</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4"/>
            <w:vMerge w:val="restart"/>
          </w:tcPr>
          <w:p>
            <w:pPr>
              <w:spacing w:after="0"/>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and</w:t>
              </w:r>
            </w:hyperlink>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23"/>
          </w:tcPr>
          <w:p>
            <w:pPr>
              <w:spacing w:after="0" w:line="163"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Business Trust I and ESS Holdings Business Trust II, as guarantors,</w:t>
              </w:r>
            </w:hyperlink>
          </w:p>
        </w:tc>
        <w:tc>
          <w:tcPr>
            <w:tcW w:w="20" w:type="dxa"/>
            <w:vAlign w:val="bottom"/>
          </w:tcPr>
          <w:p>
            <w:pPr>
              <w:spacing w:after="0"/>
              <w:rPr>
                <w:sz w:val="14"/>
                <w:szCs w:val="14"/>
                <w:color w:val="auto"/>
              </w:rPr>
            </w:pPr>
          </w:p>
        </w:tc>
        <w:tc>
          <w:tcPr>
            <w:tcW w:w="30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40" w:type="dxa"/>
            <w:vAlign w:val="bottom"/>
            <w:tcBorders>
              <w:top w:val="single" w:sz="8" w:color="0000FF"/>
            </w:tcBorders>
            <w:gridSpan w:val="34"/>
          </w:tcPr>
          <w:p>
            <w:pPr>
              <w:spacing w:after="0" w:line="150"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Wells Fargo Bank, National Association, as trustee, including the form</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of the Notes and the Guarantee.</w:t>
              </w:r>
            </w:hyperlink>
          </w:p>
        </w:tc>
        <w:tc>
          <w:tcPr>
            <w:tcW w:w="2760" w:type="dxa"/>
            <w:vAlign w:val="bottom"/>
            <w:tcBorders>
              <w:top w:val="single" w:sz="8" w:color="0000FF"/>
            </w:tcBorders>
            <w:gridSpan w:val="2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Second Supplemental Indenture, dated as of September 22, 2021, among</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94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Extra Space Storage LP, as issuer, Extra Space Storage Inc., ESS</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gridSpan w:val="1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gridSpan w:val="38"/>
          </w:tcPr>
          <w:p>
            <w:pPr>
              <w:spacing w:after="0" w:line="163"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Holdings Business Trust I and ESS Holdings Business Trust II, as</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7"/>
                <w:szCs w:val="17"/>
                <w:color w:val="0000FF"/>
                <w:w w:val="99"/>
              </w:rPr>
            </w:pPr>
            <w:hyperlink r:id="rId74">
              <w:r>
                <w:rPr>
                  <w:rFonts w:ascii="Times New Roman" w:cs="Times New Roman" w:eastAsia="Times New Roman" w:hAnsi="Times New Roman"/>
                  <w:sz w:val="17"/>
                  <w:szCs w:val="17"/>
                  <w:color w:val="0000FF"/>
                  <w:w w:val="99"/>
                </w:rPr>
                <w:t>guarantors, and Wells Fargo Bank, National Association, as trustee,</w:t>
              </w:r>
            </w:hyperlink>
          </w:p>
        </w:tc>
        <w:tc>
          <w:tcPr>
            <w:tcW w:w="12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Borders>
              <w:bottom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including the form of the Notes and the Guarantee.</w:t>
              </w:r>
            </w:hyperlink>
          </w:p>
        </w:tc>
        <w:tc>
          <w:tcPr>
            <w:tcW w:w="116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80" w:type="dxa"/>
            <w:vAlign w:val="bottom"/>
            <w:gridSpan w:val="40"/>
          </w:tcPr>
          <w:p>
            <w:pPr>
              <w:spacing w:after="0"/>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Third Supplemental Indenture, dated as of March 31, 2022, among Extra</w:t>
              </w:r>
            </w:hyperlink>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820" w:type="dxa"/>
            <w:vAlign w:val="bottom"/>
            <w:tcBorders>
              <w:top w:val="single" w:sz="8" w:color="0000FF"/>
              <w:bottom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Space Storage LP, as issuer, Extra Space Storage Inc., ESS Holdings</w:t>
              </w:r>
            </w:hyperlink>
          </w:p>
        </w:tc>
        <w:tc>
          <w:tcPr>
            <w:tcW w:w="140" w:type="dxa"/>
            <w:vAlign w:val="bottom"/>
            <w:tcBorders>
              <w:top w:val="single" w:sz="8" w:color="0000FF"/>
            </w:tcBorders>
            <w:gridSpan w:val="6"/>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bl>
    <w:p>
      <w:pPr>
        <w:ind w:left="1140" w:right="80"/>
        <w:spacing w:after="0" w:line="225" w:lineRule="auto"/>
        <w:rPr>
          <w:rFonts w:ascii="Times New Roman" w:cs="Times New Roman" w:eastAsia="Times New Roman" w:hAnsi="Times New Roman"/>
          <w:sz w:val="17"/>
          <w:szCs w:val="17"/>
          <w:u w:val="single" w:color="auto"/>
          <w:color w:val="0000FF"/>
        </w:rPr>
      </w:pPr>
      <w:hyperlink r:id="rId75">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5">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5">
        <w:r>
          <w:rPr>
            <w:rFonts w:ascii="Times New Roman" w:cs="Times New Roman" w:eastAsia="Times New Roman" w:hAnsi="Times New Roman"/>
            <w:sz w:val="17"/>
            <w:szCs w:val="17"/>
            <w:u w:val="single" w:color="auto"/>
            <w:color w:val="0000FF"/>
          </w:rPr>
          <w:t>the Notes and the Guarantee.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64" w:lineRule="exact"/>
        <w:rPr>
          <w:rFonts w:ascii="Times New Roman" w:cs="Times New Roman" w:eastAsia="Times New Roman" w:hAnsi="Times New Roman"/>
          <w:sz w:val="17"/>
          <w:szCs w:val="17"/>
          <w:u w:val="single" w:color="auto"/>
          <w:color w:val="0000FF"/>
        </w:rPr>
      </w:pPr>
    </w:p>
    <w:p>
      <w:pPr>
        <w:ind w:left="55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200" w:lineRule="exact"/>
        <w:rPr>
          <w:rFonts w:ascii="Times New Roman" w:cs="Times New Roman" w:eastAsia="Times New Roman" w:hAnsi="Times New Roman"/>
          <w:sz w:val="17"/>
          <w:szCs w:val="17"/>
          <w:u w:val="single" w:color="auto"/>
          <w:color w:val="0000FF"/>
        </w:rPr>
      </w:pPr>
    </w:p>
    <w:p>
      <w:pPr>
        <w:spacing w:after="0" w:line="308" w:lineRule="exact"/>
        <w:rPr>
          <w:rFonts w:ascii="Times New Roman" w:cs="Times New Roman" w:eastAsia="Times New Roman" w:hAnsi="Times New Roman"/>
          <w:sz w:val="17"/>
          <w:szCs w:val="17"/>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77"/>
        </w:trPr>
        <w:tc>
          <w:tcPr>
            <w:tcW w:w="12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55"/>
        </w:trPr>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rPr>
              <w:t>S-3ASR</w:t>
            </w:r>
          </w:p>
        </w:tc>
        <w:tc>
          <w:tcPr>
            <w:tcW w:w="140" w:type="dxa"/>
            <w:vAlign w:val="bottom"/>
          </w:tcPr>
          <w:p>
            <w:pPr>
              <w:spacing w:after="0"/>
              <w:rPr>
                <w:sz w:val="22"/>
                <w:szCs w:val="22"/>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color w:val="auto"/>
              </w:rPr>
              <w:t>April 15, 2024</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w:t>
            </w:r>
          </w:p>
        </w:tc>
      </w:tr>
      <w:tr>
        <w:trPr>
          <w:trHeight w:val="1102"/>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color w:val="auto"/>
              </w:rPr>
              <w:t>April 3, 2023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w:t>
            </w:r>
          </w:p>
        </w:tc>
      </w:tr>
      <w:tr>
        <w:trPr>
          <w:trHeight w:val="577"/>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color w:val="auto"/>
              </w:rPr>
              <w:t>July 20, 2023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w:t>
            </w:r>
          </w:p>
        </w:tc>
      </w:tr>
      <w:tr>
        <w:trPr>
          <w:trHeight w:val="747"/>
        </w:trPr>
        <w:tc>
          <w:tcPr>
            <w:tcW w:w="7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S-11</w:t>
            </w:r>
          </w:p>
        </w:tc>
        <w:tc>
          <w:tcPr>
            <w:tcW w:w="140" w:type="dxa"/>
            <w:vAlign w:val="bottom"/>
          </w:tcPr>
          <w:p>
            <w:pPr>
              <w:spacing w:after="0"/>
              <w:rPr>
                <w:sz w:val="24"/>
                <w:szCs w:val="2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August 10, 2004</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407"/>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color w:val="auto"/>
              </w:rPr>
              <w:t>October 3, 2007</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407"/>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August 29, 2013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402"/>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color w:val="auto"/>
              </w:rPr>
              <w:t>May 28, 2014</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223"/>
        </w:trPr>
        <w:tc>
          <w:tcPr>
            <w:tcW w:w="120" w:type="dxa"/>
            <w:vAlign w:val="bottom"/>
          </w:tcPr>
          <w:p>
            <w:pPr>
              <w:spacing w:after="0"/>
              <w:rPr>
                <w:sz w:val="19"/>
                <w:szCs w:val="19"/>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19"/>
                <w:szCs w:val="19"/>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January 17, 2018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228"/>
        </w:trPr>
        <w:tc>
          <w:tcPr>
            <w:tcW w:w="120" w:type="dxa"/>
            <w:vAlign w:val="bottom"/>
          </w:tcPr>
          <w:p>
            <w:pPr>
              <w:spacing w:after="0"/>
              <w:rPr>
                <w:sz w:val="19"/>
                <w:szCs w:val="19"/>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19"/>
                <w:szCs w:val="19"/>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December 6, 2013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w:t>
            </w:r>
          </w:p>
        </w:tc>
      </w:tr>
      <w:tr>
        <w:trPr>
          <w:trHeight w:val="402"/>
        </w:trPr>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10-K</w:t>
            </w:r>
          </w:p>
        </w:tc>
        <w:tc>
          <w:tcPr>
            <w:tcW w:w="140" w:type="dxa"/>
            <w:vAlign w:val="bottom"/>
          </w:tcPr>
          <w:p>
            <w:pPr>
              <w:spacing w:after="0"/>
              <w:rPr>
                <w:sz w:val="24"/>
                <w:szCs w:val="2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February 26, 2010</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w:t>
            </w:r>
          </w:p>
        </w:tc>
      </w:tr>
      <w:tr>
        <w:trPr>
          <w:trHeight w:val="223"/>
        </w:trPr>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10-K</w:t>
            </w:r>
          </w:p>
        </w:tc>
        <w:tc>
          <w:tcPr>
            <w:tcW w:w="140" w:type="dxa"/>
            <w:vAlign w:val="bottom"/>
          </w:tcPr>
          <w:p>
            <w:pPr>
              <w:spacing w:after="0"/>
              <w:rPr>
                <w:sz w:val="19"/>
                <w:szCs w:val="19"/>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February 25, 2020</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w:t>
            </w:r>
          </w:p>
        </w:tc>
      </w:tr>
      <w:tr>
        <w:trPr>
          <w:trHeight w:val="228"/>
        </w:trPr>
        <w:tc>
          <w:tcPr>
            <w:tcW w:w="120" w:type="dxa"/>
            <w:vAlign w:val="bottom"/>
          </w:tcPr>
          <w:p>
            <w:pPr>
              <w:spacing w:after="0"/>
              <w:rPr>
                <w:sz w:val="19"/>
                <w:szCs w:val="19"/>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19"/>
                <w:szCs w:val="19"/>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May 11, 2021</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w:t>
            </w:r>
          </w:p>
        </w:tc>
      </w:tr>
      <w:tr>
        <w:trPr>
          <w:trHeight w:val="747"/>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May 11, 2021</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84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color w:val="auto"/>
              </w:rPr>
              <w:t>September 22, 2021</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120" w:type="dxa"/>
            <w:vAlign w:val="bottom"/>
          </w:tcPr>
          <w:p>
            <w:pPr>
              <w:spacing w:after="0"/>
              <w:rPr>
                <w:sz w:val="24"/>
                <w:szCs w:val="24"/>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8-K</w:t>
            </w:r>
          </w:p>
        </w:tc>
        <w:tc>
          <w:tcPr>
            <w:tcW w:w="140" w:type="dxa"/>
            <w:vAlign w:val="bottom"/>
          </w:tcPr>
          <w:p>
            <w:pPr>
              <w:spacing w:after="0"/>
              <w:rPr>
                <w:sz w:val="24"/>
                <w:szCs w:val="2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rPr>
              <w:t>March 31, 2022</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w:t>
            </w:r>
          </w:p>
        </w:tc>
      </w:tr>
    </w:tbl>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382"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Filed</w:t>
      </w:r>
    </w:p>
    <w:p>
      <w:pPr>
        <w:spacing w:after="0" w:line="1"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Herewith</w:t>
      </w:r>
    </w:p>
    <w:p>
      <w:pPr>
        <w:sectPr>
          <w:pgSz w:w="11900" w:h="16838" w:orient="portrait"/>
          <w:cols w:equalWidth="0" w:num="3">
            <w:col w:w="6260" w:space="140"/>
            <w:col w:w="3180" w:space="400"/>
            <w:col w:w="560"/>
          </w:cols>
          <w:pgMar w:left="320" w:top="1378" w:right="1039" w:bottom="1440" w:gutter="0" w:footer="0" w:header="0"/>
        </w:sectPr>
      </w:pPr>
    </w:p>
    <w:bookmarkStart w:id="41" w:name="page42"/>
    <w:bookmarkEnd w:id="41"/>
    <w:p>
      <w:pPr>
        <w:ind w:left="620" w:right="40" w:hanging="729"/>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4.7</w:t>
      </w:r>
      <w:r>
        <w:rPr>
          <w:sz w:val="20"/>
          <w:szCs w:val="20"/>
          <w:color w:val="auto"/>
        </w:rPr>
        <w:tab/>
      </w:r>
      <w:hyperlink r:id="rId77">
        <w:r>
          <w:rPr>
            <w:rFonts w:ascii="Times New Roman" w:cs="Times New Roman" w:eastAsia="Times New Roman" w:hAnsi="Times New Roman"/>
            <w:sz w:val="17"/>
            <w:szCs w:val="17"/>
            <w:u w:val="single" w:color="auto"/>
            <w:color w:val="0000FF"/>
          </w:rPr>
          <w:t>Fourth Supplemental Indenture, dated as of March 28, 2023, among Extra</w:t>
        </w:r>
      </w:hyperlink>
      <w:r>
        <w:rPr>
          <w:rFonts w:ascii="Times New Roman" w:cs="Times New Roman" w:eastAsia="Times New Roman" w:hAnsi="Times New Roman"/>
          <w:sz w:val="17"/>
          <w:szCs w:val="17"/>
          <w:u w:val="single" w:color="auto"/>
          <w:color w:val="0000FF"/>
        </w:rPr>
        <w:t xml:space="preserve"> </w:t>
      </w:r>
      <w:hyperlink r:id="rId77">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77">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7">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7">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left="40" w:right="2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4.8    </w:t>
      </w:r>
      <w:hyperlink r:id="rId78">
        <w:r>
          <w:rPr>
            <w:rFonts w:ascii="Times New Roman" w:cs="Times New Roman" w:eastAsia="Times New Roman" w:hAnsi="Times New Roman"/>
            <w:sz w:val="17"/>
            <w:szCs w:val="17"/>
            <w:u w:val="single" w:color="auto"/>
            <w:color w:val="0000FF"/>
          </w:rPr>
          <w:t>Fifth Supplemental Indenture, dated as of June 16, 2023, among Extra</w:t>
        </w:r>
      </w:hyperlink>
      <w:r>
        <w:rPr>
          <w:rFonts w:ascii="Times New Roman" w:cs="Times New Roman" w:eastAsia="Times New Roman" w:hAnsi="Times New Roman"/>
          <w:sz w:val="17"/>
          <w:szCs w:val="17"/>
          <w:color w:val="auto"/>
        </w:rPr>
        <w:t xml:space="preserve"> </w:t>
      </w:r>
      <w:hyperlink r:id="rId78">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78">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left="40" w:right="2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4.9    </w:t>
      </w:r>
      <w:hyperlink r:id="rId79">
        <w:r>
          <w:rPr>
            <w:rFonts w:ascii="Times New Roman" w:cs="Times New Roman" w:eastAsia="Times New Roman" w:hAnsi="Times New Roman"/>
            <w:sz w:val="17"/>
            <w:szCs w:val="17"/>
            <w:u w:val="single" w:color="auto"/>
            <w:color w:val="0000FF"/>
          </w:rPr>
          <w:t>Sixth Supplemental Indenture, dated as of July 25, 2023, among Extra</w:t>
        </w:r>
      </w:hyperlink>
      <w:r>
        <w:rPr>
          <w:rFonts w:ascii="Times New Roman" w:cs="Times New Roman" w:eastAsia="Times New Roman" w:hAnsi="Times New Roman"/>
          <w:sz w:val="17"/>
          <w:szCs w:val="17"/>
          <w:color w:val="auto"/>
        </w:rPr>
        <w:t xml:space="preserve"> </w:t>
      </w:r>
      <w:hyperlink r:id="rId79">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79">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9">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9">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100" w:hanging="773"/>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4.10</w:t>
      </w:r>
      <w:r>
        <w:rPr>
          <w:sz w:val="20"/>
          <w:szCs w:val="20"/>
          <w:color w:val="auto"/>
        </w:rPr>
        <w:tab/>
      </w:r>
      <w:hyperlink r:id="rId80">
        <w:r>
          <w:rPr>
            <w:rFonts w:ascii="Times New Roman" w:cs="Times New Roman" w:eastAsia="Times New Roman" w:hAnsi="Times New Roman"/>
            <w:sz w:val="17"/>
            <w:szCs w:val="17"/>
            <w:u w:val="single" w:color="auto"/>
            <w:color w:val="0000FF"/>
          </w:rPr>
          <w:t>Seventh Supplemental Indenture, dated as of July 25, 2023, among Extra</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80">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right="20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4.11    </w:t>
      </w:r>
      <w:hyperlink r:id="rId81">
        <w:r>
          <w:rPr>
            <w:rFonts w:ascii="Times New Roman" w:cs="Times New Roman" w:eastAsia="Times New Roman" w:hAnsi="Times New Roman"/>
            <w:sz w:val="17"/>
            <w:szCs w:val="17"/>
            <w:u w:val="single" w:color="auto"/>
            <w:color w:val="0000FF"/>
          </w:rPr>
          <w:t>Eighth Supplemental Indenture, dated as of July 25, 2023, among Extra</w:t>
        </w:r>
      </w:hyperlink>
      <w:r>
        <w:rPr>
          <w:rFonts w:ascii="Times New Roman" w:cs="Times New Roman" w:eastAsia="Times New Roman" w:hAnsi="Times New Roman"/>
          <w:sz w:val="17"/>
          <w:szCs w:val="17"/>
          <w:color w:val="auto"/>
        </w:rPr>
        <w:t xml:space="preserve"> </w:t>
      </w:r>
      <w:hyperlink r:id="rId81">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81">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right="2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4.12    </w:t>
      </w:r>
      <w:hyperlink r:id="rId82">
        <w:r>
          <w:rPr>
            <w:rFonts w:ascii="Times New Roman" w:cs="Times New Roman" w:eastAsia="Times New Roman" w:hAnsi="Times New Roman"/>
            <w:sz w:val="17"/>
            <w:szCs w:val="17"/>
            <w:u w:val="single" w:color="auto"/>
            <w:color w:val="0000FF"/>
          </w:rPr>
          <w:t>Ninth Supplemental Indenture, dated as of July 25, 2023, among Extra</w:t>
        </w:r>
      </w:hyperlink>
      <w:r>
        <w:rPr>
          <w:rFonts w:ascii="Times New Roman" w:cs="Times New Roman" w:eastAsia="Times New Roman" w:hAnsi="Times New Roman"/>
          <w:sz w:val="17"/>
          <w:szCs w:val="17"/>
          <w:color w:val="auto"/>
        </w:rPr>
        <w:t xml:space="preserve"> </w:t>
      </w:r>
      <w:hyperlink r:id="rId82">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82">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82">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82">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right="2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4.13    </w:t>
      </w:r>
      <w:hyperlink r:id="rId83">
        <w:r>
          <w:rPr>
            <w:rFonts w:ascii="Times New Roman" w:cs="Times New Roman" w:eastAsia="Times New Roman" w:hAnsi="Times New Roman"/>
            <w:sz w:val="17"/>
            <w:szCs w:val="17"/>
            <w:u w:val="single" w:color="auto"/>
            <w:color w:val="0000FF"/>
          </w:rPr>
          <w:t>Tenth Supplemental Indenture, dated as of July 25, 2023, among Extra</w:t>
        </w:r>
      </w:hyperlink>
      <w:r>
        <w:rPr>
          <w:rFonts w:ascii="Times New Roman" w:cs="Times New Roman" w:eastAsia="Times New Roman" w:hAnsi="Times New Roman"/>
          <w:sz w:val="17"/>
          <w:szCs w:val="17"/>
          <w:color w:val="auto"/>
        </w:rPr>
        <w:t xml:space="preserve"> </w:t>
      </w:r>
      <w:hyperlink r:id="rId83">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spacing w:after="0" w:line="224" w:lineRule="auto"/>
        <w:rPr>
          <w:rFonts w:ascii="Times New Roman" w:cs="Times New Roman" w:eastAsia="Times New Roman" w:hAnsi="Times New Roman"/>
          <w:sz w:val="17"/>
          <w:szCs w:val="17"/>
          <w:u w:val="single" w:color="auto"/>
          <w:color w:val="0000FF"/>
        </w:rPr>
      </w:pPr>
      <w:hyperlink r:id="rId83">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120" w:hanging="773"/>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4.14</w:t>
      </w:r>
      <w:r>
        <w:rPr>
          <w:sz w:val="20"/>
          <w:szCs w:val="20"/>
          <w:color w:val="auto"/>
        </w:rPr>
        <w:tab/>
      </w:r>
      <w:hyperlink r:id="rId84">
        <w:r>
          <w:rPr>
            <w:rFonts w:ascii="Times New Roman" w:cs="Times New Roman" w:eastAsia="Times New Roman" w:hAnsi="Times New Roman"/>
            <w:sz w:val="17"/>
            <w:szCs w:val="17"/>
            <w:u w:val="single" w:color="auto"/>
            <w:color w:val="0000FF"/>
          </w:rPr>
          <w:t>Eleventh Supplemental Indenture, dated as of December 1, 2023, among</w:t>
        </w:r>
      </w:hyperlink>
      <w:r>
        <w:rPr>
          <w:rFonts w:ascii="Times New Roman" w:cs="Times New Roman" w:eastAsia="Times New Roman" w:hAnsi="Times New Roman"/>
          <w:sz w:val="17"/>
          <w:szCs w:val="17"/>
          <w:u w:val="single" w:color="auto"/>
          <w:color w:val="0000FF"/>
        </w:rPr>
        <w:t xml:space="preserve"> </w:t>
      </w:r>
      <w:hyperlink r:id="rId84">
        <w:r>
          <w:rPr>
            <w:rFonts w:ascii="Times New Roman" w:cs="Times New Roman" w:eastAsia="Times New Roman" w:hAnsi="Times New Roman"/>
            <w:sz w:val="17"/>
            <w:szCs w:val="17"/>
            <w:u w:val="single" w:color="auto"/>
            <w:color w:val="0000FF"/>
          </w:rPr>
          <w:t>Extra Space Storage LP, as issuer, Extra Space Storage Inc., ESS</w:t>
        </w:r>
      </w:hyperlink>
    </w:p>
    <w:p>
      <w:pPr>
        <w:spacing w:after="0" w:line="1" w:lineRule="exact"/>
        <w:rPr>
          <w:sz w:val="20"/>
          <w:szCs w:val="20"/>
          <w:color w:val="auto"/>
        </w:rPr>
      </w:pPr>
    </w:p>
    <w:p>
      <w:pPr>
        <w:jc w:val="both"/>
        <w:ind w:left="780" w:right="440"/>
        <w:spacing w:after="0" w:line="224" w:lineRule="auto"/>
        <w:rPr>
          <w:rFonts w:ascii="Times New Roman" w:cs="Times New Roman" w:eastAsia="Times New Roman" w:hAnsi="Times New Roman"/>
          <w:sz w:val="17"/>
          <w:szCs w:val="17"/>
          <w:u w:val="single" w:color="auto"/>
          <w:color w:val="0000FF"/>
        </w:rPr>
      </w:pPr>
      <w:hyperlink r:id="rId84">
        <w:r>
          <w:rPr>
            <w:rFonts w:ascii="Times New Roman" w:cs="Times New Roman" w:eastAsia="Times New Roman" w:hAnsi="Times New Roman"/>
            <w:sz w:val="17"/>
            <w:szCs w:val="17"/>
            <w:u w:val="single" w:color="auto"/>
            <w:color w:val="0000FF"/>
          </w:rPr>
          <w:t>Holdings Business Trust I and ESS Holdings Business Trust II, as</w:t>
        </w:r>
      </w:hyperlink>
      <w:r>
        <w:rPr>
          <w:rFonts w:ascii="Times New Roman" w:cs="Times New Roman" w:eastAsia="Times New Roman" w:hAnsi="Times New Roman"/>
          <w:sz w:val="17"/>
          <w:szCs w:val="17"/>
          <w:u w:val="single" w:color="auto"/>
          <w:color w:val="0000FF"/>
        </w:rPr>
        <w:t xml:space="preserve"> </w:t>
      </w:r>
      <w:hyperlink r:id="rId84">
        <w:r>
          <w:rPr>
            <w:rFonts w:ascii="Times New Roman" w:cs="Times New Roman" w:eastAsia="Times New Roman" w:hAnsi="Times New Roman"/>
            <w:sz w:val="17"/>
            <w:szCs w:val="17"/>
            <w:u w:val="single" w:color="auto"/>
            <w:color w:val="0000FF"/>
          </w:rPr>
          <w:t>guarantors, and Computershare Trust Company, N.A., as trustee,</w:t>
        </w:r>
      </w:hyperlink>
      <w:r>
        <w:rPr>
          <w:rFonts w:ascii="Times New Roman" w:cs="Times New Roman" w:eastAsia="Times New Roman" w:hAnsi="Times New Roman"/>
          <w:sz w:val="17"/>
          <w:szCs w:val="17"/>
          <w:u w:val="single" w:color="auto"/>
          <w:color w:val="0000FF"/>
        </w:rPr>
        <w:t xml:space="preserve"> </w:t>
      </w:r>
      <w:hyperlink r:id="rId84">
        <w:r>
          <w:rPr>
            <w:rFonts w:ascii="Times New Roman" w:cs="Times New Roman" w:eastAsia="Times New Roman" w:hAnsi="Times New Roman"/>
            <w:sz w:val="17"/>
            <w:szCs w:val="17"/>
            <w:u w:val="single" w:color="auto"/>
            <w:color w:val="0000FF"/>
          </w:rPr>
          <w:t>including the form of 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300" w:hanging="773"/>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4.15</w:t>
      </w:r>
      <w:r>
        <w:rPr>
          <w:sz w:val="20"/>
          <w:szCs w:val="20"/>
          <w:color w:val="auto"/>
        </w:rPr>
        <w:tab/>
      </w:r>
      <w:hyperlink r:id="rId85">
        <w:r>
          <w:rPr>
            <w:rFonts w:ascii="Times New Roman" w:cs="Times New Roman" w:eastAsia="Times New Roman" w:hAnsi="Times New Roman"/>
            <w:sz w:val="17"/>
            <w:szCs w:val="17"/>
            <w:u w:val="single" w:color="auto"/>
            <w:color w:val="0000FF"/>
          </w:rPr>
          <w:t>Twelfth Supplemental Indenture, dated as of January 19, 2024, among</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Extra Space Storage LP, as issuer, Extra Space Storage Inc., ESS</w:t>
        </w:r>
      </w:hyperlink>
    </w:p>
    <w:p>
      <w:pPr>
        <w:spacing w:after="0" w:line="1" w:lineRule="exact"/>
        <w:rPr>
          <w:sz w:val="20"/>
          <w:szCs w:val="20"/>
          <w:color w:val="auto"/>
        </w:rPr>
      </w:pPr>
    </w:p>
    <w:p>
      <w:pPr>
        <w:jc w:val="both"/>
        <w:ind w:left="780" w:right="440"/>
        <w:spacing w:after="0" w:line="224" w:lineRule="auto"/>
        <w:rPr>
          <w:rFonts w:ascii="Times New Roman" w:cs="Times New Roman" w:eastAsia="Times New Roman" w:hAnsi="Times New Roman"/>
          <w:sz w:val="17"/>
          <w:szCs w:val="17"/>
          <w:u w:val="single" w:color="auto"/>
          <w:color w:val="0000FF"/>
        </w:rPr>
      </w:pPr>
      <w:hyperlink r:id="rId85">
        <w:r>
          <w:rPr>
            <w:rFonts w:ascii="Times New Roman" w:cs="Times New Roman" w:eastAsia="Times New Roman" w:hAnsi="Times New Roman"/>
            <w:sz w:val="17"/>
            <w:szCs w:val="17"/>
            <w:u w:val="single" w:color="auto"/>
            <w:color w:val="0000FF"/>
          </w:rPr>
          <w:t>Holdings Business Trust I and ESS Holdings Business Trust II, as</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guarantors, and Computershare Trust Company, N.A., as trustee,</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including the form of 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right="8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4.16    </w:t>
      </w:r>
      <w:hyperlink r:id="rId86">
        <w:r>
          <w:rPr>
            <w:rFonts w:ascii="Times New Roman" w:cs="Times New Roman" w:eastAsia="Times New Roman" w:hAnsi="Times New Roman"/>
            <w:sz w:val="17"/>
            <w:szCs w:val="17"/>
            <w:u w:val="single" w:color="auto"/>
            <w:color w:val="0000FF"/>
          </w:rPr>
          <w:t>Base Indenture, dated as of June 20, 2016, among Life Storage, Inc., Life</w:t>
        </w:r>
      </w:hyperlink>
      <w:r>
        <w:rPr>
          <w:rFonts w:ascii="Times New Roman" w:cs="Times New Roman" w:eastAsia="Times New Roman" w:hAnsi="Times New Roman"/>
          <w:sz w:val="17"/>
          <w:szCs w:val="17"/>
          <w:color w:val="auto"/>
        </w:rPr>
        <w:t xml:space="preserve"> </w:t>
      </w:r>
      <w:hyperlink r:id="rId86">
        <w:r>
          <w:rPr>
            <w:rFonts w:ascii="Times New Roman" w:cs="Times New Roman" w:eastAsia="Times New Roman" w:hAnsi="Times New Roman"/>
            <w:sz w:val="17"/>
            <w:szCs w:val="17"/>
            <w:u w:val="single" w:color="auto"/>
            <w:color w:val="0000FF"/>
          </w:rPr>
          <w:t>Storage LP and Wells Fargo Bank, National Association (incorporated</w:t>
        </w:r>
      </w:hyperlink>
    </w:p>
    <w:p>
      <w:pPr>
        <w:spacing w:after="0" w:line="1" w:lineRule="exact"/>
        <w:rPr>
          <w:sz w:val="20"/>
          <w:szCs w:val="20"/>
          <w:color w:val="auto"/>
        </w:rPr>
      </w:pPr>
    </w:p>
    <w:p>
      <w:pPr>
        <w:ind w:left="780" w:right="20"/>
        <w:spacing w:after="0" w:line="232" w:lineRule="auto"/>
        <w:rPr>
          <w:rFonts w:ascii="Times New Roman" w:cs="Times New Roman" w:eastAsia="Times New Roman" w:hAnsi="Times New Roman"/>
          <w:sz w:val="17"/>
          <w:szCs w:val="17"/>
          <w:u w:val="single" w:color="auto"/>
          <w:color w:val="0000FF"/>
        </w:rPr>
      </w:pPr>
      <w:hyperlink r:id="rId86">
        <w:r>
          <w:rPr>
            <w:rFonts w:ascii="Times New Roman" w:cs="Times New Roman" w:eastAsia="Times New Roman" w:hAnsi="Times New Roman"/>
            <w:sz w:val="17"/>
            <w:szCs w:val="17"/>
            <w:u w:val="single" w:color="auto"/>
            <w:color w:val="0000FF"/>
          </w:rPr>
          <w:t>by reference to Exhibit 4.2 to the Current Report on Form 10-K filed by</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Life Storage Inc. on February 24, 2023).</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28,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16,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93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93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93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93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931"/>
        </w:trPr>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19, 2024</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bl>
    <w:p>
      <w:pPr>
        <w:sectPr>
          <w:pgSz w:w="11900" w:h="16838" w:orient="portrait"/>
          <w:cols w:equalWidth="0" w:num="2">
            <w:col w:w="5820" w:space="300"/>
            <w:col w:w="3659"/>
          </w:cols>
          <w:pgMar w:left="680" w:top="1419" w:right="1440"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4.17</w:t>
            </w:r>
          </w:p>
        </w:tc>
        <w:tc>
          <w:tcPr>
            <w:tcW w:w="5420" w:type="dxa"/>
            <w:vAlign w:val="bottom"/>
            <w:gridSpan w:val="12"/>
          </w:tcPr>
          <w:p>
            <w:pPr>
              <w:spacing w:after="0"/>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Sixth Supplemental Indenture, dated as of July 25, 2023, among Life</w:t>
              </w:r>
            </w:hyperlink>
          </w:p>
        </w:tc>
        <w:tc>
          <w:tcPr>
            <w:tcW w:w="7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8-K</w:t>
            </w:r>
          </w:p>
        </w:tc>
        <w:tc>
          <w:tcPr>
            <w:tcW w:w="1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July 25, 2023</w:t>
            </w:r>
          </w:p>
        </w:tc>
        <w:tc>
          <w:tcPr>
            <w:tcW w:w="2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4.2</w:t>
            </w:r>
          </w:p>
        </w:tc>
      </w:tr>
      <w:tr>
        <w:trPr>
          <w:trHeight w:val="150"/>
        </w:trPr>
        <w:tc>
          <w:tcPr>
            <w:tcW w:w="9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60" w:type="dxa"/>
            <w:vAlign w:val="bottom"/>
            <w:tcBorders>
              <w:top w:val="single" w:sz="8" w:color="0000FF"/>
            </w:tcBorders>
            <w:gridSpan w:val="6"/>
          </w:tcPr>
          <w:p>
            <w:pPr>
              <w:spacing w:after="0" w:line="150"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Storage LP, as issuer, Life Storage LLC, as parent guarantor, and</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64"/>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4"/>
          </w:tcPr>
          <w:p>
            <w:pPr>
              <w:spacing w:after="0" w:line="163"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Computershare Trust Company, N.A., as trustee.</w:t>
              </w:r>
            </w:hyperlink>
          </w:p>
        </w:tc>
        <w:tc>
          <w:tcPr>
            <w:tcW w:w="1120" w:type="dxa"/>
            <w:vAlign w:val="bottom"/>
            <w:tcBorders>
              <w:top w:val="single" w:sz="8" w:color="0000FF"/>
            </w:tcBorders>
          </w:tcPr>
          <w:p>
            <w:pPr>
              <w:spacing w:after="0"/>
              <w:rPr>
                <w:sz w:val="14"/>
                <w:szCs w:val="14"/>
                <w:color w:val="auto"/>
              </w:rPr>
            </w:pPr>
          </w:p>
        </w:tc>
        <w:tc>
          <w:tcPr>
            <w:tcW w:w="2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03"/>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22.1</w:t>
            </w:r>
          </w:p>
        </w:tc>
        <w:tc>
          <w:tcPr>
            <w:tcW w:w="54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Issuer and Guarantors of Guaranteed Securities</w:t>
            </w:r>
          </w:p>
        </w:tc>
        <w:tc>
          <w:tcPr>
            <w:tcW w:w="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X</w:t>
            </w:r>
          </w:p>
        </w:tc>
      </w:tr>
      <w:tr>
        <w:trPr>
          <w:trHeight w:val="20"/>
        </w:trPr>
        <w:tc>
          <w:tcPr>
            <w:tcW w:w="98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03"/>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54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Section 302 of the</w:t>
            </w:r>
          </w:p>
        </w:tc>
        <w:tc>
          <w:tcPr>
            <w:tcW w:w="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X</w:t>
            </w:r>
          </w:p>
        </w:tc>
      </w:tr>
      <w:tr>
        <w:trPr>
          <w:trHeight w:val="150"/>
        </w:trPr>
        <w:tc>
          <w:tcPr>
            <w:tcW w:w="9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40" w:type="dxa"/>
            <w:vAlign w:val="bottom"/>
            <w:tcBorders>
              <w:top w:val="single" w:sz="8" w:color="0000FF"/>
              <w:bottom w:val="single" w:sz="8" w:color="0000FF"/>
            </w:tcBorders>
          </w:tcPr>
          <w:p>
            <w:pPr>
              <w:spacing w:after="0" w:line="150"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740" w:type="dxa"/>
            <w:vAlign w:val="bottom"/>
            <w:tcBorders>
              <w:top w:val="single" w:sz="8" w:color="0000FF"/>
            </w:tcBorders>
            <w:gridSpan w:val="7"/>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54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Section 302 of the</w:t>
            </w:r>
          </w:p>
        </w:tc>
        <w:tc>
          <w:tcPr>
            <w:tcW w:w="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X</w:t>
            </w:r>
          </w:p>
        </w:tc>
      </w:tr>
      <w:tr>
        <w:trPr>
          <w:trHeight w:val="150"/>
        </w:trPr>
        <w:tc>
          <w:tcPr>
            <w:tcW w:w="9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40" w:type="dxa"/>
            <w:vAlign w:val="bottom"/>
            <w:tcBorders>
              <w:top w:val="single" w:sz="8" w:color="0000FF"/>
              <w:bottom w:val="single" w:sz="8" w:color="0000FF"/>
            </w:tcBorders>
          </w:tcPr>
          <w:p>
            <w:pPr>
              <w:spacing w:after="0" w:line="150"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680" w:type="dxa"/>
            <w:vAlign w:val="bottom"/>
            <w:tcBorders>
              <w:top w:val="single" w:sz="8" w:color="0000FF"/>
            </w:tcBorders>
            <w:gridSpan w:val="6"/>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54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Certifications of the Chief Executive Officer and Chief Financial Officer</w:t>
            </w:r>
          </w:p>
        </w:tc>
        <w:tc>
          <w:tcPr>
            <w:tcW w:w="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X</w:t>
            </w: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44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50"/>
        </w:trPr>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60" w:type="dxa"/>
            <w:vAlign w:val="bottom"/>
            <w:gridSpan w:val="11"/>
          </w:tcPr>
          <w:p>
            <w:pPr>
              <w:spacing w:after="0" w:line="150" w:lineRule="exact"/>
              <w:rPr>
                <w:sz w:val="20"/>
                <w:szCs w:val="20"/>
                <w:color w:val="auto"/>
              </w:rPr>
            </w:pPr>
            <w:r>
              <w:rPr>
                <w:rFonts w:ascii="Times New Roman" w:cs="Times New Roman" w:eastAsia="Times New Roman" w:hAnsi="Times New Roman"/>
                <w:sz w:val="17"/>
                <w:szCs w:val="17"/>
                <w:color w:val="0000FF"/>
              </w:rPr>
              <w:t>pursuant to 18 U.S.C. Section 1350, as adopted pursuant to Section 906</w:t>
            </w:r>
          </w:p>
        </w:tc>
        <w:tc>
          <w:tcPr>
            <w:tcW w:w="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64"/>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0" w:type="dxa"/>
            <w:vAlign w:val="bottom"/>
            <w:tcBorders>
              <w:top w:val="single" w:sz="8" w:color="0000FF"/>
            </w:tcBorders>
            <w:gridSpan w:val="10"/>
          </w:tcPr>
          <w:p>
            <w:pPr>
              <w:spacing w:after="0" w:line="163" w:lineRule="exact"/>
              <w:rPr>
                <w:sz w:val="20"/>
                <w:szCs w:val="20"/>
                <w:color w:val="auto"/>
              </w:rPr>
            </w:pPr>
            <w:r>
              <w:rPr>
                <w:rFonts w:ascii="Times New Roman" w:cs="Times New Roman" w:eastAsia="Times New Roman" w:hAnsi="Times New Roman"/>
                <w:sz w:val="17"/>
                <w:szCs w:val="17"/>
                <w:color w:val="0000FF"/>
              </w:rPr>
              <w:t>of the Sarbanes-Oxley Act of 2002.</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0"/>
        </w:trPr>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101</w:t>
            </w:r>
          </w:p>
        </w:tc>
        <w:tc>
          <w:tcPr>
            <w:tcW w:w="5420" w:type="dxa"/>
            <w:vAlign w:val="bottom"/>
            <w:gridSpan w:val="12"/>
          </w:tcPr>
          <w:p>
            <w:pPr>
              <w:spacing w:after="0" w:line="190" w:lineRule="exact"/>
              <w:rPr>
                <w:sz w:val="20"/>
                <w:szCs w:val="20"/>
                <w:color w:val="auto"/>
              </w:rPr>
            </w:pPr>
            <w:r>
              <w:rPr>
                <w:rFonts w:ascii="Times New Roman" w:cs="Times New Roman" w:eastAsia="Times New Roman" w:hAnsi="Times New Roman"/>
                <w:sz w:val="17"/>
                <w:szCs w:val="17"/>
                <w:color w:val="auto"/>
              </w:rPr>
              <w:t>The following materials from Extra Space Storage Inc.’s Quarterly Report</w:t>
            </w:r>
          </w:p>
        </w:tc>
        <w:tc>
          <w:tcPr>
            <w:tcW w:w="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60" w:type="dxa"/>
            <w:vAlign w:val="bottom"/>
          </w:tcPr>
          <w:p>
            <w:pPr>
              <w:ind w:left="1420"/>
              <w:spacing w:after="0" w:line="190" w:lineRule="exact"/>
              <w:rPr>
                <w:sz w:val="20"/>
                <w:szCs w:val="20"/>
                <w:color w:val="auto"/>
              </w:rPr>
            </w:pPr>
            <w:r>
              <w:rPr>
                <w:rFonts w:ascii="Times New Roman" w:cs="Times New Roman" w:eastAsia="Times New Roman" w:hAnsi="Times New Roman"/>
                <w:sz w:val="17"/>
                <w:szCs w:val="17"/>
                <w:color w:val="auto"/>
              </w:rPr>
              <w:t>X</w:t>
            </w:r>
          </w:p>
        </w:tc>
      </w:tr>
      <w:tr>
        <w:trPr>
          <w:trHeight w:val="178"/>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60" w:type="dxa"/>
            <w:vAlign w:val="bottom"/>
            <w:gridSpan w:val="11"/>
          </w:tcPr>
          <w:p>
            <w:pPr>
              <w:spacing w:after="0" w:line="178" w:lineRule="exact"/>
              <w:rPr>
                <w:sz w:val="20"/>
                <w:szCs w:val="20"/>
                <w:color w:val="auto"/>
              </w:rPr>
            </w:pPr>
            <w:r>
              <w:rPr>
                <w:rFonts w:ascii="Times New Roman" w:cs="Times New Roman" w:eastAsia="Times New Roman" w:hAnsi="Times New Roman"/>
                <w:sz w:val="17"/>
                <w:szCs w:val="17"/>
                <w:color w:val="auto"/>
              </w:rPr>
              <w:t>on Form 10-Q for the quarter ended June 30, 2024, are formatted in</w:t>
            </w:r>
          </w:p>
        </w:tc>
        <w:tc>
          <w:tcPr>
            <w:tcW w:w="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76"/>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60" w:type="dxa"/>
            <w:vAlign w:val="bottom"/>
            <w:gridSpan w:val="11"/>
          </w:tcPr>
          <w:p>
            <w:pPr>
              <w:spacing w:after="0" w:line="176" w:lineRule="exact"/>
              <w:rPr>
                <w:sz w:val="20"/>
                <w:szCs w:val="20"/>
                <w:color w:val="auto"/>
              </w:rPr>
            </w:pPr>
            <w:r>
              <w:rPr>
                <w:rFonts w:ascii="Times New Roman" w:cs="Times New Roman" w:eastAsia="Times New Roman" w:hAnsi="Times New Roman"/>
                <w:sz w:val="17"/>
                <w:szCs w:val="17"/>
                <w:color w:val="auto"/>
              </w:rPr>
              <w:t>XBRL (eXtensible Business Reporting Language): (1) the Condensed</w:t>
            </w:r>
          </w:p>
        </w:tc>
        <w:tc>
          <w:tcPr>
            <w:tcW w:w="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70"/>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60" w:type="dxa"/>
            <w:vAlign w:val="bottom"/>
            <w:gridSpan w:val="11"/>
          </w:tcPr>
          <w:p>
            <w:pPr>
              <w:spacing w:after="0" w:line="171" w:lineRule="exact"/>
              <w:rPr>
                <w:sz w:val="20"/>
                <w:szCs w:val="20"/>
                <w:color w:val="auto"/>
              </w:rPr>
            </w:pPr>
            <w:r>
              <w:rPr>
                <w:rFonts w:ascii="Times New Roman" w:cs="Times New Roman" w:eastAsia="Times New Roman" w:hAnsi="Times New Roman"/>
                <w:sz w:val="17"/>
                <w:szCs w:val="17"/>
                <w:color w:val="auto"/>
              </w:rPr>
              <w:t>Consolidated Balance Sheets, (2) the Condensed Consolidated</w:t>
            </w: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8"/>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60" w:type="dxa"/>
            <w:vAlign w:val="bottom"/>
            <w:gridSpan w:val="11"/>
          </w:tcPr>
          <w:p>
            <w:pPr>
              <w:spacing w:after="0" w:line="178" w:lineRule="exact"/>
              <w:rPr>
                <w:sz w:val="20"/>
                <w:szCs w:val="20"/>
                <w:color w:val="auto"/>
              </w:rPr>
            </w:pPr>
            <w:r>
              <w:rPr>
                <w:rFonts w:ascii="Times New Roman" w:cs="Times New Roman" w:eastAsia="Times New Roman" w:hAnsi="Times New Roman"/>
                <w:sz w:val="17"/>
                <w:szCs w:val="17"/>
                <w:color w:val="auto"/>
              </w:rPr>
              <w:t>Statements of Operations, (3) the Condensed Consolidated Statements of</w:t>
            </w:r>
          </w:p>
        </w:tc>
        <w:tc>
          <w:tcPr>
            <w:tcW w:w="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76"/>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60" w:type="dxa"/>
            <w:vAlign w:val="bottom"/>
            <w:gridSpan w:val="11"/>
          </w:tcPr>
          <w:p>
            <w:pPr>
              <w:spacing w:after="0" w:line="176" w:lineRule="exact"/>
              <w:rPr>
                <w:sz w:val="20"/>
                <w:szCs w:val="20"/>
                <w:color w:val="auto"/>
              </w:rPr>
            </w:pPr>
            <w:r>
              <w:rPr>
                <w:rFonts w:ascii="Times New Roman" w:cs="Times New Roman" w:eastAsia="Times New Roman" w:hAnsi="Times New Roman"/>
                <w:sz w:val="17"/>
                <w:szCs w:val="17"/>
                <w:color w:val="auto"/>
              </w:rPr>
              <w:t>Comprehensive Income (4) the Condensed Consolidated Statement of</w:t>
            </w:r>
          </w:p>
        </w:tc>
        <w:tc>
          <w:tcPr>
            <w:tcW w:w="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70"/>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60" w:type="dxa"/>
            <w:vAlign w:val="bottom"/>
            <w:gridSpan w:val="11"/>
          </w:tcPr>
          <w:p>
            <w:pPr>
              <w:spacing w:after="0" w:line="171" w:lineRule="exact"/>
              <w:rPr>
                <w:sz w:val="20"/>
                <w:szCs w:val="20"/>
                <w:color w:val="auto"/>
              </w:rPr>
            </w:pPr>
            <w:r>
              <w:rPr>
                <w:rFonts w:ascii="Times New Roman" w:cs="Times New Roman" w:eastAsia="Times New Roman" w:hAnsi="Times New Roman"/>
                <w:sz w:val="17"/>
                <w:szCs w:val="17"/>
                <w:color w:val="auto"/>
              </w:rPr>
              <w:t>Noncontrolling Interests and Equity, (5) the Condensed Consolidated</w:t>
            </w: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28"/>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6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Statements of Cash Flows and (6) notes to these financial statements.</w:t>
            </w: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179"/>
        </w:trPr>
        <w:tc>
          <w:tcPr>
            <w:tcW w:w="98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104</w:t>
            </w:r>
          </w:p>
        </w:tc>
        <w:tc>
          <w:tcPr>
            <w:tcW w:w="5420" w:type="dxa"/>
            <w:vAlign w:val="bottom"/>
            <w:gridSpan w:val="12"/>
          </w:tcPr>
          <w:p>
            <w:pPr>
              <w:spacing w:after="0" w:line="179" w:lineRule="exact"/>
              <w:rPr>
                <w:sz w:val="20"/>
                <w:szCs w:val="20"/>
                <w:color w:val="auto"/>
              </w:rPr>
            </w:pPr>
            <w:r>
              <w:rPr>
                <w:rFonts w:ascii="Times New Roman" w:cs="Times New Roman" w:eastAsia="Times New Roman" w:hAnsi="Times New Roman"/>
                <w:sz w:val="17"/>
                <w:szCs w:val="17"/>
                <w:color w:val="auto"/>
              </w:rPr>
              <w:t>Cover Page Interactive Data File (formatted as inline XBRL and contained</w:t>
            </w:r>
          </w:p>
        </w:tc>
        <w:tc>
          <w:tcPr>
            <w:tcW w:w="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tcPr>
          <w:p>
            <w:pPr>
              <w:ind w:left="1420"/>
              <w:spacing w:after="0" w:line="179" w:lineRule="exact"/>
              <w:rPr>
                <w:sz w:val="20"/>
                <w:szCs w:val="20"/>
                <w:color w:val="auto"/>
              </w:rPr>
            </w:pPr>
            <w:r>
              <w:rPr>
                <w:rFonts w:ascii="Times New Roman" w:cs="Times New Roman" w:eastAsia="Times New Roman" w:hAnsi="Times New Roman"/>
                <w:sz w:val="17"/>
                <w:szCs w:val="17"/>
                <w:color w:val="auto"/>
              </w:rPr>
              <w:t>X</w:t>
            </w:r>
          </w:p>
        </w:tc>
      </w:tr>
      <w:tr>
        <w:trPr>
          <w:trHeight w:val="228"/>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6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 Exhibit 101).</w:t>
            </w:r>
          </w:p>
        </w:tc>
        <w:tc>
          <w:tcPr>
            <w:tcW w:w="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886"/>
        </w:trPr>
        <w:tc>
          <w:tcPr>
            <w:tcW w:w="980" w:type="dxa"/>
            <w:vAlign w:val="bottom"/>
          </w:tcPr>
          <w:p>
            <w:pPr>
              <w:spacing w:after="0"/>
              <w:rPr>
                <w:sz w:val="24"/>
                <w:szCs w:val="24"/>
                <w:color w:val="auto"/>
              </w:rPr>
            </w:pPr>
          </w:p>
        </w:tc>
        <w:tc>
          <w:tcPr>
            <w:tcW w:w="4820" w:type="dxa"/>
            <w:vAlign w:val="bottom"/>
            <w:gridSpan w:val="7"/>
          </w:tcPr>
          <w:p>
            <w:pPr>
              <w:ind w:left="4560"/>
              <w:spacing w:after="0"/>
              <w:rPr>
                <w:sz w:val="20"/>
                <w:szCs w:val="20"/>
                <w:color w:val="auto"/>
              </w:rPr>
            </w:pPr>
            <w:r>
              <w:rPr>
                <w:rFonts w:ascii="Times New Roman" w:cs="Times New Roman" w:eastAsia="Times New Roman" w:hAnsi="Times New Roman"/>
                <w:sz w:val="17"/>
                <w:szCs w:val="17"/>
                <w:color w:val="auto"/>
              </w:rPr>
              <w:t>43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12"/>
        </w:trPr>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120" w:firstLine="433"/>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INC.</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Registrant</w:t>
            </w:r>
          </w:p>
        </w:tc>
      </w:tr>
      <w:tr>
        <w:trPr>
          <w:trHeight w:val="485"/>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 2024</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09"/>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178"/>
        </w:trPr>
        <w:tc>
          <w:tcPr>
            <w:tcW w:w="6300" w:type="dxa"/>
            <w:vAlign w:val="bottom"/>
          </w:tcPr>
          <w:p>
            <w:pPr>
              <w:spacing w:after="0"/>
              <w:rPr>
                <w:sz w:val="15"/>
                <w:szCs w:val="15"/>
                <w:color w:val="auto"/>
              </w:rPr>
            </w:pPr>
          </w:p>
        </w:tc>
        <w:tc>
          <w:tcPr>
            <w:tcW w:w="480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91"/>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 2024</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09"/>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3"/>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180"/>
          </w:cols>
          <w:pgMar w:left="320" w:top="1378" w:right="3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and Guarantors of Guaranteed Securities</w:t>
      </w:r>
    </w:p>
    <w:p>
      <w:pPr>
        <w:spacing w:after="0" w:line="200" w:lineRule="exact"/>
        <w:rPr>
          <w:sz w:val="20"/>
          <w:szCs w:val="20"/>
          <w:color w:val="auto"/>
        </w:rPr>
      </w:pPr>
    </w:p>
    <w:p>
      <w:pPr>
        <w:spacing w:after="0" w:line="26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following entities are included in the Obligated Group, as defined in the Annual Report on Form 10-K of Extra Space Storage Inc. to which this document is being filed as an exhibit, for the 3.500% Senior Notes due 2026, the 3.875% Senior Notes due 2027, the 5.700% Senior Notes due 2028, the 3.900% Senior Notes due 2029, the 4.000% Senior Notes due 2029, the 2.200% Senior Notes due 2030, the 2.550% Senior Notes due 2031, the 2.400% Senior Notes due 2031, the 2.350% Senior Notes due 2032, and the 5.400% Senior Notes due 2034 (collectively, the "Notes"). The guarantors have fully and unconditionally guaranteed the Notes on a joint and several basis.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Issuer or Guarantor</w:t>
            </w:r>
          </w:p>
        </w:tc>
        <w:tc>
          <w:tcPr>
            <w:tcW w:w="34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Reported as Issuer or Guarantor</w:t>
            </w:r>
          </w:p>
        </w:tc>
        <w:tc>
          <w:tcPr>
            <w:tcW w:w="29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State of Incorporation or Organization</w:t>
            </w:r>
          </w:p>
        </w:tc>
      </w:tr>
      <w:tr>
        <w:trPr>
          <w:trHeight w:val="24"/>
        </w:trPr>
        <w:tc>
          <w:tcPr>
            <w:tcW w:w="3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LP</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Issuer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Inc.</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Parent Guarantor</w:t>
            </w:r>
          </w:p>
        </w:tc>
        <w:tc>
          <w:tcPr>
            <w:tcW w:w="29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Maryland</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 Holdings Business Trust I</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Subsidiary Guarantor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Massachusetts</w:t>
            </w: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 Holdings Business Trust II</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Subsidiary Guarantor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Massachusetts</w:t>
            </w:r>
          </w:p>
        </w:tc>
      </w:tr>
    </w:tbl>
    <w:p>
      <w:pPr>
        <w:sectPr>
          <w:pgSz w:w="11900" w:h="16838" w:orient="portrait"/>
          <w:cols w:equalWidth="0" w:num="1">
            <w:col w:w="11240"/>
          </w:cols>
          <w:pgMar w:left="320" w:top="86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Joseph D. Margolis, certify that:</w:t>
      </w:r>
    </w:p>
    <w:p>
      <w:pPr>
        <w:spacing w:after="0" w:line="224" w:lineRule="exact"/>
        <w:rPr>
          <w:sz w:val="20"/>
          <w:szCs w:val="20"/>
          <w:color w:val="auto"/>
        </w:rPr>
      </w:pPr>
    </w:p>
    <w:p>
      <w:pPr>
        <w:ind w:left="640" w:hanging="635"/>
        <w:spacing w:after="0"/>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Extra Space Storage Inc.;</w:t>
      </w:r>
    </w:p>
    <w:p>
      <w:pPr>
        <w:spacing w:after="0" w:line="224" w:lineRule="exact"/>
        <w:rPr>
          <w:rFonts w:ascii="Times New Roman" w:cs="Times New Roman" w:eastAsia="Times New Roman" w:hAnsi="Times New Roman"/>
          <w:sz w:val="17"/>
          <w:szCs w:val="17"/>
          <w:color w:val="auto"/>
        </w:rPr>
      </w:pPr>
    </w:p>
    <w:p>
      <w:pPr>
        <w:jc w:val="both"/>
        <w:ind w:left="640" w:right="440" w:hanging="635"/>
        <w:spacing w:after="0" w:line="277"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7"/>
          <w:szCs w:val="17"/>
          <w:color w:val="auto"/>
        </w:rPr>
      </w:pPr>
    </w:p>
    <w:p>
      <w:pPr>
        <w:ind w:left="640" w:right="400" w:hanging="635"/>
        <w:spacing w:after="0" w:line="297"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ind w:left="640" w:right="20" w:hanging="635"/>
        <w:spacing w:after="0" w:line="277"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1260" w:right="100" w:hanging="626"/>
        <w:spacing w:after="0" w:line="277" w:lineRule="auto"/>
        <w:tabs>
          <w:tab w:leader="none" w:pos="12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260" w:right="360" w:hanging="626"/>
        <w:spacing w:after="0" w:line="277" w:lineRule="auto"/>
        <w:tabs>
          <w:tab w:leader="none" w:pos="12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ind w:left="1260" w:right="100" w:hanging="626"/>
        <w:spacing w:after="0" w:line="277" w:lineRule="auto"/>
        <w:tabs>
          <w:tab w:leader="none" w:pos="12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640" w:right="320" w:hanging="635"/>
        <w:spacing w:after="0" w:line="297"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right="20" w:hanging="626"/>
        <w:spacing w:after="0" w:line="297" w:lineRule="auto"/>
        <w:tabs>
          <w:tab w:leader="none" w:pos="12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 2024</w:t>
            </w:r>
          </w:p>
        </w:tc>
        <w:tc>
          <w:tcPr>
            <w:tcW w:w="230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11"/>
        </w:trPr>
        <w:tc>
          <w:tcPr>
            <w:tcW w:w="3100" w:type="dxa"/>
            <w:vAlign w:val="bottom"/>
          </w:tcPr>
          <w:p>
            <w:pPr>
              <w:spacing w:after="0"/>
              <w:rPr>
                <w:sz w:val="18"/>
                <w:szCs w:val="18"/>
                <w:color w:val="auto"/>
              </w:rPr>
            </w:pPr>
          </w:p>
        </w:tc>
        <w:tc>
          <w:tcPr>
            <w:tcW w:w="230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Name:</w:t>
            </w: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228"/>
        </w:trPr>
        <w:tc>
          <w:tcPr>
            <w:tcW w:w="3100" w:type="dxa"/>
            <w:vAlign w:val="bottom"/>
          </w:tcPr>
          <w:p>
            <w:pPr>
              <w:spacing w:after="0"/>
              <w:rPr>
                <w:sz w:val="19"/>
                <w:szCs w:val="19"/>
                <w:color w:val="auto"/>
              </w:rPr>
            </w:pPr>
          </w:p>
        </w:tc>
        <w:tc>
          <w:tcPr>
            <w:tcW w:w="230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6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 Scott Stubbs, certify that:</w:t>
      </w:r>
    </w:p>
    <w:p>
      <w:pPr>
        <w:spacing w:after="0" w:line="224" w:lineRule="exact"/>
        <w:rPr>
          <w:sz w:val="20"/>
          <w:szCs w:val="20"/>
          <w:color w:val="auto"/>
        </w:rPr>
      </w:pPr>
    </w:p>
    <w:p>
      <w:pPr>
        <w:ind w:left="640" w:hanging="635"/>
        <w:spacing w:after="0"/>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Extra Space Storage Inc.;</w:t>
      </w:r>
    </w:p>
    <w:p>
      <w:pPr>
        <w:spacing w:after="0" w:line="224" w:lineRule="exact"/>
        <w:rPr>
          <w:rFonts w:ascii="Times New Roman" w:cs="Times New Roman" w:eastAsia="Times New Roman" w:hAnsi="Times New Roman"/>
          <w:sz w:val="17"/>
          <w:szCs w:val="17"/>
          <w:color w:val="auto"/>
        </w:rPr>
      </w:pPr>
    </w:p>
    <w:p>
      <w:pPr>
        <w:jc w:val="both"/>
        <w:ind w:left="640" w:right="440" w:hanging="635"/>
        <w:spacing w:after="0" w:line="277"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7"/>
          <w:szCs w:val="17"/>
          <w:color w:val="auto"/>
        </w:rPr>
      </w:pPr>
    </w:p>
    <w:p>
      <w:pPr>
        <w:ind w:left="640" w:right="400" w:hanging="635"/>
        <w:spacing w:after="0" w:line="297"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ind w:left="640" w:right="20" w:hanging="635"/>
        <w:spacing w:after="0" w:line="277"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1260" w:right="100" w:hanging="626"/>
        <w:spacing w:after="0" w:line="277" w:lineRule="auto"/>
        <w:tabs>
          <w:tab w:leader="none" w:pos="12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260" w:right="360" w:hanging="626"/>
        <w:spacing w:after="0" w:line="277" w:lineRule="auto"/>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ind w:left="1260" w:right="100" w:hanging="626"/>
        <w:spacing w:after="0" w:line="277" w:lineRule="auto"/>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640" w:right="320" w:hanging="635"/>
        <w:spacing w:after="0" w:line="297"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right="20" w:hanging="626"/>
        <w:spacing w:after="0" w:line="297" w:lineRule="auto"/>
        <w:tabs>
          <w:tab w:leader="none" w:pos="12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 2024</w:t>
            </w:r>
          </w:p>
        </w:tc>
        <w:tc>
          <w:tcPr>
            <w:tcW w:w="230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11"/>
        </w:trPr>
        <w:tc>
          <w:tcPr>
            <w:tcW w:w="3100" w:type="dxa"/>
            <w:vAlign w:val="bottom"/>
          </w:tcPr>
          <w:p>
            <w:pPr>
              <w:spacing w:after="0"/>
              <w:rPr>
                <w:sz w:val="18"/>
                <w:szCs w:val="18"/>
                <w:color w:val="auto"/>
              </w:rPr>
            </w:pPr>
          </w:p>
        </w:tc>
        <w:tc>
          <w:tcPr>
            <w:tcW w:w="230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Name:</w:t>
            </w: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8"/>
        </w:trPr>
        <w:tc>
          <w:tcPr>
            <w:tcW w:w="3100" w:type="dxa"/>
            <w:vAlign w:val="bottom"/>
          </w:tcPr>
          <w:p>
            <w:pPr>
              <w:spacing w:after="0"/>
              <w:rPr>
                <w:sz w:val="19"/>
                <w:szCs w:val="19"/>
                <w:color w:val="auto"/>
              </w:rPr>
            </w:pPr>
          </w:p>
        </w:tc>
        <w:tc>
          <w:tcPr>
            <w:tcW w:w="230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ectPr>
          <w:pgSz w:w="11900" w:h="16838" w:orient="portrait"/>
          <w:cols w:equalWidth="0" w:num="1">
            <w:col w:w="11240"/>
          </w:cols>
          <w:pgMar w:left="320" w:top="86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June 30,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 w:lineRule="exact"/>
        <w:rPr>
          <w:sz w:val="20"/>
          <w:szCs w:val="20"/>
          <w:color w:val="auto"/>
        </w:rPr>
      </w:pPr>
    </w:p>
    <w:tbl>
      <w:tblPr>
        <w:tblLayout w:type="fixed"/>
        <w:tblInd w:w="504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11"/>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223"/>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2, 2024</w:t>
            </w:r>
          </w:p>
        </w:tc>
      </w:tr>
    </w:tbl>
    <w:p>
      <w:pPr>
        <w:spacing w:after="0" w:line="28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June 30,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 w:lineRule="exact"/>
        <w:rPr>
          <w:sz w:val="20"/>
          <w:szCs w:val="20"/>
          <w:color w:val="auto"/>
        </w:rPr>
      </w:pPr>
    </w:p>
    <w:tbl>
      <w:tblPr>
        <w:tblLayout w:type="fixed"/>
        <w:tblInd w:w="504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11"/>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3"/>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2, 2024</w:t>
            </w:r>
          </w:p>
        </w:tc>
      </w:tr>
    </w:tbl>
    <w:p>
      <w:pPr>
        <w:spacing w:after="0" w:line="1" w:lineRule="exact"/>
        <w:rPr>
          <w:sz w:val="20"/>
          <w:szCs w:val="20"/>
          <w:color w:val="auto"/>
        </w:rPr>
      </w:pP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6" Type="http://schemas.openxmlformats.org/officeDocument/2006/relationships/image" Target="media/image54.png"/><Relationship Id="rId87"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61" Type="http://schemas.openxmlformats.org/officeDocument/2006/relationships/hyperlink" Target="https://www.sec.gov/Archives/edgar/data/1289490/000119312524096283/d741588dex12.htm" TargetMode="External"/><Relationship Id="rId62" Type="http://schemas.openxmlformats.org/officeDocument/2006/relationships/hyperlink" Target="https://www.sec.gov/Archives/edgar/data/1289490/000119312523089776/d487333dex21.htm" TargetMode="External"/><Relationship Id="rId63" Type="http://schemas.openxmlformats.org/officeDocument/2006/relationships/hyperlink" Target="https://www.sec.gov/Archives/edgar/data/1289490/000119312523149320/d486997dex21.htm" TargetMode="External"/><Relationship Id="rId64" Type="http://schemas.openxmlformats.org/officeDocument/2006/relationships/hyperlink" Target="https://www.sec.gov/Archives/edgar/data/1289490/000119312504136936/dex31.htm" TargetMode="External"/><Relationship Id="rId65" Type="http://schemas.openxmlformats.org/officeDocument/2006/relationships/hyperlink" Target="https://www.sec.gov/Archives/edgar/data/1289490/000110465907072983/a07-25208_1ex3d1.htm" TargetMode="External"/><Relationship Id="rId66" Type="http://schemas.openxmlformats.org/officeDocument/2006/relationships/hyperlink" Target="https://www.sec.gov/Archives/edgar/data/1289490/000110465913067080/a13-19441_1ex3d1.htm" TargetMode="External"/><Relationship Id="rId67" Type="http://schemas.openxmlformats.org/officeDocument/2006/relationships/hyperlink" Target="https://www.sec.gov/Archives/edgar/data/1289490/000110465914042025/a14-13799_18k.htm" TargetMode="External"/><Relationship Id="rId68" Type="http://schemas.openxmlformats.org/officeDocument/2006/relationships/hyperlink" Target="https://www.sec.gov/Archives/edgar/data/1289490/000162828018000388/exr-form8xkxproxyaccessand.htm" TargetMode="External"/><Relationship Id="rId69" Type="http://schemas.openxmlformats.org/officeDocument/2006/relationships/hyperlink" Target="https://www.sec.gov/Archives/edgar/data/1289490/000110465913088877/a13-25830_1ex10d1.htm" TargetMode="External"/><Relationship Id="rId70" Type="http://schemas.openxmlformats.org/officeDocument/2006/relationships/hyperlink" Target="https://www.sec.gov/Archives/edgar/data/1289490/000104746910001564/a2196671zex-4_3.htm" TargetMode="External"/><Relationship Id="rId71" Type="http://schemas.openxmlformats.org/officeDocument/2006/relationships/hyperlink" Target="https://www.sec.gov/Archives/edgar/data/1289490/000162828020002202/ex46descriptionofsecur.htm" TargetMode="External"/><Relationship Id="rId72" Type="http://schemas.openxmlformats.org/officeDocument/2006/relationships/hyperlink" Target="https://www.sec.gov/Archives/edgar/data/1289490/000119312521157616/d469365dex41.htm" TargetMode="External"/><Relationship Id="rId73" Type="http://schemas.openxmlformats.org/officeDocument/2006/relationships/hyperlink" Target="https://www.sec.gov/Archives/edgar/data/1289490/000119312521157616/d469365dex42.htm" TargetMode="External"/><Relationship Id="rId74" Type="http://schemas.openxmlformats.org/officeDocument/2006/relationships/hyperlink" Target="https://www.sec.gov/Archives/edgar/data/1289490/000119312521279380/d192404dex42.htm" TargetMode="External"/><Relationship Id="rId75" Type="http://schemas.openxmlformats.org/officeDocument/2006/relationships/hyperlink" Target="https://www.sec.gov/Archives/edgar/data/1289490/000119312522092010/d323264dex42.htm" TargetMode="External"/><Relationship Id="rId77" Type="http://schemas.openxmlformats.org/officeDocument/2006/relationships/hyperlink" Target="https://www.sec.gov/Archives/edgar/data/1289490/000119312523082217/d472175dex42.htm" TargetMode="External"/><Relationship Id="rId78" Type="http://schemas.openxmlformats.org/officeDocument/2006/relationships/hyperlink" Target="https://www.sec.gov/Archives/edgar/data/1289490/000119312523168983/d523023dex42.htm" TargetMode="External"/><Relationship Id="rId79" Type="http://schemas.openxmlformats.org/officeDocument/2006/relationships/hyperlink" Target="https://www.sec.gov/Archives/edgar/data/1289490/000119312523193502/d541032dex44.htm" TargetMode="External"/><Relationship Id="rId80" Type="http://schemas.openxmlformats.org/officeDocument/2006/relationships/hyperlink" Target="https://www.sec.gov/Archives/edgar/data/1289490/000119312523193502/d541032dex45.htm" TargetMode="External"/><Relationship Id="rId81" Type="http://schemas.openxmlformats.org/officeDocument/2006/relationships/hyperlink" Target="https://www.sec.gov/Archives/edgar/data/1289490/000119312523193502/d541032dex46.htm" TargetMode="External"/><Relationship Id="rId82" Type="http://schemas.openxmlformats.org/officeDocument/2006/relationships/hyperlink" Target="https://www.sec.gov/Archives/edgar/data/1289490/000119312523193502/d541032dex47.htm" TargetMode="External"/><Relationship Id="rId83" Type="http://schemas.openxmlformats.org/officeDocument/2006/relationships/hyperlink" Target="https://www.sec.gov/Archives/edgar/data/1289490/000119312523193502/d541032dex48.htm" TargetMode="External"/><Relationship Id="rId84" Type="http://schemas.openxmlformats.org/officeDocument/2006/relationships/hyperlink" Target="https://www.sec.gov/Archives/edgar/data/1289490/000119312523287450/d931858dex42.htm" TargetMode="External"/><Relationship Id="rId85" Type="http://schemas.openxmlformats.org/officeDocument/2006/relationships/hyperlink" Target="https://www.sec.gov/Archives/edgar/data/1289490/000119312524011229/d698894dex42.htm" TargetMode="External"/><Relationship Id="rId86" Type="http://schemas.openxmlformats.org/officeDocument/2006/relationships/hyperlink" Target="https://www.sec.gov/Archives/edgar/data/944314/000119312516626433/d212449dex41.htm" TargetMode="External"/><Relationship Id="rId88" Type="http://schemas.openxmlformats.org/officeDocument/2006/relationships/hyperlink" Target="https://www.sec.gov/Archives/edgar/data/1289490/000119312523193502/d54103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2024-08-02T15:59:19Z</dcterms:created>
  <dcterms:modified xsi:type="dcterms:W3CDTF">2024-08-02T15:59:19Z</dcterms:modified>
</cp:coreProperties>
</file>