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right="80" w:hanging="515"/>
        <w:spacing w:after="0" w:line="256" w:lineRule="auto"/>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40" w:right="60" w:hanging="515"/>
        <w:spacing w:after="0" w:line="256" w:lineRule="auto"/>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outstanding of the registrant’s common stock, par value $0.01 per share, as of April 30, 2009 was 86,382,948.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5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540" w:type="dxa"/>
            <w:vAlign w:val="bottom"/>
            <w:gridSpan w:val="1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 MANAGEMENT’S DISCUSSION AND ANALYSIS OF FINANCIAL CONDITION AND RESULTS OF OPERATIONS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 QUANTITATIVE AND QUALITATIVE DISCLOSURES ABOUT MARKET RISK</w:t>
              </w:r>
            </w:hyperlink>
          </w:p>
        </w:tc>
        <w:tc>
          <w:tcPr>
            <w:tcW w:w="28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0540" w:type="dxa"/>
            <w:vAlign w:val="bottom"/>
            <w:gridSpan w:val="1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 CONTROLS AND PROCEDURES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94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180" w:type="dxa"/>
            <w:vAlign w:val="bottom"/>
          </w:tcPr>
          <w:p>
            <w:pPr>
              <w:spacing w:after="0"/>
              <w:rPr>
                <w:sz w:val="24"/>
                <w:szCs w:val="24"/>
                <w:color w:val="auto"/>
              </w:rPr>
            </w:pPr>
          </w:p>
        </w:tc>
        <w:tc>
          <w:tcPr>
            <w:tcW w:w="10540" w:type="dxa"/>
            <w:vAlign w:val="bottom"/>
            <w:gridSpan w:val="1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1. 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gridSpan w:val="2"/>
          </w:tcPr>
          <w:p>
            <w:pPr>
              <w:spacing w:after="0"/>
              <w:rPr>
                <w:sz w:val="17"/>
                <w:szCs w:val="17"/>
                <w:color w:val="auto"/>
              </w:rPr>
            </w:pPr>
          </w:p>
        </w:tc>
        <w:tc>
          <w:tcPr>
            <w:tcW w:w="784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054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 UNREGISTERED SALES OF EQUITY SECURITIES AND USE OF PROCEEDS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71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 DEFAULTS UPON SENIOR SECURITIES</w:t>
              </w:r>
            </w:hyperlink>
          </w:p>
        </w:tc>
        <w:tc>
          <w:tcPr>
            <w:tcW w:w="34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54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SUBMISSION OF MATTERS TO A VOTE OF SECURITY HOLDERS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4"/>
          </w:tcPr>
          <w:p>
            <w:pPr>
              <w:spacing w:after="0"/>
              <w:rPr>
                <w:sz w:val="17"/>
                <w:szCs w:val="17"/>
                <w:color w:val="auto"/>
              </w:rPr>
            </w:pPr>
          </w:p>
        </w:tc>
        <w:tc>
          <w:tcPr>
            <w:tcW w:w="426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1054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6. EXHIBITS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9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10720" w:type="dxa"/>
            <w:vAlign w:val="bottom"/>
            <w:gridSpan w:val="1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53"/>
        </w:trPr>
        <w:tc>
          <w:tcPr>
            <w:tcW w:w="1160" w:type="dxa"/>
            <w:vAlign w:val="bottom"/>
            <w:tcBorders>
              <w:top w:val="single" w:sz="8" w:color="0000EE"/>
            </w:tcBorders>
            <w:gridSpan w:val="2"/>
          </w:tcPr>
          <w:p>
            <w:pPr>
              <w:spacing w:after="0"/>
              <w:rPr>
                <w:sz w:val="24"/>
                <w:szCs w:val="24"/>
                <w:color w:val="auto"/>
              </w:rPr>
            </w:pPr>
          </w:p>
        </w:tc>
        <w:tc>
          <w:tcPr>
            <w:tcW w:w="5300" w:type="dxa"/>
            <w:vAlign w:val="bottom"/>
            <w:gridSpan w:val="9"/>
          </w:tcPr>
          <w:p>
            <w:pPr>
              <w:jc w:val="right"/>
              <w:ind w:right="70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660" w:hanging="431"/>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540" w:hanging="4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660" w:right="120" w:hanging="4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340" w:hanging="4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w:t>
      </w:r>
    </w:p>
    <w:p>
      <w:pPr>
        <w:spacing w:after="0" w:line="225" w:lineRule="exact"/>
        <w:rPr>
          <w:rFonts w:ascii="Arial" w:cs="Arial" w:eastAsia="Arial" w:hAnsi="Arial"/>
          <w:sz w:val="18"/>
          <w:szCs w:val="18"/>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realignment of our executive management team; and</w:t>
      </w:r>
    </w:p>
    <w:p>
      <w:pPr>
        <w:spacing w:after="0" w:line="225" w:lineRule="exact"/>
        <w:rPr>
          <w:rFonts w:ascii="Arial" w:cs="Arial" w:eastAsia="Arial" w:hAnsi="Arial"/>
          <w:sz w:val="18"/>
          <w:szCs w:val="18"/>
          <w:color w:val="auto"/>
        </w:rPr>
      </w:pPr>
    </w:p>
    <w:p>
      <w:pPr>
        <w:ind w:left="660" w:hanging="4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and management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ectPr>
          <w:pgSz w:w="11900" w:h="1688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3"/>
              </w:rPr>
              <w:t>(As revised - see Note 2)</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Real estate assets: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1,955,543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1,938,922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77,022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58,734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1,997,656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54,478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63,972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5,035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2,303,736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945,288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943,598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Notes payable to trusts</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119,590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Discount on exchangeable senior notes</w:t>
            </w:r>
          </w:p>
        </w:tc>
        <w:tc>
          <w:tcPr>
            <w:tcW w:w="28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(7,982)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33,343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35,128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1,350,699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1,344,215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$0.01 par value, 50,000,000 shares authorized, no shares issued or</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$0.01 par value, 300,000,000 shares authorized, 86,104,311 and 85,790,331</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shares issued and outstanding at March 31, 2009 and December 31, 2008, respectively</w:t>
            </w:r>
          </w:p>
        </w:tc>
        <w:tc>
          <w:tcPr>
            <w:tcW w:w="2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1,131,150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1,130,964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(238,880)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(246,328)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Extra Space Storage Inc. 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Noncontrolling interest represented by Preferred Operating Partnership units, net of</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$100,000 note receivable</w:t>
            </w:r>
          </w:p>
        </w:tc>
        <w:tc>
          <w:tcPr>
            <w:tcW w:w="28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28,382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28,529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 in Operating Partnership</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2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953,037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946,793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2,303,736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60" w:type="dxa"/>
            <w:vAlign w:val="bottom"/>
            <w:gridSpan w:val="7"/>
          </w:tcPr>
          <w:p>
            <w:pPr>
              <w:ind w:lef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7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(As revised - see Note 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1280" w:type="dxa"/>
            <w:vAlign w:val="bottom"/>
          </w:tcPr>
          <w:p>
            <w:pPr>
              <w:jc w:val="right"/>
              <w:ind w:right="112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59,409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57,024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gridSpan w:val="2"/>
          </w:tcPr>
          <w:p>
            <w:pPr>
              <w:spacing w:after="0" w:line="201" w:lineRule="exact"/>
              <w:rPr>
                <w:sz w:val="20"/>
                <w:szCs w:val="20"/>
                <w:color w:val="auto"/>
              </w:rPr>
            </w:pPr>
            <w:r>
              <w:rPr>
                <w:rFonts w:ascii="Arial" w:cs="Arial" w:eastAsia="Arial" w:hAnsi="Arial"/>
                <w:sz w:val="18"/>
                <w:szCs w:val="18"/>
                <w:color w:val="auto"/>
              </w:rPr>
              <w:t>Income before interest, equity in earnings of real estate ventures, gain on repurchase of</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exchangeable senior notes and loss on sale of investments available for sale</w:t>
            </w:r>
          </w:p>
        </w:tc>
        <w:tc>
          <w:tcPr>
            <w:tcW w:w="6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21,275</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(15,795)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w w:val="96"/>
              </w:rPr>
              <w:t>Non-cash interest expense related to amortization of discount on exchangeable senior notes</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 receivable from Preferred Operating Partnership unit holder</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6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senior notes</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22,483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6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 allocated to Preferred Operating Partnership</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Operating Partnership and other noncontrolling interests</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5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85,940,389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91,222,295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71,699,461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Noncontrolling Interests</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7"/>
              </w:rPr>
              <w:t>Extra Space Storage Inc. Stockholders’ Equity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 OP</w:t>
            </w:r>
          </w:p>
        </w:tc>
        <w:tc>
          <w:tcPr>
            <w:tcW w:w="200" w:type="dxa"/>
            <w:vAlign w:val="bottom"/>
          </w:tcPr>
          <w:p>
            <w:pPr>
              <w:spacing w:after="0"/>
              <w:rPr>
                <w:sz w:val="12"/>
                <w:szCs w:val="12"/>
                <w:color w:val="auto"/>
              </w:rPr>
            </w:pP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Other</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940" w:type="dxa"/>
            <w:vAlign w:val="bottom"/>
            <w:gridSpan w:val="2"/>
            <w:vMerge w:val="continue"/>
          </w:tcPr>
          <w:p>
            <w:pPr>
              <w:spacing w:after="0"/>
              <w:rPr>
                <w:sz w:val="12"/>
                <w:szCs w:val="12"/>
                <w:color w:val="auto"/>
              </w:rPr>
            </w:pPr>
          </w:p>
        </w:tc>
        <w:tc>
          <w:tcPr>
            <w:tcW w:w="1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Balances at December 31, 2008</w:t>
            </w: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(As previously reported)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85,790,331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$1,109,185</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(237,580)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872,463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Adjustments (See Note 2)</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28,529</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21,779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(8,748)</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74,330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Balances at December 31, 2008</w:t>
            </w: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(As revised)</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28,529</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85,790,331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1,130,964</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(246,328)</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946,793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315,037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6"/>
              </w:rPr>
              <w:t>Restricted stock grants cancelled</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Compensation expense related to</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awards</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consolidated as business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equity portion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exchangeable senior notes</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Change in fair value of interest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rate swap</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Distributions to Operating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Partnership units held by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on common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at $0.25 per share</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2009</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28,382</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86,104,311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1,131,150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(238,880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422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w w:val="93"/>
              </w:rPr>
              <w:t>(As revised - see 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107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30,762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w w:val="92"/>
              </w:rPr>
              <w:t>Non-cash interest expense related to amortization of discount on exchangeable senior notes</w:t>
            </w:r>
          </w:p>
        </w:tc>
        <w:tc>
          <w:tcPr>
            <w:tcW w:w="1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Gain on repurchase of exchangeable senior notes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investments available for sale</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1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Receivables from related parties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(17,521)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real estate ventures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proceeds from sale of investments available for sale</w:t>
            </w:r>
          </w:p>
        </w:tc>
        <w:tc>
          <w:tcPr>
            <w:tcW w:w="1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Purchase of equipment and fixtures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Repurchase of exchangeable senior notes</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line of credit</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Principal payments on notes payable and line of credit</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 in Operating Partnership</w:t>
            </w:r>
          </w:p>
        </w:tc>
        <w:tc>
          <w:tcPr>
            <w:tcW w:w="1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50"/>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260" w:type="dxa"/>
            <w:vAlign w:val="bottom"/>
            <w:tcBorders>
              <w:top w:val="single" w:sz="8" w:color="auto"/>
              <w:bottom w:val="single" w:sz="8" w:color="auto"/>
            </w:tcBorders>
          </w:tcPr>
          <w:p>
            <w:pPr>
              <w:jc w:val="right"/>
              <w:ind w:right="107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1260" w:type="dxa"/>
            <w:vAlign w:val="bottom"/>
            <w:shd w:val="clear" w:color="auto" w:fill="CCEEFF"/>
          </w:tcPr>
          <w:p>
            <w:pPr>
              <w:jc w:val="right"/>
              <w:ind w:right="107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invests in self-storage facilities by acquiring or developing wholly-owned facilities or by acquiring an equity interest in real estate entities. At March 31, 2009, the Company had direct and indirect equity interests in 628 operating storage facilities located in 33 states and Washington, D.C. In</w:t>
      </w:r>
    </w:p>
    <w:p>
      <w:pPr>
        <w:sectPr>
          <w:pgSz w:w="11900" w:h="16838" w:orient="portrait"/>
          <w:cols w:equalWidth="0" w:num="1">
            <w:col w:w="11420"/>
          </w:cols>
          <w:pgMar w:left="240" w:top="337" w:right="239" w:bottom="0" w:gutter="0" w:footer="0" w:header="0"/>
        </w:sectPr>
      </w:pPr>
    </w:p>
    <w:bookmarkStart w:id="5" w:name="page6"/>
    <w:bookmarkEnd w:id="5"/>
    <w:p>
      <w:pPr>
        <w:ind w:right="580"/>
        <w:spacing w:after="0" w:line="277" w:lineRule="auto"/>
        <w:rPr>
          <w:sz w:val="20"/>
          <w:szCs w:val="20"/>
          <w:color w:val="auto"/>
        </w:rPr>
      </w:pPr>
      <w:r>
        <w:rPr>
          <w:rFonts w:ascii="Arial" w:cs="Arial" w:eastAsia="Arial" w:hAnsi="Arial"/>
          <w:sz w:val="18"/>
          <w:szCs w:val="18"/>
          <w:color w:val="auto"/>
        </w:rPr>
        <w:t>addition, the Company managed 70 properties for franchisees and third parties, bringing the total number of operating properties which it owns and/or manages to 698.</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The rental operations activities include rental operations of self-storage facilities. No single tenant accounts for more than 5% of rental income.</w:t>
      </w:r>
    </w:p>
    <w:p>
      <w:pPr>
        <w:spacing w:after="0" w:line="1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2009 are not necessarily indicative of results that may be expected for the year ended December 31, 2009. The Condensed Consolidated Balance Sheet as of December 31, 2008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2008 as filed with the Securities and Exchange Commission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amounts in the 2008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 to Prior Period Numbers</w:t>
      </w:r>
    </w:p>
    <w:p>
      <w:pPr>
        <w:spacing w:after="0" w:line="22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Effective January 1, 2009, the Company adopted certain recently issued accounting standards that required the Company to retroactively adopt the presentation and disclosure requirements and to restate prior period financial statements as noted in “Recently Issued Accounting Standards,”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(“FAS 157”). FAS 157 defines fair value, establishes guidelines for measuring fair value and expands disclosures regarding fair value measurement. FAS 157 applies under other accounting pronouncements that require or permit fair value measurements, and does not require any new fair value measurements. FAS 157 was effective for financial statements issued for fiscal years beginning after November 15, 2007 and interim periods within those fiscal years. In February 2008, the FASB issued FASB Statement of Position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(“the FSP”). The FSP amends FAS 157 to delay the effective date for FAS 157 for nonfinancial assets and nonfinancial liabilities, except for items that are recognized or disclosed at fair value in the financial statements on a recurring basis. The Company adopted FAS 157 effective January 1, 2008, except as it related to nonfinancial assets and liabilities. The Company adopted FAS 157 for nonfinancial assets and liabilities effective January 1, 2009.</w:t>
      </w:r>
    </w:p>
    <w:p>
      <w:pPr>
        <w:spacing w:after="0" w:line="18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December 2007, the FASB issued revised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are recorded at the acquisition-date fair value with limited exceptions. FAS 141(R) also changed the accounting treatment and disclosure for certain specific items in a business combination. FAS 141(R) applies prospectively to business combinations for which the acquisition date is on or after the beginning of the first fiscal year beginning on or after December 15, 2008. The Company adopted FAS 141(R) for all acquisitions subsequent to January 1, 2009.</w:t>
      </w:r>
    </w:p>
    <w:p>
      <w:pPr>
        <w:spacing w:after="0" w:line="17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December 2007, the FASB issued Statement No.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xml:space="preserve"> (“FAS 160”). FAS 160 establishes new accounting and reporting standards for the noncontrolling interest in a subsidiary and for the deconsolidation of a subsidiary. FAS 160 requires a company to clearly identify and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 higher of a) their carrying value or b) their redemption value as of the balance sheet date and reported as temporary equity. FAS 160 requires retroactive adoption of the presentation and disclosure requirements for existing noncontrolling interests, with all other requirements applied prospectively. The Company adopted FAS 160 and related guidance effective January 1, 2009.</w:t>
      </w:r>
    </w:p>
    <w:p>
      <w:pPr>
        <w:spacing w:after="0" w:line="18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March 2008, the FASB issued Statement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an amendment of FASB Statement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 ounting designation. FAS 161 is effective for financial statements issued for fiscal years and interim periods beginning after November 15, 2008. FAS 161 also encourages but does not require comparative disclosures for earlier periods at initial adoption. The Company adopted FAS 161 effective January 1, 2009. Since FAS 161 only requires additional disclosures concerning derivatives and hedging activities, the adoption of FAS 161 did not have any impact on the Company’s net income, cash flows, or financial position.</w:t>
      </w:r>
    </w:p>
    <w:p>
      <w:pPr>
        <w:sectPr>
          <w:pgSz w:w="11900" w:h="16838" w:orient="portrait"/>
          <w:cols w:equalWidth="0" w:num="1">
            <w:col w:w="11420"/>
          </w:cols>
          <w:pgMar w:left="240" w:top="125" w:right="239" w:bottom="0" w:gutter="0" w:footer="0" w:header="0"/>
        </w:sectPr>
      </w:pPr>
    </w:p>
    <w:bookmarkStart w:id="6" w:name="page7"/>
    <w:bookmarkEnd w:id="6"/>
    <w:p>
      <w:pPr>
        <w:ind w:right="100"/>
        <w:spacing w:after="0" w:line="271" w:lineRule="auto"/>
        <w:rPr>
          <w:sz w:val="20"/>
          <w:szCs w:val="20"/>
          <w:color w:val="auto"/>
        </w:rPr>
      </w:pPr>
      <w:r>
        <w:rPr>
          <w:rFonts w:ascii="Arial" w:cs="Arial" w:eastAsia="Arial" w:hAnsi="Arial"/>
          <w:sz w:val="17"/>
          <w:szCs w:val="17"/>
          <w:color w:val="auto"/>
        </w:rPr>
        <w:t>In May 2008, the FASB issued FASB Statement of Position No.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(“FSP APB 14-1”). Under FSP APB 14-1, entities with convertible debt instruments that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entirely or partially in cash upon conversion should separately account for the liability and equity components of the instrument in a manner that reflects the issuer’s economic interest cost. The effect of the adoption FSP APB 14-1 on the Company’s exchangeable senior notes is that the equity component is included in the paid-in-capital section of stockholders’ equity on the consolidated balance sheet and the value of the equity component is treated as original issue discount for purposes of accounting for the debt component. The original issue discount is amortized over the period of the debt as additional interest expense. FSP APB 14-1 is effective for fiscal years beginning after December 15, 2008, and for interim periods within those fiscal years, with retrospective application required . The Company adopted FSP APB 14-1 effective January 1, 2009.</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April 2008, the FASB issued FASB Staff Position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FAS 142-3”). FSP FAS 142-3 amends the factors that should be considered in developing renewal or extension assumptions used in determining the useful life of a recognized intangible asset under Statement of Financial Accounting Standard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This new guidance applies prospectively to intangible assets that are acquired individually or with a group of other assets in business combinations and a sset acquisitions. FSP FAS 142-3 is effective for fiscal years beginning after December 31, 2008. The Company adopted FSP FAS 142-3 for all acquisitions subsequent to January 1, 2009.</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June 2008, the FASB issued FASB Staff Position EITF 03-6-1, </w:t>
      </w:r>
      <w:r>
        <w:rPr>
          <w:rFonts w:ascii="Arial" w:cs="Arial" w:eastAsia="Arial" w:hAnsi="Arial"/>
          <w:sz w:val="18"/>
          <w:szCs w:val="18"/>
          <w:i w:val="1"/>
          <w:iCs w:val="1"/>
          <w:color w:val="auto"/>
        </w:rPr>
        <w:t>“Determining Whether Instruments Granted in Share-Based Payment Transactions 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Participating Securities,” </w:t>
      </w:r>
      <w:r>
        <w:rPr>
          <w:rFonts w:ascii="Arial" w:cs="Arial" w:eastAsia="Arial" w:hAnsi="Arial"/>
          <w:sz w:val="18"/>
          <w:szCs w:val="18"/>
          <w:color w:val="auto"/>
        </w:rPr>
        <w:t>(“FSP EITF 03-6-1”). FSP EITF 03-6-1 provides that unvested share-based payment awards that contain nonforfeitable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(whether paid or unpaid) are participating securities and shall be included in the computation of earnings per share pursuant to the t wo-class method as described in FASB</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Statement of Financial Accounting Standards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FSP EITF 03-6-1 is effective for financial statements issued for fiscal years beginning on or after December 15, 2008. The Company adopted FSP EITF 03-6-1 effective January 1, 2009 and has applied this guidance to all periods presented.</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April 2009, the FASB issued FASB Staff Position No. FAS 107-1 and APB 28-1, “</w:t>
      </w:r>
      <w:r>
        <w:rPr>
          <w:rFonts w:ascii="Arial" w:cs="Arial" w:eastAsia="Arial" w:hAnsi="Arial"/>
          <w:sz w:val="17"/>
          <w:szCs w:val="17"/>
          <w:i w:val="1"/>
          <w:iCs w:val="1"/>
          <w:color w:val="auto"/>
        </w:rPr>
        <w:t>Interim Disclosures About Fair Value of Financial Instruments”</w:t>
      </w:r>
      <w:r>
        <w:rPr>
          <w:rFonts w:ascii="Arial" w:cs="Arial" w:eastAsia="Arial" w:hAnsi="Arial"/>
          <w:sz w:val="17"/>
          <w:szCs w:val="17"/>
          <w:color w:val="auto"/>
        </w:rPr>
        <w:t xml:space="preserve"> (“FSP 107-1”), which amends FASB Statement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to require disclosures about fair-value of financial instruments for interim reporting periods of publicly-traded companies as well as in annual financial statements. In addition, FSP 107-1 amends APB Opinion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to require those disclosures in summarized financial information at interim reporting periods. Companies will also be required to disclose the method and significant assumptions used to estimate the fair-value of financial instruments and describe any changes in the methods or methodology occurring during the period. FSP 107-1 is effective for interim reporting periods ending after June 15, 2009, with early adoption permitted, but does not require disclosures for earlier periods presented for comparative purposes at adoption. The Company believes that the adoption of FSP 107-1 will not have a material impact on its consolidated financial statements.</w:t>
      </w:r>
    </w:p>
    <w:p>
      <w:pPr>
        <w:spacing w:after="0" w:line="1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2009, the FASB issued FASB Staff Position No. FAS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Liability Have Significantly Decreased and Identifying Transactions That Are Not Orderly” </w:t>
      </w:r>
      <w:r>
        <w:rPr>
          <w:rFonts w:ascii="Arial" w:cs="Arial" w:eastAsia="Arial" w:hAnsi="Arial"/>
          <w:sz w:val="16"/>
          <w:szCs w:val="16"/>
          <w:color w:val="auto"/>
        </w:rPr>
        <w:t>( 7;FSP 157-4”), which provides guidance for estimating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accordance with FAS 157 when the volume and level of activity for the asset or liability have significantly decreased and identifying circumstances that may indicate that a transaction is not orderly. FSP 157-4 is effective for interim and annual reporting periods ending after June 15, 2009, with early adoption for periods ending after March 15, 2009 permitted. FSP 115-2 does not require disclosures for earlier periods presented for comparative purposes at adoption. The Company believes that the adoption of FSP 157-4 will not have a material impact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center"/>
              <w:ind w:left="124"/>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March 31, 2009</w:t>
            </w:r>
          </w:p>
        </w:tc>
        <w:tc>
          <w:tcPr>
            <w:tcW w:w="142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20" w:type="dxa"/>
            <w:vAlign w:val="bottom"/>
          </w:tcPr>
          <w:p>
            <w:pPr>
              <w:jc w:val="center"/>
              <w:ind w:left="124"/>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associated with Swap Agreement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63,740</w:t>
            </w:r>
          </w:p>
        </w:tc>
        <w:tc>
          <w:tcPr>
            <w:tcW w:w="1420" w:type="dxa"/>
            <w:vAlign w:val="bottom"/>
            <w:shd w:val="clear" w:color="auto" w:fill="CCEEFF"/>
          </w:tcPr>
          <w:p>
            <w:pPr>
              <w:jc w:val="right"/>
              <w:ind w:right="1244"/>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assets (liabilities) - Swap Agreement</w:t>
            </w: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(1,109)</w:t>
            </w:r>
          </w:p>
        </w:tc>
        <w:tc>
          <w:tcPr>
            <w:tcW w:w="14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Notes payable associated with Reverse Swap</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61,770</w:t>
            </w:r>
          </w:p>
        </w:tc>
        <w:tc>
          <w:tcPr>
            <w:tcW w:w="1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assets (liabilities) - Reverse Swap Agreement</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4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24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is a reconciliation of the beginning and ending balances for the Company’s investments available for sale, which were the Company’s only material assets or liabilities that were remeasured on a recurring basis using significant unobservable inputs (Level 3) for the three months ended March 31, 2008:</w:t>
      </w:r>
    </w:p>
    <w:p>
      <w:pPr>
        <w:spacing w:after="0" w:line="13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21,812</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gains or losses (realized/unrealized)</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received in cash</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(21,812)</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Balance as of March 31, 2008</w:t>
            </w: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(Level 3) for the three months ended March 31, 2009.</w:t>
      </w:r>
    </w:p>
    <w:p>
      <w:pPr>
        <w:sectPr>
          <w:pgSz w:w="11900" w:h="16838" w:orient="portrait"/>
          <w:cols w:equalWidth="0" w:num="1">
            <w:col w:w="11420"/>
          </w:cols>
          <w:pgMar w:left="240" w:top="125"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using significant unobservable inputs. An impairment loss is recorded if the net carrying value of the assets exceeds the undiscounted future net operating cash flows attributable to the asset. The impairment loss recognized equals the excess of net carrying value over the related fair value of the asset. The Company has determined that no property was impaired and therefore no impairment charges were recorded during the three months ended March 31, 2009 or 2008.</w:t>
      </w:r>
    </w:p>
    <w:p>
      <w:pPr>
        <w:spacing w:after="0" w:line="15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When real estate assets are identified as held for sale, the Company discontinues depreciating the assets and estimates the fair value of the assets, net of selling costs, using significant unobservable inputs. If the estimated fair value, net of selling costs, of the assets that have been identified as held for sale is less than the net carrying value of the assets, then a valuation allowance is established. The operations of assets held for sale or sold during the period are presented as discontinued operations for all periods presented. The Company did not have any properties classified as held for sale at March 31, 2009 or December 31, 2008.</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using significant unobservable inputs. To the extent impairment has occurred, and is considered to be other-than-temporary, the loss is measured as the excess of the carrying amount over the fair value of the investment. No impairment charges were recognized for the three months ended March 31, 2009 or 2008.</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impaired properties or investments in unconsolidated real estate ventures or any real estate assets identified as held for sale during the three months ended March 31, 2009. Therefore, the Company did not make any nonrecurring fair value measurements during the period.</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connection with the Company’s acquisition of properties, the assets are valued as tangible and intangible assets and liabilities acquired based on their fair values using significant unobservable inputs. The value of the tangible assets, consisting of land and buildings, are determined as if vacant, that is, at replacement cost. Intangible assets, which represent the value of existing tenant relationships, are recorded at their fair values based on the avoided cost to replace the current leases. The Company measures the value of tenant relationships based on the Company’s historical experience with turnover in its facilities. Debt assumed as part of an acquisition is recorded at fair value based on current interest rates compared to contractual rates.</w:t>
      </w:r>
    </w:p>
    <w:p>
      <w:pPr>
        <w:spacing w:after="0" w:line="15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Basic earnings per common share is computed by dividing net income attributable to common stockholders by the weighted average number of common shares outstanding.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Operating Partnership has $138,163 of exchangeable senior notes issued and outstanding as of March 31, 2009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$23.48 per share at March 31, 2009, and could change over time as described in the indenture. The price of the Company’s common stock did not exceed 130% of the exchange price for the specified period of time during the first quarter of 2009; therefore holders of the exchangeable senior notes may not elect to convert them during the second quarter of 2009.</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March 31, 2009 or 2008 because there was no excess over the accreted principal for the period.</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16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ectPr>
          <w:pgSz w:w="11900" w:h="16838" w:orient="portrait"/>
          <w:cols w:equalWidth="0" w:num="1">
            <w:col w:w="11400"/>
          </w:cols>
          <w:pgMar w:left="240" w:top="341" w:right="259" w:bottom="0" w:gutter="0" w:footer="0" w:header="0"/>
        </w:sectPr>
      </w:pPr>
    </w:p>
    <w:bookmarkStart w:id="8" w:name="page9"/>
    <w:bookmarkEnd w:id="8"/>
    <w:p>
      <w:pPr>
        <w:spacing w:after="0" w:line="5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the three months ended March 31, 2009 and 2008, options to purchase 2,832,891 and 1,297,851 shares of common stock, respectively, were excluded from the computation of earnings per share as their effect would have been anti-dilutive. All restricted stock grants have been included in basic and diluted shares outstanding as required by EITF 03-6-1 because such shares earn a non-refundable dividend and carry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5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Income allocated to noncontrolling interest - Preferred Operating</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Partnership and Operating Partnership</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2,037</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40" w:type="dxa"/>
            <w:vAlign w:val="bottom"/>
            <w:gridSpan w:val="2"/>
          </w:tcPr>
          <w:p>
            <w:pPr>
              <w:ind w:left="980"/>
              <w:spacing w:after="0"/>
              <w:rPr>
                <w:sz w:val="20"/>
                <w:szCs w:val="20"/>
                <w:color w:val="auto"/>
              </w:rPr>
            </w:pPr>
            <w:r>
              <w:rPr>
                <w:rFonts w:ascii="Arial" w:cs="Arial" w:eastAsia="Arial" w:hAnsi="Arial"/>
                <w:sz w:val="18"/>
                <w:szCs w:val="18"/>
                <w:color w:val="auto"/>
              </w:rPr>
              <w:t>Net income for diluted computations</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31,011</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80" w:type="dxa"/>
            <w:vAlign w:val="bottom"/>
            <w:vMerge w:val="restart"/>
          </w:tcPr>
          <w:p>
            <w:pPr>
              <w:spacing w:after="0"/>
              <w:rPr>
                <w:sz w:val="17"/>
                <w:szCs w:val="17"/>
                <w:color w:val="auto"/>
              </w:rPr>
            </w:pPr>
          </w:p>
        </w:tc>
        <w:tc>
          <w:tcPr>
            <w:tcW w:w="5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number of common shares outstanding - basic</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85,940,389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66,165,159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Operating Partnership units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4,264,968</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4,072,857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Operating Partnership units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989,980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w w:val="95"/>
              </w:rPr>
              <w:t>Dilutive stock options, restricted stock and CCS/CCU conversions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26,958</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471,465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number of common shares outstanding - diluted</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91,222,295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71,699,461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4.  REAL ESTATE ASSETS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color w:val="auto"/>
              </w:rPr>
              <w:t>The components of real estate assets are summarized as follows: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2009</w:t>
            </w:r>
          </w:p>
        </w:tc>
        <w:tc>
          <w:tcPr>
            <w:tcW w:w="16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2008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4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466,369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461,883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Land - development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71,193</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64,392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1,573,306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1,555,598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Intangible assets - tenant relationships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33,355</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33,234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2,150,373</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2,121,257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(194,830)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(182,335)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Net operating real estate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1,955,543</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1,938,922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77,022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Net real estate assets</w:t>
            </w:r>
          </w:p>
        </w:tc>
        <w:tc>
          <w:tcPr>
            <w:tcW w:w="22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2,032,565</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1,997,656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5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Company’s acquisitions of operating properties for the three months ended March 31, 2009, and does not include purchases of raw land or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89"/>
              </w:rPr>
              <w:t>Consideration Paid</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w w:val="98"/>
              </w:rPr>
              <w:t>Acquisition Date Fair Value</w:t>
            </w: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2"/>
              </w:rPr>
              <w:t>Net</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Liabilities/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Closing</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Date 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1"/>
              </w:rPr>
              <w:t>(Assets)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costs -</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Properties</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Total Paid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Cash Paid</w:t>
            </w:r>
          </w:p>
        </w:tc>
        <w:tc>
          <w:tcPr>
            <w:tcW w:w="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Assumed</w:t>
            </w: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Land</w:t>
            </w: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Building</w:t>
            </w: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Intangible</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expensed</w:t>
            </w: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Source of Acquisition</w:t>
            </w:r>
          </w:p>
        </w:tc>
      </w:tr>
      <w:tr>
        <w:trPr>
          <w:trHeight w:val="129"/>
        </w:trPr>
        <w:tc>
          <w:tcPr>
            <w:tcW w:w="1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Virginia</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1/23/2009</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7,438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2,076</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Unrelated franchisee</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Under FAS 141(R), the Company treats property acquisitions as businesses and records the assets and the liabilities at their fair values as of the acquisition date. Acquisition-related transaction costs are expensed as incurred.</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Excess Profit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6"/>
          </w:tcPr>
          <w:p>
            <w:pPr>
              <w:ind w:left="86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Ownership %</w:t>
            </w: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Participation %</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March 31, 2009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Extra Space Northern Properties Six, LLC</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(“ESNPS”)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(“Clarendon”)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12,403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bl>
    <w:p>
      <w:pPr>
        <w:sectPr>
          <w:pgSz w:w="11900" w:h="16897" w:orient="portrait"/>
          <w:cols w:equalWidth="0" w:num="1">
            <w:col w:w="11460"/>
          </w:cols>
          <w:pgMar w:left="240" w:top="125"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92"/>
              </w:rPr>
              <w:t>5%</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88"/>
              </w:rPr>
              <w:t>20%</w:t>
            </w:r>
          </w:p>
        </w:tc>
        <w:tc>
          <w:tcPr>
            <w:tcW w:w="5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4,036</w:t>
            </w: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45%</w:t>
            </w:r>
          </w:p>
        </w:tc>
        <w:tc>
          <w:tcPr>
            <w:tcW w:w="2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9%</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46,913</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92"/>
              </w:rPr>
              <w:t>5%</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88"/>
              </w:rPr>
              <w:t>20%</w:t>
            </w:r>
          </w:p>
        </w:tc>
        <w:tc>
          <w:tcPr>
            <w:tcW w:w="5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5,179</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25%</w:t>
            </w:r>
          </w:p>
        </w:tc>
        <w:tc>
          <w:tcPr>
            <w:tcW w:w="2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40%</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17,162</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88"/>
              </w:rPr>
              <w:t>20%</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90"/>
              </w:rPr>
              <w:t>25-45%</w:t>
            </w:r>
          </w:p>
        </w:tc>
        <w:tc>
          <w:tcPr>
            <w:tcW w:w="5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14,005</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14,168</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U-Storage de Mexico S.A. and related entities (“U-</w:t>
            </w:r>
          </w:p>
        </w:tc>
        <w:tc>
          <w:tcPr>
            <w:tcW w:w="16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1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35-40%</w:t>
            </w:r>
          </w:p>
        </w:tc>
        <w:tc>
          <w:tcPr>
            <w:tcW w:w="2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35-40%</w:t>
            </w:r>
          </w:p>
        </w:tc>
        <w:tc>
          <w:tcPr>
            <w:tcW w:w="5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9,273</w:t>
            </w: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90"/>
              </w:rPr>
              <w:t>10-50%</w:t>
            </w:r>
          </w:p>
        </w:tc>
        <w:tc>
          <w:tcPr>
            <w:tcW w:w="2040" w:type="dxa"/>
            <w:vAlign w:val="bottom"/>
          </w:tcPr>
          <w:p>
            <w:pPr>
              <w:jc w:val="center"/>
              <w:ind w:right="30"/>
              <w:spacing w:after="0"/>
              <w:rPr>
                <w:sz w:val="20"/>
                <w:szCs w:val="20"/>
                <w:color w:val="auto"/>
              </w:rPr>
            </w:pPr>
            <w:r>
              <w:rPr>
                <w:rFonts w:ascii="Arial" w:cs="Arial" w:eastAsia="Arial" w:hAnsi="Arial"/>
                <w:sz w:val="18"/>
                <w:szCs w:val="18"/>
                <w:color w:val="auto"/>
                <w:w w:val="90"/>
              </w:rPr>
              <w:t>10-50%</w:t>
            </w:r>
          </w:p>
        </w:tc>
        <w:tc>
          <w:tcPr>
            <w:tcW w:w="5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2,178</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200" w:type="dxa"/>
            <w:vAlign w:val="bottom"/>
            <w:gridSpan w:val="2"/>
            <w:shd w:val="clear" w:color="auto" w:fill="CCEEFF"/>
          </w:tcPr>
          <w:p>
            <w:pPr>
              <w:jc w:val="right"/>
              <w:ind w:right="9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5"/>
              </w:rPr>
              <w:t>Equity in earnings (losses) of other minority owned properties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60" w:type="dxa"/>
            <w:vAlign w:val="bottom"/>
            <w:vMerge w:val="restart"/>
          </w:tcPr>
          <w:p>
            <w:pPr>
              <w:ind w:left="43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$25,713 of these equity investments over its original basis. The excess basis is amortized over 40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has interests in two unconsolidated joint ventures with unrelated third parties (“Montrose” and “Eastern Avenue”) which are variable interest entities (“VIEs”). The Company holds a 10% equity interest in Montrose and Eastern Avenue, but has 50% of the voting rights. Qualification as a VIE was based on the disproportionate voting and ownership percentages. The Company performed a probability-based cash flow analysis for each of these joint ventures to determine which party was the primary beneficiary of these VIEs. These analyses were performed using the Company’s best estimates of the future cash flows based on its historical experience with numerous similar assets. As a result of these analyses, the Company determined that it was not the primary beneficiary of either Montrose or Eastern Avenue as the Company does not receive a majority of either joint venture’s expected residual returns or bear a majority of the expected losses. Accordingly, these interests are carried on the equity method.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Both Montrose and Eastern Avenue each own a single pre-stabilized self-storage property. The joint ventures are financed through a combination of</w:t>
      </w:r>
    </w:p>
    <w:p>
      <w:pPr>
        <w:spacing w:after="0" w:line="35" w:lineRule="exact"/>
        <w:rPr>
          <w:sz w:val="20"/>
          <w:szCs w:val="20"/>
          <w:color w:val="auto"/>
        </w:rPr>
      </w:pPr>
    </w:p>
    <w:p>
      <w:pPr>
        <w:ind w:right="120" w:firstLine="8"/>
        <w:spacing w:after="0" w:line="252"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performs management services for both the Montrose and Eastern Avenue joint ventures in exchange for a management fee of approximately 6% of cash collected by the properties. The Company’s joint venture partners can replace the Company as manager of the properties upon written notice. The Company has not provided financial or other support during the periods presented to Montrose or Eastern Avenue that it was not previously contractually obligated to provide.</w:t>
      </w:r>
    </w:p>
    <w:p>
      <w:pPr>
        <w:spacing w:after="0" w:line="19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March 31, 2009, $0 and $0 for Montrose and Eastern Avenue, respectively were included in Investments in Real Estate on the Company’s consolidated balance sheet; these amounts are included in “other minority owned properties” in the footnote tables presented above. No liability was recorded associated with the Company’s guarantee of the construction loans of Montrose or Eastern Avenue. The Company’s maximum exposure to loss for each joint venture as of March 31, 2009 is the total of the guaranteed loan balance, the payables due to the Company and the Company’s investment balances in each joint venture. The following table compares the liability balances and the maximum exposure to loss related to Montrose and Eastern Avenue as of March 31, 2009: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 of</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Payables to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Guaranteed</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exposure</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Difference</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loan</w:t>
            </w: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to loss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Eastern Avenue</w:t>
            </w: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Montrose</w:t>
            </w:r>
          </w:p>
        </w:tc>
        <w:tc>
          <w:tcPr>
            <w:tcW w:w="9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7,295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10,094</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(10,094)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right="260" w:firstLine="8"/>
        <w:spacing w:after="0" w:line="342"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The Company’s maximum exposure to loss for each joint venture is the total of the guaranteed loan balance, the payables due to the Company and the Company’s investment balances in each joint venture. The Company believes that the risk of having to perform on the guarantee is remote and therefore no</w:t>
      </w:r>
    </w:p>
    <w:p>
      <w:pPr>
        <w:sectPr>
          <w:pgSz w:w="11900" w:h="16838" w:orient="portrait"/>
          <w:cols w:equalWidth="0" w:num="1">
            <w:col w:w="11460"/>
          </w:cols>
          <w:pgMar w:left="240" w:top="125" w:right="199" w:bottom="0" w:gutter="0" w:footer="0" w:header="0"/>
          <w:type w:val="continuous"/>
        </w:sectPr>
      </w:pPr>
    </w:p>
    <w:bookmarkStart w:id="10" w:name="page11"/>
    <w:bookmarkEnd w:id="10"/>
    <w:p>
      <w:pPr>
        <w:spacing w:after="0" w:line="7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liability has been recorded. Also, repossessing and/or selling the self-storage facilities and land that collateralize the loans could provide funds sufficient to reimburse the Company, and the Company believes that the risk of having to perform on the guarantees is remote. Additionally, the Company believes the payables to the Company are collectible.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Consolidated Real Estate Joint Ventures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variable interests in four consolidated joint ventures with third parties (the “VIE JVs”) which are VIEs. The VIE JVs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owns 50% to 72% of the common equity interests in the VIE JVs. The Company performed probability-based cash flow projections for each venture using the Company’s best estimates of future revenues and expenses based on historical experience with numerous similar assets. According to these analyses, the joint ventures were determined to be VIEs based on an assessment that the equity financing was inadequate to support operations. The Company was also determined to be the primary beneficiary of each of the VIE JVs, as it receives the majority of the benefits and bears the majority of the expected losses of each as a result of its majority ownership and the management agreements. Therefore, each of the VIE JVs are consolidated with the assets and liabilities of each joint venture included in the Company’s consolidated financial statements, with intercompany balances and transactions eliminated.</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January, 2009 the Company purchased a lender’s interest in a construction loan to a joint venture that owns a single property located in Sacramento, CA. The construction loan was to ESS of Sacramento One LLC, a joint venture in which the Company owns a</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50% interest. This joint venture was not consolidated and was not considered a VIE JV as of December 31, 2008. The Company considers the purchase of this loan to be a reconsideration event and now considers ESS of Sacramento One LLC to be a VIE JV and has determined that the Company now bears the majority of the risk of loss. As a result of this loan purchase by the Company, the joint venture is now consolidated. The assets and liabilities were recorded at fair value as required by FAS 141(R).</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performs development services for Washington Ave. and ESS of Plantation LLC in exchange for a development fee of 2% and 1% of budgeted costs, respectively. The Company performs management services for ESS of Sacramento One LLC and Franklin Blvd. in exchange for a management fee of approximately 6% of cash collected by the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financing of each of the VIE JVs as well as the carrying amounts of the related assets and liabilities as of March 31,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5"/>
              </w:rPr>
              <w:t>Excess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Payables</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Payables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Company’s</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JV Partners’</w:t>
            </w: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Joint</w:t>
            </w: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Equity</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Profit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7"/>
              </w:rPr>
              <w:t>to Company</w:t>
            </w: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Equity (non-</w:t>
            </w:r>
          </w:p>
        </w:tc>
      </w:tr>
      <w:tr>
        <w:trPr>
          <w:trHeight w:val="153"/>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Venture</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Ownership %</w:t>
            </w: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Participation %</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Total Assets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Notes Payable</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(eliminated)</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Liabilities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(eliminated)</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controlling interest)</w:t>
            </w:r>
          </w:p>
        </w:tc>
        <w:tc>
          <w:tcPr>
            <w:tcW w:w="100" w:type="dxa"/>
            <w:vAlign w:val="bottom"/>
            <w:tcBorders>
              <w:bottom w:val="single" w:sz="8" w:color="CCEEFF"/>
            </w:tcBorders>
          </w:tcPr>
          <w:p>
            <w:pPr>
              <w:spacing w:after="0"/>
              <w:rPr>
                <w:sz w:val="13"/>
                <w:szCs w:val="13"/>
                <w:color w:val="auto"/>
              </w:rPr>
            </w:pPr>
          </w:p>
        </w:tc>
      </w:tr>
      <w:tr>
        <w:trPr>
          <w:trHeight w:val="129"/>
        </w:trPr>
        <w:tc>
          <w:tcPr>
            <w:tcW w:w="2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ESS of Sacramento One LLC</w:t>
            </w: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50%</w:t>
            </w:r>
          </w:p>
        </w:tc>
        <w:tc>
          <w:tcPr>
            <w:tcW w:w="11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10,069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1"/>
                <w:szCs w:val="1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Franklin Blvd.</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w:t>
            </w:r>
          </w:p>
        </w:tc>
        <w:tc>
          <w:tcPr>
            <w:tcW w:w="11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7,122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5,123</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1,934</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Washington Ave.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w:t>
            </w:r>
          </w:p>
        </w:tc>
        <w:tc>
          <w:tcPr>
            <w:tcW w:w="11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8,815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3,651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3,256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767</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767</w:t>
            </w: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ESS of Plantation LLC</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w:t>
            </w:r>
          </w:p>
        </w:tc>
        <w:tc>
          <w:tcPr>
            <w:tcW w:w="11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4,324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3,090</w:t>
            </w: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1,175</w:t>
            </w:r>
          </w:p>
        </w:tc>
      </w:tr>
      <w:tr>
        <w:trPr>
          <w:trHeight w:val="129"/>
        </w:trPr>
        <w:tc>
          <w:tcPr>
            <w:tcW w:w="20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30,523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8,774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2,580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Except as disclosed above, the Company has not provided financial or other support during the periods presented to these VIEs that it was not previously contractually obligated to provide. The Company has guaranteed the notes payable for these VIEs. The notes payable are secured by the related self-storage properties and are non-recourse. If the joint ventures default on the loans, the Company may be forced to repay its portion of the balance owed. However, repossessing and/or selling the self-storage facilities and land that collateralize the loans could provide funds sufficient to reimburse the Company, and the Company believes that the risk of having to perform on the guarantees is remote.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800" w:type="dxa"/>
            <w:vAlign w:val="bottom"/>
            <w:gridSpan w:val="5"/>
          </w:tcPr>
          <w:p>
            <w:pPr>
              <w:ind w:left="100"/>
              <w:spacing w:after="0"/>
              <w:rPr>
                <w:sz w:val="20"/>
                <w:szCs w:val="20"/>
                <w:color w:val="auto"/>
              </w:rPr>
            </w:pPr>
            <w:r>
              <w:rPr>
                <w:rFonts w:ascii="Arial" w:cs="Arial" w:eastAsia="Arial" w:hAnsi="Arial"/>
                <w:sz w:val="18"/>
                <w:szCs w:val="18"/>
                <w:b w:val="1"/>
                <w:bCs w:val="1"/>
                <w:color w:val="auto"/>
              </w:rPr>
              <w:t>OTHER ASSETS</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gridSpan w:val="6"/>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 2009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December 31, 2008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204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10,671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4"/>
          </w:tcPr>
          <w:p>
            <w:pPr>
              <w:jc w:val="right"/>
              <w:ind w:right="139"/>
              <w:spacing w:after="0"/>
              <w:rPr>
                <w:sz w:val="20"/>
                <w:szCs w:val="20"/>
                <w:color w:val="auto"/>
              </w:rPr>
            </w:pPr>
            <w:r>
              <w:rPr>
                <w:rFonts w:ascii="Arial" w:cs="Arial" w:eastAsia="Arial" w:hAnsi="Arial"/>
                <w:sz w:val="18"/>
                <w:szCs w:val="18"/>
                <w:color w:val="auto"/>
              </w:rPr>
              <w:t>(7,732)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(7,309)</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11,578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12,330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8,663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11,120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reverse interest rate swap</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Investments in Trusts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3,590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40,996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42,576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vMerge w:val="restart"/>
          </w:tcPr>
          <w:p>
            <w:pPr>
              <w:jc w:val="right"/>
              <w:ind w:right="210"/>
              <w:spacing w:after="0"/>
              <w:rPr>
                <w:sz w:val="20"/>
                <w:szCs w:val="20"/>
                <w:color w:val="auto"/>
              </w:rPr>
            </w:pPr>
            <w:r>
              <w:rPr>
                <w:rFonts w:ascii="Arial" w:cs="Arial" w:eastAsia="Arial" w:hAnsi="Arial"/>
                <w:sz w:val="18"/>
                <w:szCs w:val="18"/>
                <w:color w:val="auto"/>
              </w:rPr>
              <w:t>15</w:t>
            </w: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gridSpan w:val="2"/>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gridSpan w:val="2"/>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4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800" w:type="dxa"/>
            <w:vAlign w:val="bottom"/>
            <w:gridSpan w:val="5"/>
          </w:tcPr>
          <w:p>
            <w:pPr>
              <w:ind w:left="100"/>
              <w:spacing w:after="0"/>
              <w:rPr>
                <w:sz w:val="20"/>
                <w:szCs w:val="20"/>
                <w:color w:val="auto"/>
              </w:rPr>
            </w:pPr>
            <w:r>
              <w:rPr>
                <w:rFonts w:ascii="Arial" w:cs="Arial" w:eastAsia="Arial" w:hAnsi="Arial"/>
                <w:sz w:val="18"/>
                <w:szCs w:val="18"/>
                <w:b w:val="1"/>
                <w:bCs w:val="1"/>
                <w:color w:val="auto"/>
              </w:rPr>
              <w:t>NOTES PAYABLE</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gridSpan w:val="6"/>
          </w:tcPr>
          <w:p>
            <w:pPr>
              <w:spacing w:after="0"/>
              <w:rPr>
                <w:sz w:val="20"/>
                <w:szCs w:val="20"/>
                <w:color w:val="auto"/>
              </w:rPr>
            </w:pPr>
            <w:r>
              <w:rPr>
                <w:rFonts w:ascii="Arial" w:cs="Arial" w:eastAsia="Arial" w:hAnsi="Arial"/>
                <w:sz w:val="18"/>
                <w:szCs w:val="18"/>
                <w:color w:val="auto"/>
              </w:rPr>
              <w:t>The components of notes payable are summarized as follows: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March 31, 2009</w:t>
            </w:r>
          </w:p>
        </w:tc>
        <w:tc>
          <w:tcPr>
            <w:tcW w:w="24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10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gridSpan w:val="6"/>
          </w:tcPr>
          <w:p>
            <w:pPr>
              <w:spacing w:after="0"/>
              <w:rPr>
                <w:sz w:val="20"/>
                <w:szCs w:val="20"/>
                <w:color w:val="auto"/>
              </w:rPr>
            </w:pPr>
            <w:r>
              <w:rPr>
                <w:rFonts w:ascii="Arial" w:cs="Arial" w:eastAsia="Arial" w:hAnsi="Arial"/>
                <w:sz w:val="18"/>
                <w:szCs w:val="18"/>
                <w:color w:val="auto"/>
                <w:w w:val="92"/>
              </w:rPr>
              <w:t>Mortgage and construction loans with banks (inclulding loans subject to interest rate swaps)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806,914</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818,166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-1450975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2" w:orient="portrait"/>
          <w:cols w:equalWidth="0" w:num="1">
            <w:col w:w="11460"/>
          </w:cols>
          <w:pgMar w:left="240" w:top="125" w:right="199" w:bottom="0" w:gutter="0" w:footer="0" w:header="0"/>
        </w:sectPr>
      </w:pPr>
    </w:p>
    <w:bookmarkStart w:id="11" w:name="page12"/>
    <w:bookmarkEnd w:id="11"/>
    <w:p>
      <w:pPr>
        <w:ind w:left="520" w:right="4360"/>
        <w:spacing w:after="0" w:line="259" w:lineRule="auto"/>
        <w:rPr>
          <w:sz w:val="20"/>
          <w:szCs w:val="20"/>
          <w:color w:val="auto"/>
        </w:rPr>
      </w:pPr>
      <w:r>
        <w:rPr>
          <w:rFonts w:ascii="Arial" w:cs="Arial" w:eastAsia="Arial" w:hAnsi="Arial"/>
          <w:sz w:val="18"/>
          <w:szCs w:val="18"/>
          <w:color w:val="auto"/>
        </w:rPr>
        <w:t>bearing interest at fixed rates between 4.24% and 7.00%. The loans are collateralized by mortgages on real estate assets and the assignment of rents. Principal and interest payments are made monthly with all outstanding principal and interest due between August 2009 and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7576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7620" w:type="dxa"/>
            <w:vAlign w:val="bottom"/>
          </w:tcPr>
          <w:p>
            <w:pPr>
              <w:spacing w:after="0"/>
              <w:rPr>
                <w:sz w:val="20"/>
                <w:szCs w:val="20"/>
                <w:color w:val="auto"/>
              </w:rPr>
            </w:pPr>
            <w:r>
              <w:rPr>
                <w:rFonts w:ascii="Arial" w:cs="Arial" w:eastAsia="Arial" w:hAnsi="Arial"/>
                <w:sz w:val="18"/>
                <w:szCs w:val="18"/>
                <w:b w:val="1"/>
                <w:bCs w:val="1"/>
                <w:u w:val="single" w:color="auto"/>
                <w:color w:val="auto"/>
              </w:rPr>
              <w:t>Variable Rate</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Mortgage and construction loans with banks bearing floating interest rates (including loans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subject to reverse interest rate swaps) based on LIBOR and Prime. Interest rates based on</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LIBOR are between LIBOR plus 0.65% (1.08% and 5.25% at March 31, 2009 and</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December 31, 2008, respectively) and LIBOR plus 3.25% (3.68% and 7.85% at March 31,</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2009 and December 31, 2008, respectively). Interest rates based on Prime are at Prime plus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1.50% (4.75% and 4.75% at March 31, 2009 and December 31, 2008, respectively). The</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loans are collateralized by mortgages on real estate assets and the assignment of rents.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Principal and interest payments are made monthly with all outstanding principal and</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interest due between August 2009 and March 2012.</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138,374</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125,432</w:t>
            </w:r>
          </w:p>
        </w:tc>
      </w:tr>
      <w:tr>
        <w:trPr>
          <w:trHeight w:val="446"/>
        </w:trPr>
        <w:tc>
          <w:tcPr>
            <w:tcW w:w="7620" w:type="dxa"/>
            <w:vAlign w:val="bottom"/>
          </w:tcPr>
          <w:p>
            <w:pPr>
              <w:ind w:left="70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945,288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943,598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-1517015</wp:posOffset>
            </wp:positionV>
            <wp:extent cx="6757670" cy="1543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57670" cy="1543685"/>
                    </a:xfrm>
                    <a:prstGeom prst="rect">
                      <a:avLst/>
                    </a:prstGeom>
                    <a:noFill/>
                  </pic:spPr>
                </pic:pic>
              </a:graphicData>
            </a:graphic>
          </wp:anchor>
        </w:drawing>
      </w:r>
    </w:p>
    <w:p>
      <w:pPr>
        <w:spacing w:after="0" w:line="2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March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FASB Statement No. 133, </w:t>
      </w:r>
      <w:r>
        <w:rPr>
          <w:rFonts w:ascii="Arial" w:cs="Arial" w:eastAsia="Arial" w:hAnsi="Arial"/>
          <w:sz w:val="18"/>
          <w:szCs w:val="18"/>
          <w:i w:val="1"/>
          <w:iCs w:val="1"/>
          <w:color w:val="auto"/>
        </w:rPr>
        <w:t>“Accounting for Derivative Instruments and Hedging Activities, as amended”</w:t>
      </w:r>
      <w:r>
        <w:rPr>
          <w:rFonts w:ascii="Arial" w:cs="Arial" w:eastAsia="Arial" w:hAnsi="Arial"/>
          <w:sz w:val="18"/>
          <w:szCs w:val="18"/>
          <w:color w:val="auto"/>
        </w:rPr>
        <w:t xml:space="preserve"> (“FAS 133”)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exposed to certain risks relating to its ongoing business operations. The primary risk managed by using derivative instruments is interest rate risk. Interest rate swaps are entered into to manage interest rate risk associated with Company’s fixed and variable-rate borrowings. In accordance with FAS 133, the Company designates certain interest rate swaps as cash flow hedges of variable-rate borrowings and the remainder as fair value hedges of fixed-rate borrowings.</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October 2004, the Company entered into a reverse interest rate swap agreement (“Reverse Swap Agreement”) to float $61,770 of 4.30% fixed interest rate secured notes due in June 2009. The Company entered into the Reverse Swap Agreement to hedge the risk of changes in the fair value of the related debt attributed to changes in interest rates. The Reverse Swap Agreement allows fluctuations in the fair value of the debt to be offset by the value of the interest rate swap. The fair value of the Swap Agreement is determined through observable prices in active markets for identical agreements. Under this Reverse Swap Agreement, the Company will receive interest at a fixed rate of 4.30% and pay interest at a variable rate equal to LIBOR plus 0.65%. The Reverse Swap Agreement matures at the same time the notes are due. This Reverse Swap Agreement is a fair value hedge, as defined by FAS 133, and the fair value of the Reverse Swap Agreement is recorded as an asset or liability, with an offsetting adjustment to the carrying value of the related note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Monthly variable interest payments are recognized as an increase or decrease in interest expense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Pr>
          <w:p>
            <w:pPr>
              <w:spacing w:after="0"/>
              <w:rPr>
                <w:sz w:val="14"/>
                <w:szCs w:val="14"/>
                <w:color w:val="auto"/>
              </w:rPr>
            </w:pPr>
          </w:p>
        </w:tc>
      </w:tr>
      <w:tr>
        <w:trPr>
          <w:trHeight w:val="142"/>
        </w:trPr>
        <w:tc>
          <w:tcPr>
            <w:tcW w:w="4620" w:type="dxa"/>
            <w:vAlign w:val="bottom"/>
            <w:gridSpan w:val="3"/>
          </w:tcPr>
          <w:p>
            <w:pPr>
              <w:ind w:left="980"/>
              <w:spacing w:after="0" w:line="142" w:lineRule="exact"/>
              <w:rPr>
                <w:sz w:val="20"/>
                <w:szCs w:val="20"/>
                <w:color w:val="auto"/>
              </w:rPr>
            </w:pPr>
            <w:r>
              <w:rPr>
                <w:rFonts w:ascii="Arial" w:cs="Arial" w:eastAsia="Arial" w:hAnsi="Arial"/>
                <w:sz w:val="14"/>
                <w:szCs w:val="14"/>
                <w:b w:val="1"/>
                <w:bCs w:val="1"/>
                <w:color w:val="auto"/>
              </w:rPr>
              <w:t>Type</w:t>
            </w: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8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 (FV hedge)</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ind w:right="339"/>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30, 2008, the Company entered into a loan agreement in the amount of $64,530 secured by certain properties. At March 31, 2009, $63,740 was drawn on the loan balance. The loan bears interest at LIBOR plus 2%, maturing on June 30, 2011. The loan agreement has a two year extension, at the option of the Company, that would extend the loan maturity to June 30, 2013.</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28, 2009, the Company entered into an interest rate swap agreement (“Swap Agreement”) with an effective date of February 1, 2009 and a maturity date of June 30, 2013. Under the Swap Agreement, the Company will receive interest at a variable rate of LIBOR plus 2.0% and pay interest at a fixed rate of 4.24%. The Company entered into the Swap Agreement to hedge the risk of changes in interest rate payments attributed to changes in the LIBOR rate. The other critical terms of the Swap Agreement are identical to those of the underlying debt. This swap agreement is a cash flow hedge, as defined by SFAS No. 133, and the effective portion of the gain or loss on the Swap Agreement will be reported as a component of other comprehensive income and reclassified into interest expense when the forecasted transaction affects earnings. Information relating to the gain (loss) recognized relating to the Swap Agreement is as follows:</w:t>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Gain/(loss)</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Gain/(loss)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recognized in OCI</w:t>
            </w:r>
          </w:p>
        </w:tc>
        <w:tc>
          <w:tcPr>
            <w:tcW w:w="1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86"/>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06"/>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Type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 March 31,</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ended March 31,</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6"/>
              </w:rPr>
              <w:t>2009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OCI into income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(cash flow hedge)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Swap Agreement was highly effective for the three months ended March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Reverse Swap Agreement and the Swap Agreement is as follows:</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ind w:left="6400"/>
        <w:spacing w:after="0"/>
        <w:rPr>
          <w:sz w:val="20"/>
          <w:szCs w:val="20"/>
          <w:color w:val="auto"/>
        </w:rPr>
      </w:pPr>
      <w:r>
        <w:rPr>
          <w:rFonts w:ascii="Arial" w:cs="Arial" w:eastAsia="Arial" w:hAnsi="Arial"/>
          <w:sz w:val="13"/>
          <w:szCs w:val="13"/>
          <w:b w:val="1"/>
          <w:bCs w:val="1"/>
          <w:color w:val="auto"/>
        </w:rPr>
        <w:t>Asset/(Liability)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13970</wp:posOffset>
            </wp:positionV>
            <wp:extent cx="4022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2" w:name="page13"/>
    <w:bookmarkEnd w:id="12"/>
    <w:tbl>
      <w:tblPr>
        <w:tblLayout w:type="fixed"/>
        <w:tblInd w:w="66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28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March 31, 2009</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2008</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80" w:type="dxa"/>
            <w:vAlign w:val="bottom"/>
          </w:tcPr>
          <w:p>
            <w:pPr>
              <w:spacing w:after="0"/>
              <w:rPr>
                <w:sz w:val="10"/>
                <w:szCs w:val="10"/>
                <w:color w:val="auto"/>
              </w:rPr>
            </w:pPr>
          </w:p>
        </w:tc>
        <w:tc>
          <w:tcPr>
            <w:tcW w:w="8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Fair</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jc w:val="right"/>
              <w:ind w:right="47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instruments under FAS 133:</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Swap Agreement</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(1,109)</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TO TRUSTS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follows FASB Interpretation No. 46R,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(“FIN 46R”), which addresses the consolidation of VIEs. Under FIN 46R, Trust, Trust II and Trust III are VIEs because the holders of the equity investment at risk (the trust preferred securities) do not have adequate decision making ability over the trusts’ activities because of their lack of voting or similar rights. Because of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 Following is a tabular comparison of the liabilities the Company has recorded as a result of its involvements with the trusts to the maximum exposure to loss the Company is subject to related to the trusts as of March 31, 2009:</w:t>
      </w:r>
    </w:p>
    <w:p>
      <w:pPr>
        <w:spacing w:after="0" w:line="15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Notes payable</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 Trusts as of</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2009</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exposure to loss</w:t>
            </w: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Trust II</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these differences represent the amounts that the trusts would repay the Company for its investment in the trusts’ common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EXCHANGEABLE SENIOR NOTES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$5,700. These costs are being amortized over five years, which represents the estimated term of the Notes, and are included in other assets in the condensed consolidated balance sheet as of March 31, 2009.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exchange rate of approximately 43.1091 shares per one thousand dollars principal amount of Notes at the option of the Operating Partnership.</w:t>
      </w:r>
    </w:p>
    <w:p>
      <w:pPr>
        <w:sectPr>
          <w:pgSz w:w="11900" w:h="16838" w:orient="portrait"/>
          <w:cols w:equalWidth="0" w:num="1">
            <w:col w:w="11420"/>
          </w:cols>
          <w:pgMar w:left="240" w:top="118" w:right="239" w:bottom="80" w:gutter="0" w:footer="0" w:header="0"/>
        </w:sectPr>
      </w:pPr>
    </w:p>
    <w:bookmarkStart w:id="13" w:name="page14"/>
    <w:bookmarkEnd w:id="13"/>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FSP APB 14-1</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2008, the FASB issued FSP ABP 14-1. Under FSP APB 14-1, entities with convertible debt instruments that may be settled entirely or partially in cash upon conversion should separately account for the liability and equity components of the instrument in a manner that reflects the issuer’s economic interest cost. The Company retroactively adopted FSP APB 14-1 effective January 1, 2009. As a result, the liability and equity components of the Notes are now accounted for separately. The equity component is included in the paid-in-capital section of stockholders’ equity on the consolidated balance sheet, and the value of the equity component is treated as original issue discount for purposes of accounting for the debt component. The discount is being amortized over the period of the debt as additional interest expense.</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about the carrying amounts of the equity component, the principal amount of the liability component, its unamortized discount, and its net carrying amount are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Unamortized discount</w:t>
            </w:r>
          </w:p>
        </w:tc>
        <w:tc>
          <w:tcPr>
            <w:tcW w:w="2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(7,982)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remaining discount will be amortized over the remaining period of the debt through its’ first redemption date (April 1, 2012). The effective interest rate on the liability component is 5.75%. The amount of interest cost recognized relating to the contractual interest rate and the amortization of the discount on the liability component is as follows: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1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14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1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841</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r>
      <w:tr>
        <w:trPr>
          <w:trHeight w:val="210"/>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Notes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October 2008, the Company repurchased $40,337 principal amount, respectively, of the Notes. The Company paid cash of $31,721 to repurchase the Notes.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March 2009, the Company repurchased $71,500 principal amount of Notes. The Company paid cash of $44,513 to repurchase the Notes, exclusive of $1,136 paid for interest accrued on the repurchased Notes through the date of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FSP APB 14-1 requires that the value of the consideration paid to repurchase the Notes be allocated (1) to the extinguishment of the liability component and</w:t>
      </w:r>
    </w:p>
    <w:p>
      <w:pPr>
        <w:spacing w:after="0" w:line="46" w:lineRule="exact"/>
        <w:rPr>
          <w:sz w:val="20"/>
          <w:szCs w:val="20"/>
          <w:color w:val="auto"/>
        </w:rPr>
      </w:pPr>
    </w:p>
    <w:p>
      <w:pPr>
        <w:ind w:firstLine="8"/>
        <w:spacing w:after="0" w:line="253"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Notes, and recognized as a reduction of stockholders’ equity.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repurchases and the related gains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March 2009</w:t>
            </w:r>
          </w:p>
        </w:tc>
        <w:tc>
          <w:tcPr>
            <w:tcW w:w="12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2008</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repurchases</w:t>
            </w:r>
          </w:p>
        </w:tc>
        <w:tc>
          <w:tcPr>
            <w:tcW w:w="1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repurchases</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(As revised - see Note 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repurchased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 allocated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Extinguishment of liability component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Reacquisition of equity component</w:t>
            </w:r>
          </w:p>
        </w:tc>
        <w:tc>
          <w:tcPr>
            <w:tcW w:w="30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paid for repurchase</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repurchased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Extinguishment of liability component</w:t>
            </w:r>
          </w:p>
        </w:tc>
        <w:tc>
          <w:tcPr>
            <w:tcW w:w="30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(43,800)</w:t>
            </w: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138"/>
        </w:trPr>
        <w:tc>
          <w:tcPr>
            <w:tcW w:w="4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6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Discount on exchangeable senior notes</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Related debt issuance costs</w:t>
            </w:r>
          </w:p>
        </w:tc>
        <w:tc>
          <w:tcPr>
            <w:tcW w:w="6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7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repurchase</w:t>
            </w: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LINE OF CREDIT</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October 19, 2007, the Operating Partnership entered into a $100,000 revolving line of credit (the “Credit Line”) that matures October 31, 2010 with two one-year extensions available. The Company intends to use the proceeds of the Credit Line to repay debt maturing in 2009 and for general corporate purposes. The Credit Line has an interest rate of between 100 and 205 basis points over LIBOR, depending on certain financial ratios of the Company. The Credit Line is collateralized by mortgages on certain real estate assets. As of March 31, 2009, the Credit Line had $100,000 of capacity based on the assets collateralizing the Credit Line. $100,000 and $27,000 was drawn on the Credit Line as of March 31, 2009 and December 31, 2008, respectively. The Company is subject to certain restrictive covenants relating to the Credit Line. The Company was in compliance with all covenants as of March 31,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 2009</w:t>
            </w:r>
          </w:p>
        </w:tc>
        <w:tc>
          <w:tcPr>
            <w:tcW w:w="18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2008</w:t>
            </w:r>
          </w:p>
        </w:tc>
      </w:tr>
      <w:tr>
        <w:trPr>
          <w:trHeight w:val="210"/>
        </w:trPr>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Security deposits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 liability</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4,608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3,562</w:t>
            </w:r>
          </w:p>
        </w:tc>
        <w:tc>
          <w:tcPr>
            <w:tcW w:w="140" w:type="dxa"/>
            <w:vAlign w:val="bottom"/>
          </w:tcPr>
          <w:p>
            <w:pPr>
              <w:spacing w:after="0"/>
              <w:rPr>
                <w:sz w:val="18"/>
                <w:szCs w:val="18"/>
                <w:color w:val="auto"/>
              </w:rPr>
            </w:pPr>
          </w:p>
        </w:tc>
      </w:tr>
      <w:tr>
        <w:trPr>
          <w:trHeight w:val="210"/>
        </w:trPr>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AND AFFILIATED REAL ESTATE JOINT VENTURE TRANSACTIONS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provides management and development services to certain joint ventures, franchises, third parties and other related party properties. Management agreements provide generally for management fees of 6% of cash collected from properties for the management of operations at the self-storage facilities.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revenues for related parties and affiliated real estate joint ventures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Entity</w:t>
            </w:r>
          </w:p>
        </w:tc>
        <w:tc>
          <w:tcPr>
            <w:tcW w:w="300" w:type="dxa"/>
            <w:vAlign w:val="bottom"/>
          </w:tcPr>
          <w:p>
            <w:pPr>
              <w:spacing w:after="0"/>
              <w:rPr>
                <w:sz w:val="14"/>
                <w:szCs w:val="14"/>
                <w:color w:val="auto"/>
              </w:rPr>
            </w:pPr>
          </w:p>
        </w:tc>
        <w:tc>
          <w:tcPr>
            <w:tcW w:w="320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Type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ESW</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1580" w:type="dxa"/>
            <w:vAlign w:val="bottom"/>
            <w:gridSpan w:val="3"/>
            <w:shd w:val="clear" w:color="auto" w:fill="CCEEFF"/>
          </w:tcPr>
          <w:p>
            <w:pPr>
              <w:jc w:val="right"/>
              <w:ind w:right="114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ESW II</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ESNPS</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PRISA</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PRISA II</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1,025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PRISA III</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VRS</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WCOT</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SP I</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SPB II</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3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Franchisees, third parties and other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7"/>
          </w:tcPr>
          <w:p>
            <w:pPr>
              <w:jc w:val="right"/>
              <w:ind w:right="407"/>
              <w:spacing w:after="0"/>
              <w:rPr>
                <w:sz w:val="20"/>
                <w:szCs w:val="20"/>
                <w:color w:val="auto"/>
              </w:rPr>
            </w:pPr>
            <w:r>
              <w:rPr>
                <w:rFonts w:ascii="Arial" w:cs="Arial" w:eastAsia="Arial" w:hAnsi="Arial"/>
                <w:sz w:val="18"/>
                <w:szCs w:val="18"/>
                <w:color w:val="auto"/>
                <w:w w:val="90"/>
              </w:rPr>
              <w:t>Receivables from related parties and affiliated real estate joint ventures are summarized as follows: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 2009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2008</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Development fees receivable</w:t>
            </w:r>
          </w:p>
        </w:tc>
        <w:tc>
          <w:tcPr>
            <w:tcW w:w="1580" w:type="dxa"/>
            <w:vAlign w:val="bottom"/>
            <w:gridSpan w:val="3"/>
            <w:shd w:val="clear" w:color="auto" w:fill="CCEEFF"/>
          </w:tcPr>
          <w:p>
            <w:pPr>
              <w:jc w:val="right"/>
              <w:ind w:right="120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Other receivables from properties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4,054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ind w:right="120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Development fees receivable consist of amounts due for development services from third parties and unconsolidated affiliated joint ventures. The Company earns development fees of 1% - 6% of budged costs on development projects. Other receivables from properties consist of amounts due for management fees and expenses paid by the Company on behalf of the properties that the Company manages. The Company believes that all of these related party and affiliated joint venture receivables are fully collectible. The Company does not have any payables to related parties at March 31, 2009 or December 31, 2008.</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Centershift, a related party service provider, is partially owned by certain directors and members of management of the Company. Effective January 1, 2004, the Company entered into a license agreement with Centershift to secure a perpetual right for continued use of STORE (the site management software used at all sites operated by the Company) in all aspects of the Company’s property acquisition, development, redevelopment and operational activities. During the three months ended March 31, 2009 and 2008, the Company paid $255 and $169, respectively, relating to the purchase of software and to license agreements.</w:t>
      </w:r>
    </w:p>
    <w:p>
      <w:pPr>
        <w:spacing w:after="0" w:line="15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has entered into an aircraft dry lease and service and management agreement with SpenAero, L.C. (“SpenAero”), an affiliate of Spencer F. Kirk, the Company’s Chairman and Chief Executive Officer. Under the terms of the agreement, the Company pays a defined hourly rate for use of the</w:t>
      </w:r>
    </w:p>
    <w:p>
      <w:pPr>
        <w:sectPr>
          <w:pgSz w:w="11900" w:h="16908" w:orient="portrait"/>
          <w:cols w:equalWidth="0" w:num="1">
            <w:col w:w="11380"/>
          </w:cols>
          <w:pgMar w:left="240" w:top="140" w:right="279" w:bottom="0" w:gutter="0" w:footer="0" w:header="0"/>
        </w:sectPr>
      </w:pPr>
    </w:p>
    <w:bookmarkStart w:id="15" w:name="page16"/>
    <w:bookmarkEnd w:id="15"/>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aircraft. During the three months ended March 31, 2009 and 2008, the Company paid SpenAero $150 and $90, respectively. The services that the Company receives from SpenAero are similar in nature and price to those that are provided to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NONCONTROLLING INTEREST REPRESENTED BY PREFERRED OPERATING PARTNERSHIP UNITS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Capital,” </w:t>
      </w:r>
      <w:r>
        <w:rPr>
          <w:rFonts w:ascii="Arial" w:cs="Arial" w:eastAsia="Arial" w:hAnsi="Arial"/>
          <w:sz w:val="18"/>
          <w:szCs w:val="18"/>
          <w:color w:val="auto"/>
        </w:rPr>
        <w:t>because the borrower under the loan receivable is also the holder of the Preferred OP units.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of Extra Space Storage LP to clarify certain tax-related provisions relating to the Preferred OP units.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adopted FAS 160 effective January 1, 2009. FAS 160 requires a company to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was required to be adopted prospectively with the exception of the presentation and disclosure requirements, which were applied retrospectively for all periods presented.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evaluated the terms of the Preferred OP units, and as a result of the adoption of FAS 160, the Company reclassified the noncontrolling interest represented by the Preferred OP units to stockholders’ equity in the accompanying condensed consolidated balance sheets. In periods subsequent to the adoption of FAS 160,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 IN OPERATING PARTNERSHIP</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94.25% majority ownership interest therein as of March 31, 2009. The remaining ownership interests in the Operating Partnership (including Preferred OP units) of 5.75% are held by certain former owners of assets acquired by the Operating Partnership, which include officers and a director of the Company. As of March 31, 2009, the Operating Partnership had 4,264,968 common OP units outstanding.</w:t>
      </w:r>
    </w:p>
    <w:p>
      <w:pPr>
        <w:spacing w:after="0" w:line="1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CCUs. Limited partners who received OP units in the formation transactions or in exchange for contributions for interests in properties have the right to require the Operating Partnership to redeem part or all of their common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March 31, 2009 was $5.57 and there were 4,264,968 OP units outstanding. Assuming that all of the unit holders exercised their right to redeem all of their common OP units on March 31, 2009 and the Company elected to pay the noncontrolling members cash, the Company would have paid $23,756 in cash consideration to redeem the OP units.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Unlike the OP units, CCUs did not carry any voting rights. Upon the achievement of certain performance thresholds relating to 14 properties, a portion of the CCUs automatically converted into OP units. Each CCU was convertible on a one-for-one basis into OP</w:t>
      </w:r>
    </w:p>
    <w:p>
      <w:pPr>
        <w:sectPr>
          <w:pgSz w:w="11900" w:h="16861" w:orient="portrait"/>
          <w:cols w:equalWidth="0" w:num="1">
            <w:col w:w="11420"/>
          </w:cols>
          <w:pgMar w:left="240" w:top="125" w:right="239" w:bottom="0" w:gutter="0" w:footer="0" w:header="0"/>
        </w:sectPr>
      </w:pPr>
    </w:p>
    <w:bookmarkStart w:id="16" w:name="page17"/>
    <w:bookmarkEnd w:id="16"/>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units, subject to customary anti-dilution adjustments. Beginning with the quarter ended March 31, 2006, and ending with the quarter ended December 31, 2008, the Company calculated the net operating income from the 14 wholly-owned properties over the 12-month period ending in such quarter. Within</w:t>
      </w:r>
    </w:p>
    <w:p>
      <w:pPr>
        <w:ind w:right="20"/>
        <w:spacing w:after="0" w:line="254" w:lineRule="auto"/>
        <w:rPr>
          <w:sz w:val="20"/>
          <w:szCs w:val="20"/>
          <w:color w:val="auto"/>
        </w:rPr>
      </w:pPr>
      <w:r>
        <w:rPr>
          <w:rFonts w:ascii="Arial" w:cs="Arial" w:eastAsia="Arial" w:hAnsi="Arial"/>
          <w:sz w:val="18"/>
          <w:szCs w:val="18"/>
          <w:color w:val="auto"/>
        </w:rPr>
        <w:t>35 days following the end of each quarter referred to above, some of the CCUs were converted so that the total percentage of CCUs issued in connection with the formation transactions that were converted to OP units was equal to the percentage determined by dividing the net operating income for such period in excess of $5,100 by $4,600. The 55,957 CCUs remaining unconverted through the calculation made in respect of the 12-month period ending December 31, 2008 were cancelled as of February 4, 2009.</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adopted FAS 160 effective January 1, 2009. FAS 160 requires a company to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is required to be adopted prospectively with the exception of the presentation and disclosure requirements, which are applied retrospectively for all periods presented.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has evaluated the terms of the common OP units, and as a result of the adoption of FAS 160, the Company reclassified the noncontrolling interest in the Operating Partnership to stockholders’ equity in the accompanying condensed consolidated balance sheets. In periods subsequent to the adoption of FAS 160,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NONCONTROLLING INTERESTS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ten consolidated self-storage properties as of March 31, 2009. Five of these consolidated properties were under development, and five were in the lease-up stage during the three months ended March 31, 2009. The ownership interests of the third party owners range from 5% to 50%. As required by FAS 160, other noncontrolling interests are included in the stockholders’ equity section of the Company’s consolidated balance sheet. The income or losses attributable to these third party owners based on their ownership percentages are reflected in net income allocated to the Operating Partnership and other noncontrolling interests in the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STOCKHOLDERS’ EQUITY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charter provides that it can issue up to 300,000,000 shares of common stock, $0.01 par value per share, 4,100,000 CCSs, $.01 par value per share, and 50,000,000 shares of preferred stock, $0.01 par value per share. As of March 31, 2009, 86,104,311 shares of common stock were issued and outstanding and no shares of preferred stock or CCSs were issued and outstanding.</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stockholders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Unlike the Company’s shares of common stock, CCSs did not carry any voting rights. Upon the achievement of certain performance thresholds relating to 14 properties, a portion of the CCSs were automatically converted into shares of the Company’s common stock. Each CCS was convertible on a one-for-one basis into shares of common stock, subject to customary anti-dilution adjustments. Beginning with the quarter ended March 31, 2006, and ending with the quarter ended December 31, 2008, the Company calculated the net operating income from the 14 wholly-owned properties over the 12-month period ending in such quarter. Within 35 days following the end of each quarter referred to above, some of the CCSs were converted so that the total percentage of CCSs issued in connection with the formation transactions that had been converted to common stock was equal to the percentage determined by dividing the net operating income for such period in excess of $5,100 by $4,600. The 1,087,790 CCSs remaining unconverted through the calculation made in respect of the 12-month period ending December 31, 2008 were cancelled as of February 4, 2009 and restored to the status of authorized but unissued shares of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plans under which shares were available for grant at March 31, 2009:</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2004 Long-Term Incentive Compensation Plan as amended and restated, effective March 25, 2008,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2004 Non-Employee Directors’ Share Plan (together, the “Plans”).</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Option grants are issued with an exercise price equal to the closing price of stock on the date of grant. Unless otherwise determined by the Compensation, Nominating and Governance Committee at the time of grant, options shall vest ratably over a four-year period beginning on the date of grant. Each option will be exercisable once it has vested. Options are exercisable at such times and subject to such terms as determined by the Compensation, Nominating and Governance Committee, but under no circumstances will be exercised if such exercise would cause a violation of the ownership limit in the Company’s charter. Options expire 10 years from the date of grant.</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w:t>
      </w:r>
    </w:p>
    <w:p>
      <w:pPr>
        <w:sectPr>
          <w:pgSz w:w="11900" w:h="16975" w:orient="portrait"/>
          <w:cols w:equalWidth="0" w:num="1">
            <w:col w:w="11400"/>
          </w:cols>
          <w:pgMar w:left="240" w:top="341" w:right="259" w:bottom="0" w:gutter="0" w:footer="0" w:header="0"/>
        </w:sectPr>
      </w:pPr>
    </w:p>
    <w:bookmarkStart w:id="17" w:name="page18"/>
    <w:bookmarkEnd w:id="17"/>
    <w:p>
      <w:pPr>
        <w:jc w:val="both"/>
        <w:ind w:right="60"/>
        <w:spacing w:after="0" w:line="264" w:lineRule="auto"/>
        <w:rPr>
          <w:sz w:val="20"/>
          <w:szCs w:val="20"/>
          <w:color w:val="auto"/>
        </w:rPr>
      </w:pPr>
      <w:r>
        <w:rPr>
          <w:rFonts w:ascii="Arial" w:cs="Arial" w:eastAsia="Arial" w:hAnsi="Arial"/>
          <w:sz w:val="18"/>
          <w:szCs w:val="18"/>
          <w:color w:val="auto"/>
        </w:rPr>
        <w:t>sell, transfer, pledge, encumber or assign shares of restricted stock granted under the Plans, however the grantee has the ability to vote the shares and receive nonforfeitable dividends paid on the shares. The forfeiture and transfer restrictions on the shares lapse over a four-year period beginning on the date of grant. As of March 31, 2009, 3,677,890 shares were available for issuance under the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Weighted Average</w:t>
            </w: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Value as of March</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4"/>
                <w:szCs w:val="14"/>
                <w:color w:val="auto"/>
              </w:rPr>
            </w:pPr>
          </w:p>
        </w:tc>
        <w:tc>
          <w:tcPr>
            <w:tcW w:w="14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2,841,923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4"/>
              </w:rPr>
              <w:t>14.76</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723,000</w:t>
            </w:r>
          </w:p>
        </w:tc>
        <w:tc>
          <w:tcPr>
            <w:tcW w:w="140" w:type="dxa"/>
            <w:vAlign w:val="bottom"/>
          </w:tcPr>
          <w:p>
            <w:pPr>
              <w:spacing w:after="0"/>
              <w:rPr>
                <w:sz w:val="18"/>
                <w:szCs w:val="18"/>
                <w:color w:val="auto"/>
              </w:rPr>
            </w:pP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6.22</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(13,125)</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14.92</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March 31, 2009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3,551,798</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4"/>
              </w:rPr>
              <w:t>13.02</w:t>
            </w:r>
          </w:p>
        </w:tc>
        <w:tc>
          <w:tcPr>
            <w:tcW w:w="2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7.22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gridSpan w:val="2"/>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3,150,801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ind w:left="1000"/>
              <w:spacing w:after="0" w:line="196" w:lineRule="exact"/>
              <w:rPr>
                <w:sz w:val="20"/>
                <w:szCs w:val="20"/>
                <w:color w:val="auto"/>
              </w:rPr>
            </w:pPr>
            <w:r>
              <w:rPr>
                <w:rFonts w:ascii="Arial" w:cs="Arial" w:eastAsia="Arial" w:hAnsi="Arial"/>
                <w:sz w:val="18"/>
                <w:szCs w:val="18"/>
                <w:color w:val="auto"/>
                <w:w w:val="84"/>
              </w:rPr>
              <w:t>13.49</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6.93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ind w:left="12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Ending Exercisable</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2,004,930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14.11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5.98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first quarter of 2009 and the exercise price, multiplied by the number of in-the-money options) that would have been received by the option holders had all option holders exercised their options on March 31, 2009. The amount of aggregate intrinsic value will change based on the fair market value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w:t>
      </w:r>
    </w:p>
    <w:p>
      <w:pPr>
        <w:ind w:right="240"/>
        <w:spacing w:after="0" w:line="261" w:lineRule="auto"/>
        <w:rPr>
          <w:sz w:val="20"/>
          <w:szCs w:val="20"/>
          <w:color w:val="auto"/>
        </w:rPr>
      </w:pPr>
      <w:r>
        <w:rPr>
          <w:rFonts w:ascii="Arial" w:cs="Arial" w:eastAsia="Arial" w:hAnsi="Arial"/>
          <w:sz w:val="18"/>
          <w:szCs w:val="18"/>
          <w:color w:val="auto"/>
        </w:rPr>
        <w:t>19.43% of unvested options outstanding as of March 31, 2009, is adjusted annually based on the extent to which actual forfeitures differ, or are expected to differ, from the previous estimates.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recorded compensation expense relating to outstanding options of $260 and $262 for the three months ended March 31, 2009 and 2008, respectively. The Company received cash from the exercise of options of $0 and $666 for the three months ended March 31, 2009 and 2008, respectively. At March 31, 2009, there was $1,141 of total unrecognized compensation expense related to non-vested stock options under the Company’s 2004 Long-Term Incentive Compensation Plan. That cost is expected to be recognized over a weighted-average period of 2.83 years. The valuation model applied in this calculation utilizes subjective assumptions that could potentially change over time, including the expected forfeiture rate. Therefore, the amount of unrecognized compensation expense at March 31, 2009, noted above does not necessarily represent the expense that will ultimately be realized by the Company in the Statement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granted 315,037 and 171,800 shares of common stock to certain employees, without monetary consideration under the Plans during the three months ended March 31, 2009 and 2008, respectively. The Company recorded compensation expense related to outstanding shares of common stock granted to employees of $639 and $538 during the three months ended March 31, 2009 and 2008, respectively.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6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2008</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315,037</w:t>
            </w:r>
          </w:p>
        </w:tc>
        <w:tc>
          <w:tcPr>
            <w:tcW w:w="1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(56,700)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March 31, 2009</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 otherwise, of rights to any brand name under which lodging facility or health care facility is operated). A TRS is subject to corporate federal income tax. The</w:t>
      </w:r>
    </w:p>
    <w:p>
      <w:pPr>
        <w:sectPr>
          <w:pgSz w:w="11900" w:h="16838" w:orient="portrait"/>
          <w:cols w:equalWidth="0" w:num="1">
            <w:col w:w="11420"/>
          </w:cols>
          <w:pgMar w:left="240" w:top="125" w:right="239" w:bottom="0" w:gutter="0" w:footer="0" w:header="0"/>
        </w:sectPr>
      </w:pPr>
    </w:p>
    <w:bookmarkStart w:id="18" w:name="page19"/>
    <w:bookmarkEnd w:id="18"/>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Company accounts for income taxes in accordance with the provisions of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(“FAS 109”). Under FAS 109, deferred tax assets and liabilities are determined based on differences between financial reporting and tax bases of assets and liabilities. There was no material income tax provision for the three months ended March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months ended March 31, 2009 is comprised of the following components: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8"/>
              </w:rPr>
              <w:t>March 31, 2009</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0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Federal</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State</w:t>
            </w:r>
          </w:p>
        </w:tc>
        <w:tc>
          <w:tcPr>
            <w:tcW w:w="3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719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Deferred benefit</w:t>
            </w:r>
          </w:p>
        </w:tc>
        <w:tc>
          <w:tcPr>
            <w:tcW w:w="1000" w:type="dxa"/>
            <w:vAlign w:val="bottom"/>
          </w:tcPr>
          <w:p>
            <w:pPr>
              <w:spacing w:after="0"/>
              <w:rPr>
                <w:sz w:val="18"/>
                <w:szCs w:val="1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(128)</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r>
      <w:tr>
        <w:trPr>
          <w:trHeight w:val="21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00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591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year ended December 31, 2008 is comprised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2008</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Federal</w:t>
            </w:r>
          </w:p>
        </w:tc>
        <w:tc>
          <w:tcPr>
            <w:tcW w:w="100" w:type="dxa"/>
            <w:vAlign w:val="bottom"/>
          </w:tcPr>
          <w:p>
            <w:pPr>
              <w:spacing w:after="0"/>
              <w:rPr>
                <w:sz w:val="12"/>
                <w:szCs w:val="12"/>
                <w:color w:val="auto"/>
              </w:rPr>
            </w:pPr>
          </w:p>
        </w:tc>
        <w:tc>
          <w:tcPr>
            <w:tcW w:w="150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State</w:t>
            </w: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benefit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874"/>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major sources of temporary differences stated at their deferred tax effect at March 31, 2009 and December 31, 2008 are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state income tax net operating losses expire between 2012 and 2027.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is set forth below:</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2009</w:t>
            </w:r>
          </w:p>
        </w:tc>
        <w:tc>
          <w:tcPr>
            <w:tcW w:w="16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486,161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2,303,736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revenues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9,845</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59,409</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57,024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69,254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65,707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12,994</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34,985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31,871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47,979</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43,727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w w:val="95"/>
              </w:rPr>
              <w:t>Income (loss) before interest, equity in earnings of real estate ventures, gain on repurchase of exchangeable</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notes and loss on sale of investments available for sale</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(3,149)</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(3,173)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Rental operations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24,424</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25,153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(16,636)</w:t>
            </w: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 receivable from Preferred Operating Partnership unit holder</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notes payable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22,483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18,650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4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12,118</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(19,612)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(17,521)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2"/>
          </w:tcPr>
          <w:p>
            <w:pPr>
              <w:jc w:val="right"/>
              <w:ind w:right="239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Company has guaranteed two construction loans for unconsolidated partnerships that own development properties in Baltimore, Maryland and Chicago, Illinois. These properties are owned by joint ventures in which the Company has 10% equity interests. These guarantees were entered into in November 2004 and July 2005, respectively. At March 31, 2009, the total amount of guaranteed mortgage debt relating to these joint ventures was $12,815. These mortgage loans mature December 12, 2009 and July 28, 2009, respectively. If the joint ventures default on the loans, the Company may be forced to repay the loans.</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Repossessing and/or selling the self-storage facilities and land that collateralize the loans could provide funds sufficient to reimburse the Company. The estimated fair market value of the encumbered assets at March 31, 2009 was $17,426. The Company recorded no liability in relation to these guarantees as of March 31, 2009, as the fair values of the guarantees were not material. To date, the joint ventures have not defaulted on their mortgage debt. The Company believes the risk of having to perform on the guarantees is remote.</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March 31, 2009, the Company was not involved in any material litigation nor, to its knowledge, was any material litigation threatened against it, or its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April 1, 2009, the Company’s President, Spencer F. Kirk succeeded Kenneth M. Woolley as Chairman and Chief Executive Officer. Mr. Woolley will remain on the board of directors.</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April 6, 2009, the Company announced modifications to its 2009 dividend distributions. The Company does not expect to distribute a dividend in the second or third quarter of 2009. The Company expects to pay an estimated fourth quarter dividend of between $0.24 and $0.30 per share using a combination of approximately 10% cash and 90% common stock, as allowed by the Internal Revenue Service Revenue Procedure 2009-15, to fully distribute its 2009 net taxable income. The fourth quarter dividend, when combined with the first quarter 2009 cash dividend of $0.25 per share, previously paid on March 31, 2009, is expected to satisfy the real estate investment trust distribution requirements and generally allow the Company to avoid the payment of corporate income tax for such year. The Company reserves the right to change the percentage of cash payable in the fourth quarter dividend, including paying such dividend entirely in cash if determined to be in the best interest of stockholders.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right="25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contained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 Form 10-K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2008.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are in thousands (except property and share data and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Certain amounts in the unaudited condensed consolidated financial statements have been restated to reflect the retroactive application of new accounting standards. Our notes to the unaudited condensed consolidated financial statements contained elsewhere in this report and the audited financial statements contained in our</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Form 10-K for the year ended December 31, 2008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companies to own, operate, manage, acquire, develop and redevelop professionally managed self-storage properties. We derive substantially all of our revenues from rents received from tenants under existing leases at each of our self-storage properties, from management fees on the properties we manage for joint-venture partners, franchisees and unaffiliated third parties and from our tenant reinsurance program. Our management fee is equal to approximately 6% of cash collected by the managed properties.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20" w:hanging="428"/>
        <w:spacing w:after="0" w:line="25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plan to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will seek to maximize 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8" w:lineRule="exact"/>
        <w:rPr>
          <w:rFonts w:ascii="Arial" w:cs="Arial" w:eastAsia="Arial" w:hAnsi="Arial"/>
          <w:sz w:val="18"/>
          <w:szCs w:val="18"/>
          <w:color w:val="auto"/>
        </w:rPr>
      </w:pPr>
    </w:p>
    <w:p>
      <w:pPr>
        <w:ind w:left="760" w:right="40" w:hanging="428"/>
        <w:spacing w:after="0" w:line="30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expect to pursue strategic relationships with owners that should strengthen our acquisition pipeline through agreements which give us first right of refusal to purchase the managed property in the event of a potential sale.</w:t>
      </w:r>
    </w:p>
    <w:p>
      <w:pPr>
        <w:spacing w:after="0" w:line="154" w:lineRule="exact"/>
        <w:rPr>
          <w:rFonts w:ascii="Arial" w:cs="Arial" w:eastAsia="Arial" w:hAnsi="Arial"/>
          <w:sz w:val="16"/>
          <w:szCs w:val="16"/>
          <w:color w:val="auto"/>
        </w:rPr>
      </w:pPr>
    </w:p>
    <w:p>
      <w:pPr>
        <w:ind w:left="760" w:right="120" w:hanging="428"/>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will continue to selectively pursue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single properties and multi-property portfolios that we believe can provide stockholder value. We have sought to establish a reputation as a reliable, ethical buyer, which we believe enhances our ability to negotiate and close acquisitions. In addition, we believe our status as an UPREIT enables flexibility when structuring deals.</w:t>
      </w:r>
    </w:p>
    <w:p>
      <w:pPr>
        <w:spacing w:after="0" w:line="186" w:lineRule="exact"/>
        <w:rPr>
          <w:rFonts w:ascii="Arial" w:cs="Arial" w:eastAsia="Arial" w:hAnsi="Arial"/>
          <w:sz w:val="18"/>
          <w:szCs w:val="18"/>
          <w:color w:val="auto"/>
        </w:rPr>
      </w:pPr>
    </w:p>
    <w:p>
      <w:pPr>
        <w:ind w:left="760" w:right="160" w:hanging="428"/>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Develop new self-storage properties</w:t>
      </w:r>
      <w:r>
        <w:rPr>
          <w:rFonts w:ascii="Arial" w:cs="Arial" w:eastAsia="Arial" w:hAnsi="Arial"/>
          <w:sz w:val="17"/>
          <w:szCs w:val="17"/>
          <w:color w:val="auto"/>
        </w:rPr>
        <w:t>. We currently have joint venture and wholly-owned development properties and may continue to selectively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new self-storage properties in our core markets. Our development pipeline through 2010 includes 25 projects.</w:t>
      </w:r>
    </w:p>
    <w:p>
      <w:pPr>
        <w:sectPr>
          <w:pgSz w:w="11900" w:h="16838" w:orient="portrait"/>
          <w:cols w:equalWidth="0" w:num="1">
            <w:col w:w="11360"/>
          </w:cols>
          <w:pgMar w:left="240" w:top="337" w:right="299" w:bottom="0" w:gutter="0" w:footer="0" w:header="0"/>
        </w:sectPr>
      </w:pPr>
    </w:p>
    <w:bookmarkStart w:id="21" w:name="page22"/>
    <w:bookmarkEnd w:id="21"/>
    <w:p>
      <w:pPr>
        <w:spacing w:after="0" w:line="5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Recent U.S. and international market and economic conditions have been unprecedented and challenging, with tighter credit conditions and slower growth through the second half of 2008 and the first quarter of 2009. For the three months ended March 31, 2009, continued concerns about the systemic impact of inflation,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2009, we owned or had ownership interests in 628 operating self-storage properties. Of these properties, 280 are wholly-owned and 348 are held in joint ventures. In addition, we managed an additional 70 properties for franchisees or third parties bringing the total number of operating properties which we own and/or manage to 698. These properties are located in 33 states and Washington, D.C. As of March 31, 2009, we owned and/or managed approximately 51 million square feet of space with more than 300,000 customers.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March 31, 2009, the median length of stay was approximately eleven months.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March 31, 2009 and 2008. The information as of March 31, 2008 is on a pro forma basis as though all the properties owned and/or managed at March 31, 2009 were under our control as of March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Pro forma</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7"/>
              </w:rPr>
              <w:t>Company</w:t>
            </w: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13"/>
                <w:szCs w:val="13"/>
                <w:color w:val="auto"/>
              </w:rPr>
            </w:pPr>
          </w:p>
        </w:tc>
      </w:tr>
      <w:tr>
        <w:trPr>
          <w:trHeight w:val="110"/>
        </w:trPr>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 as</w:t>
            </w:r>
          </w:p>
        </w:tc>
        <w:tc>
          <w:tcPr>
            <w:tcW w:w="18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of March 31,</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as of March 31,</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24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Occupancy %</w:t>
            </w:r>
          </w:p>
        </w:tc>
        <w:tc>
          <w:tcPr>
            <w:tcW w:w="122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Occupancy %</w:t>
            </w:r>
          </w:p>
        </w:tc>
        <w:tc>
          <w:tcPr>
            <w:tcW w:w="40" w:type="dxa"/>
            <w:vAlign w:val="bottom"/>
          </w:tcPr>
          <w:p>
            <w:pPr>
              <w:spacing w:after="0"/>
              <w:rPr>
                <w:sz w:val="11"/>
                <w:szCs w:val="11"/>
                <w:color w:val="auto"/>
              </w:rPr>
            </w:pPr>
          </w:p>
        </w:tc>
      </w:tr>
      <w:tr>
        <w:trPr>
          <w:trHeight w:val="153"/>
        </w:trPr>
        <w:tc>
          <w:tcPr>
            <w:tcW w:w="230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840" w:type="dxa"/>
            <w:vAlign w:val="bottom"/>
          </w:tcPr>
          <w:p>
            <w:pPr>
              <w:ind w:left="240"/>
              <w:spacing w:after="0"/>
              <w:rPr>
                <w:sz w:val="20"/>
                <w:szCs w:val="20"/>
                <w:color w:val="auto"/>
              </w:rPr>
            </w:pPr>
            <w:r>
              <w:rPr>
                <w:rFonts w:ascii="Arial" w:cs="Arial" w:eastAsia="Arial" w:hAnsi="Arial"/>
                <w:sz w:val="13"/>
                <w:szCs w:val="13"/>
                <w:b w:val="1"/>
                <w:bCs w:val="1"/>
                <w:color w:val="auto"/>
                <w:w w:val="90"/>
              </w:rPr>
              <w:t>Properties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2009(1)</w:t>
            </w: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2009(2)</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March 31, 2008</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0"/>
              </w:rPr>
              <w:t>March 31, 2009</w:t>
            </w: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0"/>
              </w:rPr>
              <w:t>March 31, 2008</w:t>
            </w:r>
          </w:p>
        </w:tc>
        <w:tc>
          <w:tcPr>
            <w:tcW w:w="40" w:type="dxa"/>
            <w:vAlign w:val="bottom"/>
          </w:tcPr>
          <w:p>
            <w:pPr>
              <w:spacing w:after="0"/>
              <w:rPr>
                <w:sz w:val="13"/>
                <w:szCs w:val="13"/>
                <w:color w:val="auto"/>
              </w:rPr>
            </w:pPr>
          </w:p>
        </w:tc>
      </w:tr>
      <w:tr>
        <w:trPr>
          <w:trHeight w:val="129"/>
        </w:trPr>
        <w:tc>
          <w:tcPr>
            <w:tcW w:w="2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Alabama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585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585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76,740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76,125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82.9%</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79.6%</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2,843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2,850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347,138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347,268</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80.9%</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87.7%</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California</w:t>
            </w:r>
          </w:p>
        </w:tc>
        <w:tc>
          <w:tcPr>
            <w:tcW w:w="8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36,883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37,643</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3,625,493</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3,654,319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80.8%</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83.2%</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3,804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3,802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476,409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475,884</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81.0%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86.1%</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Connecticut</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2,028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2,036</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178,115</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178,105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77.4%</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76.0%</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20,551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20,642</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2,185,979</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2,186,151</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79.3%</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81.5%</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Georgia</w:t>
            </w:r>
          </w:p>
        </w:tc>
        <w:tc>
          <w:tcPr>
            <w:tcW w:w="8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6,433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6,446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837,192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835,486</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81.0%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84.9%</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Hawaii</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2,862</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2,873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151,445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150,036</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73.7%</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80.5%</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Illinois</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3,268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342,092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339,389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77.1%</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80.3%</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3,518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3,524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413,896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415,107</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83.3%</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89.5%</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Kansas</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49,990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49,940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85.6%</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1,592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194,101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194,470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83.9%</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87.8%</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Louisiana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1,407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1,409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148,975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148,155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86.2%</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86.5%</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7,950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7,930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847,179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843,399</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80.8%</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83.1%</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Massachusetts</w:t>
            </w:r>
          </w:p>
        </w:tc>
        <w:tc>
          <w:tcPr>
            <w:tcW w:w="8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15,272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15,289</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1,573,560</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1,573,186</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80.2%</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82.2%</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Michigan</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1,031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1,034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134,866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133,346</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84.9%</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88.0%</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Missouri</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3,156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3,156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374,532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375,557</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79.1%</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85.7%</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1,242</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1,257</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132,115</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132,365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85.8%</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86.6%</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New Hampshire</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125,691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125,909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84.9%</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18,860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18,865</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1,838,356</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1,834,418</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82.4%</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84.2%</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New Mexico</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535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69,155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68,090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78.8%</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77.3%</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8,707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8,698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613,941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609,832</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78.2%</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80.7%</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Ohio</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2,026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2,025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273,482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273,392</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86.2%</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82.3%</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Oregon</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767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103,690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103,450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84.9%</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92.3%</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Pennsylvania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6,585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6,570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688,600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682,880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81.8%</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730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75,521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75,361</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85.4%</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88.1%</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South Carolina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1,553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1,554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178,749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178,719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82.7%</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91.4%</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3,488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3,511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473,997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476,212</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81.2%</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85.8%</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Texas</w:t>
            </w:r>
          </w:p>
        </w:tc>
        <w:tc>
          <w:tcPr>
            <w:tcW w:w="8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12,429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12,463</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1,402,770</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1,402,835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83.8%</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87.0%</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1,540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1,534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210,876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210,640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84.1%</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92.7%</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Virginia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3,581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3,578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346,907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347,509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83.1%</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2,553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2,538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308,015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305,815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86.4%</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85.4%</w:t>
            </w:r>
          </w:p>
        </w:tc>
        <w:tc>
          <w:tcPr>
            <w:tcW w:w="40" w:type="dxa"/>
            <w:vAlign w:val="bottom"/>
          </w:tcPr>
          <w:p>
            <w:pPr>
              <w:spacing w:after="0"/>
              <w:rPr>
                <w:sz w:val="11"/>
                <w:szCs w:val="11"/>
                <w:color w:val="auto"/>
              </w:rPr>
            </w:pPr>
          </w:p>
        </w:tc>
      </w:tr>
      <w:tr>
        <w:trPr>
          <w:trHeight w:val="129"/>
        </w:trPr>
        <w:tc>
          <w:tcPr>
            <w:tcW w:w="2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Total Wholly-Owned Stabilized</w:t>
            </w:r>
          </w:p>
        </w:tc>
        <w:tc>
          <w:tcPr>
            <w:tcW w:w="8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263</w:t>
            </w:r>
          </w:p>
        </w:tc>
        <w:tc>
          <w:tcPr>
            <w:tcW w:w="18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179,344</w:t>
            </w:r>
          </w:p>
        </w:tc>
        <w:tc>
          <w:tcPr>
            <w:tcW w:w="18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180,208</w:t>
            </w:r>
          </w:p>
        </w:tc>
        <w:tc>
          <w:tcPr>
            <w:tcW w:w="16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18,799,567</w:t>
            </w:r>
          </w:p>
        </w:tc>
        <w:tc>
          <w:tcPr>
            <w:tcW w:w="1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18,803,350</w:t>
            </w:r>
          </w:p>
        </w:tc>
        <w:tc>
          <w:tcPr>
            <w:tcW w:w="160" w:type="dxa"/>
            <w:vAlign w:val="bottom"/>
          </w:tcPr>
          <w:p>
            <w:pPr>
              <w:spacing w:after="0"/>
              <w:rPr>
                <w:sz w:val="11"/>
                <w:szCs w:val="11"/>
                <w:color w:val="auto"/>
              </w:rPr>
            </w:pPr>
          </w:p>
        </w:tc>
        <w:tc>
          <w:tcPr>
            <w:tcW w:w="1080" w:type="dxa"/>
            <w:vAlign w:val="bottom"/>
            <w:tcBorders>
              <w:top w:val="single" w:sz="8" w:color="auto"/>
              <w:bottom w:val="single" w:sz="8" w:color="auto"/>
            </w:tcBorders>
          </w:tcPr>
          <w:p>
            <w:pPr>
              <w:ind w:left="860"/>
              <w:spacing w:after="0" w:line="129" w:lineRule="exact"/>
              <w:rPr>
                <w:sz w:val="20"/>
                <w:szCs w:val="20"/>
                <w:color w:val="auto"/>
              </w:rPr>
            </w:pPr>
            <w:r>
              <w:rPr>
                <w:rFonts w:ascii="Arial" w:cs="Arial" w:eastAsia="Arial" w:hAnsi="Arial"/>
                <w:sz w:val="13"/>
                <w:szCs w:val="13"/>
                <w:b w:val="1"/>
                <w:bCs w:val="1"/>
                <w:color w:val="auto"/>
                <w:w w:val="78"/>
              </w:rPr>
              <w:t>81.3</w:t>
            </w:r>
          </w:p>
        </w:tc>
        <w:tc>
          <w:tcPr>
            <w:tcW w:w="1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080" w:type="dxa"/>
            <w:vAlign w:val="bottom"/>
            <w:tcBorders>
              <w:top w:val="single" w:sz="8" w:color="auto"/>
              <w:bottom w:val="single" w:sz="8" w:color="auto"/>
            </w:tcBorders>
          </w:tcPr>
          <w:p>
            <w:pPr>
              <w:ind w:left="860"/>
              <w:spacing w:after="0" w:line="129" w:lineRule="exact"/>
              <w:rPr>
                <w:sz w:val="20"/>
                <w:szCs w:val="20"/>
                <w:color w:val="auto"/>
              </w:rPr>
            </w:pPr>
            <w:r>
              <w:rPr>
                <w:rFonts w:ascii="Arial" w:cs="Arial" w:eastAsia="Arial" w:hAnsi="Arial"/>
                <w:sz w:val="13"/>
                <w:szCs w:val="13"/>
                <w:b w:val="1"/>
                <w:bCs w:val="1"/>
                <w:color w:val="auto"/>
                <w:w w:val="78"/>
              </w:rPr>
              <w:t>83.9</w:t>
            </w: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r>
      <w:tr>
        <w:trPr>
          <w:trHeight w:val="426"/>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gridSpan w:val="2"/>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3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Pro forma</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7"/>
              </w:rPr>
              <w:t>Company</w:t>
            </w: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24"/>
                <w:szCs w:val="24"/>
                <w:color w:val="auto"/>
              </w:rPr>
            </w:pPr>
          </w:p>
        </w:tc>
      </w:tr>
      <w:tr>
        <w:trPr>
          <w:trHeight w:val="110"/>
        </w:trPr>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 as</w:t>
            </w:r>
          </w:p>
        </w:tc>
        <w:tc>
          <w:tcPr>
            <w:tcW w:w="18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of March 31,</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as of March 31,</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24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Occupancy %</w:t>
            </w:r>
          </w:p>
        </w:tc>
        <w:tc>
          <w:tcPr>
            <w:tcW w:w="122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Occupancy %</w:t>
            </w:r>
          </w:p>
        </w:tc>
        <w:tc>
          <w:tcPr>
            <w:tcW w:w="40" w:type="dxa"/>
            <w:vAlign w:val="bottom"/>
          </w:tcPr>
          <w:p>
            <w:pPr>
              <w:spacing w:after="0"/>
              <w:rPr>
                <w:sz w:val="11"/>
                <w:szCs w:val="11"/>
                <w:color w:val="auto"/>
              </w:rPr>
            </w:pPr>
          </w:p>
        </w:tc>
      </w:tr>
      <w:tr>
        <w:trPr>
          <w:trHeight w:val="153"/>
        </w:trPr>
        <w:tc>
          <w:tcPr>
            <w:tcW w:w="230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840" w:type="dxa"/>
            <w:vAlign w:val="bottom"/>
          </w:tcPr>
          <w:p>
            <w:pPr>
              <w:ind w:left="240"/>
              <w:spacing w:after="0"/>
              <w:rPr>
                <w:sz w:val="20"/>
                <w:szCs w:val="20"/>
                <w:color w:val="auto"/>
              </w:rPr>
            </w:pPr>
            <w:r>
              <w:rPr>
                <w:rFonts w:ascii="Arial" w:cs="Arial" w:eastAsia="Arial" w:hAnsi="Arial"/>
                <w:sz w:val="13"/>
                <w:szCs w:val="13"/>
                <w:b w:val="1"/>
                <w:bCs w:val="1"/>
                <w:color w:val="auto"/>
                <w:w w:val="90"/>
              </w:rPr>
              <w:t>Properties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2009(1)</w:t>
            </w: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2009(2)</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March 31, 2008</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0"/>
              </w:rPr>
              <w:t>March 31, 2009</w:t>
            </w: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0"/>
              </w:rPr>
              <w:t>March 31, 2008</w:t>
            </w:r>
          </w:p>
        </w:tc>
        <w:tc>
          <w:tcPr>
            <w:tcW w:w="40" w:type="dxa"/>
            <w:vAlign w:val="bottom"/>
          </w:tcPr>
          <w:p>
            <w:pPr>
              <w:spacing w:after="0"/>
              <w:rPr>
                <w:sz w:val="13"/>
                <w:szCs w:val="13"/>
                <w:color w:val="auto"/>
              </w:rPr>
            </w:pPr>
          </w:p>
        </w:tc>
      </w:tr>
      <w:tr>
        <w:trPr>
          <w:trHeight w:val="129"/>
        </w:trPr>
        <w:tc>
          <w:tcPr>
            <w:tcW w:w="2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Joint-venture properties</w:t>
            </w: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Alabama</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1,708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205,958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205,613</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86.9%</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6,851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6,902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751,664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751,486</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82.2%</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85.5%</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California</w:t>
            </w:r>
          </w:p>
        </w:tc>
        <w:tc>
          <w:tcPr>
            <w:tcW w:w="8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78</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56,001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56,063</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5,712,646</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5,719,360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87.2%</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1,334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1,332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158,433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158,213</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82.4%</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81.8%</w:t>
            </w:r>
          </w:p>
        </w:tc>
        <w:tc>
          <w:tcPr>
            <w:tcW w:w="40" w:type="dxa"/>
            <w:vAlign w:val="bottom"/>
          </w:tcPr>
          <w:p>
            <w:pPr>
              <w:spacing w:after="0"/>
              <w:rPr>
                <w:sz w:val="11"/>
                <w:szCs w:val="11"/>
                <w:color w:val="auto"/>
              </w:rPr>
            </w:pPr>
          </w:p>
        </w:tc>
      </w:tr>
      <w:tr>
        <w:trPr>
          <w:trHeight w:val="135"/>
        </w:trPr>
        <w:tc>
          <w:tcPr>
            <w:tcW w:w="2300" w:type="dxa"/>
            <w:vAlign w:val="bottom"/>
            <w:gridSpan w:val="3"/>
          </w:tcPr>
          <w:p>
            <w:pPr>
              <w:spacing w:after="0" w:line="135" w:lineRule="exact"/>
              <w:rPr>
                <w:sz w:val="20"/>
                <w:szCs w:val="20"/>
                <w:color w:val="auto"/>
              </w:rPr>
            </w:pPr>
            <w:r>
              <w:rPr>
                <w:rFonts w:ascii="Arial" w:cs="Arial" w:eastAsia="Arial" w:hAnsi="Arial"/>
                <w:sz w:val="13"/>
                <w:szCs w:val="13"/>
                <w:color w:val="auto"/>
              </w:rPr>
              <w:t>Connecticut</w:t>
            </w:r>
          </w:p>
        </w:tc>
        <w:tc>
          <w:tcPr>
            <w:tcW w:w="84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5,990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5,985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692,150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691,342</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77.0%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76.3%</w:t>
            </w:r>
          </w:p>
        </w:tc>
        <w:tc>
          <w:tcPr>
            <w:tcW w:w="40" w:type="dxa"/>
            <w:vAlign w:val="bottom"/>
          </w:tcPr>
          <w:p>
            <w:pPr>
              <w:spacing w:after="0"/>
              <w:rPr>
                <w:sz w:val="11"/>
                <w:szCs w:val="11"/>
                <w:color w:val="auto"/>
              </w:rPr>
            </w:pPr>
          </w:p>
        </w:tc>
      </w:tr>
      <w:tr>
        <w:trPr>
          <w:trHeight w:val="135"/>
        </w:trPr>
        <w:tc>
          <w:tcPr>
            <w:tcW w:w="23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Delaware</w:t>
            </w:r>
          </w:p>
        </w:tc>
        <w:tc>
          <w:tcPr>
            <w:tcW w:w="8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589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71,655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71,655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87.4%</w:t>
            </w: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300" w:type="dxa"/>
            <w:vAlign w:val="bottom"/>
            <w:gridSpan w:val="2"/>
          </w:tcPr>
          <w:p>
            <w:pPr>
              <w:spacing w:after="0"/>
              <w:rPr>
                <w:sz w:val="20"/>
                <w:szCs w:val="20"/>
                <w:color w:val="auto"/>
              </w:rPr>
            </w:pPr>
            <w:r>
              <w:rPr>
                <w:rFonts w:ascii="Arial" w:cs="Arial" w:eastAsia="Arial" w:hAnsi="Arial"/>
                <w:sz w:val="13"/>
                <w:szCs w:val="13"/>
                <w:color w:val="auto"/>
              </w:rPr>
              <w:t>Florida</w:t>
            </w:r>
          </w:p>
        </w:tc>
        <w:tc>
          <w:tcPr>
            <w:tcW w:w="1040" w:type="dxa"/>
            <w:vAlign w:val="bottom"/>
          </w:tcPr>
          <w:p>
            <w:pPr>
              <w:jc w:val="right"/>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19,231</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19,246</w:t>
            </w:r>
          </w:p>
        </w:tc>
        <w:tc>
          <w:tcPr>
            <w:tcW w:w="1240" w:type="dxa"/>
            <w:vAlign w:val="bottom"/>
          </w:tcPr>
          <w:p>
            <w:pPr>
              <w:jc w:val="right"/>
              <w:spacing w:after="0"/>
              <w:rPr>
                <w:sz w:val="20"/>
                <w:szCs w:val="20"/>
                <w:color w:val="auto"/>
              </w:rPr>
            </w:pPr>
            <w:r>
              <w:rPr>
                <w:rFonts w:ascii="Arial" w:cs="Arial" w:eastAsia="Arial" w:hAnsi="Arial"/>
                <w:sz w:val="13"/>
                <w:szCs w:val="13"/>
                <w:color w:val="auto"/>
              </w:rPr>
              <w:t>1,938,827</w:t>
            </w:r>
          </w:p>
        </w:tc>
        <w:tc>
          <w:tcPr>
            <w:tcW w:w="1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1,940,323</w:t>
            </w:r>
          </w:p>
        </w:tc>
        <w:tc>
          <w:tcPr>
            <w:tcW w:w="1240" w:type="dxa"/>
            <w:vAlign w:val="bottom"/>
            <w:gridSpan w:val="2"/>
          </w:tcPr>
          <w:p>
            <w:pPr>
              <w:ind w:left="860"/>
              <w:spacing w:after="0"/>
              <w:rPr>
                <w:sz w:val="20"/>
                <w:szCs w:val="20"/>
                <w:color w:val="auto"/>
              </w:rPr>
            </w:pPr>
            <w:r>
              <w:rPr>
                <w:rFonts w:ascii="Arial" w:cs="Arial" w:eastAsia="Arial" w:hAnsi="Arial"/>
                <w:sz w:val="13"/>
                <w:szCs w:val="13"/>
                <w:color w:val="auto"/>
                <w:w w:val="97"/>
              </w:rPr>
              <w:t>79.2%</w:t>
            </w:r>
          </w:p>
        </w:tc>
        <w:tc>
          <w:tcPr>
            <w:tcW w:w="1220" w:type="dxa"/>
            <w:vAlign w:val="bottom"/>
            <w:gridSpan w:val="3"/>
          </w:tcPr>
          <w:p>
            <w:pPr>
              <w:ind w:left="860"/>
              <w:spacing w:after="0"/>
              <w:rPr>
                <w:sz w:val="20"/>
                <w:szCs w:val="20"/>
                <w:color w:val="auto"/>
              </w:rPr>
            </w:pPr>
            <w:r>
              <w:rPr>
                <w:rFonts w:ascii="Arial" w:cs="Arial" w:eastAsia="Arial" w:hAnsi="Arial"/>
                <w:sz w:val="13"/>
                <w:szCs w:val="13"/>
                <w:color w:val="auto"/>
                <w:w w:val="92"/>
              </w:rPr>
              <w:t>82.6%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245,270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246,926</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79.5%</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Illinois</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4,678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503,666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504,661</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81.1%</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3,154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3,153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405,109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406,503</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77.9%</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Kansas</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1,214</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1,216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160,920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163,105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78.3%</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2,284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268,334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268,553</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82.3%</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Maryland</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10,212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10,218</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1,013,638</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1,013,143</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82.4%</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9,253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9,258</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1,046,895</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1,047,155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78.6%</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Michigan</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5,939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5,952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785,503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784,013</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82.2%</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Missouri</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956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952</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117,695</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118,195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80.2%</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Nevada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4,617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4,642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619,433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620,649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81.7%</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Hampshire</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1,315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1,321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137,434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137,554</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82.1%</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New Jersey</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15,680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15,694</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1,648,095</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1,654,843</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79.6%</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4,688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4,689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538,504</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537,660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79.3%</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New York</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23,708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23,720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1,832,377</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1,834,034</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83.5%</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Ohio</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5,018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5,018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754,187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748,217</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78.1%</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Oregon</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1,292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1,292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136,660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136,980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79.6%</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7,226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7,216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764,500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762,894</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83.4%</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Rhode Island</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73,880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73,880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71.9%</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73.5%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11,773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11,786</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1,548,080</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1,547,978</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81.0%</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Texas</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11,732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11,810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1,549,648</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1,533,782</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80.1%</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78.9%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520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520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59,000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59,500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86.0%</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Virginia</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80" w:type="dxa"/>
            <w:vAlign w:val="bottom"/>
          </w:tcPr>
          <w:p>
            <w:pPr>
              <w:spacing w:after="0"/>
              <w:rPr>
                <w:sz w:val="11"/>
                <w:szCs w:val="11"/>
                <w:color w:val="auto"/>
              </w:rPr>
            </w:pP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11,280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11,284</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1,191,403</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1,191,948</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83.3%</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546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62,730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62,730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86.6%</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Washington, DC</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1,536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1,536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102,003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102,003</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88.7%</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91.0%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Stabilized Joint-Ventures</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338</w:t>
            </w: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232,801</w:t>
            </w: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233,115</w:t>
            </w: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25,096,297</w:t>
            </w: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25,094,898</w:t>
            </w: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b w:val="1"/>
                <w:bCs w:val="1"/>
                <w:color w:val="auto"/>
                <w:w w:val="78"/>
              </w:rPr>
              <w:t>81.3</w:t>
            </w:r>
          </w:p>
        </w:tc>
        <w:tc>
          <w:tcPr>
            <w:tcW w:w="1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080" w:type="dxa"/>
            <w:vAlign w:val="bottom"/>
            <w:tcBorders>
              <w:top w:val="single" w:sz="8" w:color="auto"/>
              <w:bottom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b w:val="1"/>
                <w:bCs w:val="1"/>
                <w:color w:val="auto"/>
                <w:w w:val="78"/>
              </w:rPr>
              <w:t>84.2</w:t>
            </w:r>
          </w:p>
        </w:tc>
        <w:tc>
          <w:tcPr>
            <w:tcW w:w="14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Alabama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825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95,175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95,390</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81.0%</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3,935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3,910</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489,110</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488,785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73.3%</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Colorado</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31,639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31,639</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83.8%</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93.1%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650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51,966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52,096</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82.1%</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Georgia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2,719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2,753</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405,485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415,918</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71.2%</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79.2%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Illinois</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2,325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2,331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262,845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248,780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68.8%</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Maryland</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4,171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4,144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429,305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427,758</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82.4%</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1,198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1,204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108,880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108,980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57.6%</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61.1%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Nevada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1,576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1,576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171,555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171,555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81.8%</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3,906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3,916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362,620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362,787</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77.9%</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New Mexico</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1,102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131,867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131,707</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82.1%</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706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77,955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78,075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78.4%</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Pennsylvania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1,388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1,386</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177,811</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176,211</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68.5%</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72.7%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882</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130,865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130,750</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85.0%</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Texas</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1,650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1,654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194,935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194,995</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87.3%</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371</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46,855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46,955</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98.2%</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Virginia</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2,782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2,788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270,202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269,977</w:t>
            </w:r>
          </w:p>
        </w:tc>
        <w:tc>
          <w:tcPr>
            <w:tcW w:w="124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7"/>
              </w:rPr>
              <w:t>80.3%</w:t>
            </w:r>
          </w:p>
        </w:tc>
        <w:tc>
          <w:tcPr>
            <w:tcW w:w="1220" w:type="dxa"/>
            <w:vAlign w:val="bottom"/>
            <w:gridSpan w:val="3"/>
          </w:tcPr>
          <w:p>
            <w:pPr>
              <w:ind w:left="860"/>
              <w:spacing w:after="0" w:line="135" w:lineRule="exact"/>
              <w:rPr>
                <w:sz w:val="20"/>
                <w:szCs w:val="20"/>
                <w:color w:val="auto"/>
              </w:rPr>
            </w:pPr>
            <w:r>
              <w:rPr>
                <w:rFonts w:ascii="Arial" w:cs="Arial" w:eastAsia="Arial" w:hAnsi="Arial"/>
                <w:sz w:val="13"/>
                <w:szCs w:val="13"/>
                <w:color w:val="auto"/>
                <w:w w:val="92"/>
              </w:rPr>
              <w:t>83.6%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Washington, DC</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1,255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1,255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111,759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111,759</w:t>
            </w:r>
          </w:p>
        </w:tc>
        <w:tc>
          <w:tcPr>
            <w:tcW w:w="12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7"/>
              </w:rPr>
              <w:t>83.4%</w:t>
            </w:r>
          </w:p>
        </w:tc>
        <w:tc>
          <w:tcPr>
            <w:tcW w:w="1220" w:type="dxa"/>
            <w:vAlign w:val="bottom"/>
            <w:gridSpan w:val="3"/>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spacing w:after="0"/>
              <w:rPr>
                <w:sz w:val="20"/>
                <w:szCs w:val="20"/>
                <w:color w:val="auto"/>
              </w:rPr>
            </w:pPr>
            <w:r>
              <w:rPr>
                <w:rFonts w:ascii="Arial" w:cs="Arial" w:eastAsia="Arial" w:hAnsi="Arial"/>
                <w:sz w:val="13"/>
                <w:szCs w:val="13"/>
                <w:b w:val="1"/>
                <w:bCs w:val="1"/>
                <w:color w:val="auto"/>
              </w:rPr>
              <w:t>Total Stabilized Managed Properties</w:t>
            </w: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50</w:t>
            </w:r>
          </w:p>
        </w:tc>
        <w:tc>
          <w:tcPr>
            <w:tcW w:w="18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31,783</w:t>
            </w:r>
          </w:p>
        </w:tc>
        <w:tc>
          <w:tcPr>
            <w:tcW w:w="180" w:type="dxa"/>
            <w:vAlign w:val="bottom"/>
            <w:vMerge w:val="continue"/>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31,804</w:t>
            </w:r>
          </w:p>
        </w:tc>
        <w:tc>
          <w:tcPr>
            <w:tcW w:w="16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3,550,829</w:t>
            </w:r>
          </w:p>
        </w:tc>
        <w:tc>
          <w:tcPr>
            <w:tcW w:w="1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3,544,117</w:t>
            </w:r>
          </w:p>
        </w:tc>
        <w:tc>
          <w:tcPr>
            <w:tcW w:w="160" w:type="dxa"/>
            <w:vAlign w:val="bottom"/>
            <w:vMerge w:val="continue"/>
          </w:tcPr>
          <w:p>
            <w:pPr>
              <w:spacing w:after="0"/>
              <w:rPr>
                <w:sz w:val="11"/>
                <w:szCs w:val="11"/>
                <w:color w:val="auto"/>
              </w:rPr>
            </w:pPr>
          </w:p>
        </w:tc>
        <w:tc>
          <w:tcPr>
            <w:tcW w:w="1240" w:type="dxa"/>
            <w:vAlign w:val="bottom"/>
            <w:gridSpan w:val="2"/>
          </w:tcPr>
          <w:p>
            <w:pPr>
              <w:ind w:left="860"/>
              <w:spacing w:after="0" w:line="129" w:lineRule="exact"/>
              <w:rPr>
                <w:sz w:val="20"/>
                <w:szCs w:val="20"/>
                <w:color w:val="auto"/>
              </w:rPr>
            </w:pPr>
            <w:r>
              <w:rPr>
                <w:rFonts w:ascii="Arial" w:cs="Arial" w:eastAsia="Arial" w:hAnsi="Arial"/>
                <w:sz w:val="13"/>
                <w:szCs w:val="13"/>
                <w:b w:val="1"/>
                <w:bCs w:val="1"/>
                <w:color w:val="auto"/>
                <w:w w:val="97"/>
              </w:rPr>
              <w:t>77.2%</w:t>
            </w:r>
          </w:p>
        </w:tc>
        <w:tc>
          <w:tcPr>
            <w:tcW w:w="1220" w:type="dxa"/>
            <w:vAlign w:val="bottom"/>
            <w:gridSpan w:val="3"/>
          </w:tcPr>
          <w:p>
            <w:pPr>
              <w:ind w:left="860"/>
              <w:spacing w:after="0" w:line="129" w:lineRule="exact"/>
              <w:rPr>
                <w:sz w:val="20"/>
                <w:szCs w:val="20"/>
                <w:color w:val="auto"/>
              </w:rPr>
            </w:pPr>
            <w:r>
              <w:rPr>
                <w:rFonts w:ascii="Arial" w:cs="Arial" w:eastAsia="Arial" w:hAnsi="Arial"/>
                <w:sz w:val="13"/>
                <w:szCs w:val="13"/>
                <w:b w:val="1"/>
                <w:bCs w:val="1"/>
                <w:color w:val="auto"/>
                <w:w w:val="92"/>
              </w:rPr>
              <w:t>80.8%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Total Stabilized Properties</w:t>
            </w:r>
          </w:p>
        </w:tc>
        <w:tc>
          <w:tcPr>
            <w:tcW w:w="12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651</w:t>
            </w: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443,928</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445,127</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47,446,693</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47,442,365</w:t>
            </w:r>
          </w:p>
        </w:tc>
        <w:tc>
          <w:tcPr>
            <w:tcW w:w="1240" w:type="dxa"/>
            <w:vAlign w:val="bottom"/>
            <w:gridSpan w:val="2"/>
          </w:tcPr>
          <w:p>
            <w:pPr>
              <w:ind w:left="860"/>
              <w:spacing w:after="0" w:line="162" w:lineRule="exact"/>
              <w:rPr>
                <w:sz w:val="20"/>
                <w:szCs w:val="20"/>
                <w:color w:val="auto"/>
              </w:rPr>
            </w:pPr>
            <w:r>
              <w:rPr>
                <w:rFonts w:ascii="Arial" w:cs="Arial" w:eastAsia="Arial" w:hAnsi="Arial"/>
                <w:sz w:val="10"/>
                <w:szCs w:val="10"/>
                <w:b w:val="1"/>
                <w:bCs w:val="1"/>
                <w:color w:val="auto"/>
              </w:rPr>
              <w:t>81.0</w:t>
            </w:r>
            <w:r>
              <w:rPr>
                <w:rFonts w:ascii="Arial" w:cs="Arial" w:eastAsia="Arial" w:hAnsi="Arial"/>
                <w:sz w:val="18"/>
                <w:szCs w:val="18"/>
                <w:b w:val="1"/>
                <w:bCs w:val="1"/>
                <w:color w:val="auto"/>
                <w:vertAlign w:val="superscript"/>
              </w:rPr>
              <w:t>%</w:t>
            </w:r>
          </w:p>
        </w:tc>
        <w:tc>
          <w:tcPr>
            <w:tcW w:w="1220" w:type="dxa"/>
            <w:vAlign w:val="bottom"/>
            <w:gridSpan w:val="3"/>
          </w:tcPr>
          <w:p>
            <w:pPr>
              <w:ind w:left="860"/>
              <w:spacing w:after="0" w:line="162" w:lineRule="exact"/>
              <w:rPr>
                <w:sz w:val="20"/>
                <w:szCs w:val="20"/>
                <w:color w:val="auto"/>
              </w:rPr>
            </w:pPr>
            <w:r>
              <w:rPr>
                <w:rFonts w:ascii="Arial" w:cs="Arial" w:eastAsia="Arial" w:hAnsi="Arial"/>
                <w:sz w:val="10"/>
                <w:szCs w:val="10"/>
                <w:b w:val="1"/>
                <w:bCs w:val="1"/>
                <w:color w:val="auto"/>
              </w:rPr>
              <w:t>83.8</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March 31, 2009, which may differ from March 31, 2008 unit count due to unit conversions or expansions.</w:t>
      </w:r>
    </w:p>
    <w:p>
      <w:pPr>
        <w:spacing w:after="0" w:line="225" w:lineRule="exact"/>
        <w:rPr>
          <w:rFonts w:ascii="Arial" w:cs="Arial" w:eastAsia="Arial" w:hAnsi="Arial"/>
          <w:sz w:val="18"/>
          <w:szCs w:val="18"/>
          <w:i w:val="1"/>
          <w:iCs w:val="1"/>
          <w:color w:val="auto"/>
        </w:rPr>
      </w:pPr>
    </w:p>
    <w:p>
      <w:pPr>
        <w:ind w:right="520" w:firstLine="8"/>
        <w:spacing w:after="0" w:line="277"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2009, which may differ from March 31, 2008 net rentable square feet due to unit conversions or expansions.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March 31, 2009 and 2008. The information as of March 31, 2008 is on a pro forma basis as though all the properties owned and/or managed at March 31, 2009 were under our control as of March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Pro forma</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7"/>
              </w:rPr>
              <w:t>Company</w:t>
            </w:r>
          </w:p>
        </w:tc>
        <w:tc>
          <w:tcPr>
            <w:tcW w:w="12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 as</w:t>
            </w:r>
          </w:p>
        </w:tc>
        <w:tc>
          <w:tcPr>
            <w:tcW w:w="18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 Units</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1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of March 31,</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as of March 31,</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24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Occupancy %</w:t>
            </w:r>
          </w:p>
        </w:tc>
        <w:tc>
          <w:tcPr>
            <w:tcW w:w="12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Occupancy %</w:t>
            </w:r>
          </w:p>
        </w:tc>
        <w:tc>
          <w:tcPr>
            <w:tcW w:w="0" w:type="dxa"/>
            <w:vAlign w:val="bottom"/>
          </w:tcPr>
          <w:p>
            <w:pPr>
              <w:spacing w:after="0"/>
              <w:rPr>
                <w:sz w:val="1"/>
                <w:szCs w:val="1"/>
                <w:color w:val="auto"/>
              </w:rPr>
            </w:pPr>
          </w:p>
        </w:tc>
      </w:tr>
      <w:tr>
        <w:trPr>
          <w:trHeight w:val="153"/>
        </w:trPr>
        <w:tc>
          <w:tcPr>
            <w:tcW w:w="230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860" w:type="dxa"/>
            <w:vAlign w:val="bottom"/>
          </w:tcPr>
          <w:p>
            <w:pPr>
              <w:ind w:left="240"/>
              <w:spacing w:after="0"/>
              <w:rPr>
                <w:sz w:val="20"/>
                <w:szCs w:val="20"/>
                <w:color w:val="auto"/>
              </w:rPr>
            </w:pPr>
            <w:r>
              <w:rPr>
                <w:rFonts w:ascii="Arial" w:cs="Arial" w:eastAsia="Arial" w:hAnsi="Arial"/>
                <w:sz w:val="13"/>
                <w:szCs w:val="13"/>
                <w:b w:val="1"/>
                <w:bCs w:val="1"/>
                <w:color w:val="auto"/>
                <w:w w:val="93"/>
              </w:rPr>
              <w:t>Properties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2009(1)</w:t>
            </w: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2009(2)</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March 31, 2008</w:t>
            </w:r>
          </w:p>
        </w:tc>
        <w:tc>
          <w:tcPr>
            <w:tcW w:w="12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0"/>
              </w:rPr>
              <w:t>March 31, 2009</w:t>
            </w:r>
          </w:p>
        </w:tc>
        <w:tc>
          <w:tcPr>
            <w:tcW w:w="12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March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4,283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1,349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463,843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152,495</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33.3%</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816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71,545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2,739</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276,285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79,250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28.5%</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1,397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635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149,937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79,958</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32.1%</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2,066</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2,033</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215,267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212,412</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58.8%</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South Carolina</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618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73,857</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67,045</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70.9%</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Wholly-Owned Lease-up</w:t>
            </w:r>
          </w:p>
        </w:tc>
        <w:tc>
          <w:tcPr>
            <w:tcW w:w="8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w:t>
            </w:r>
          </w:p>
        </w:tc>
        <w:tc>
          <w:tcPr>
            <w:tcW w:w="18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11,919</w:t>
            </w:r>
          </w:p>
        </w:tc>
        <w:tc>
          <w:tcPr>
            <w:tcW w:w="18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5,248</w:t>
            </w:r>
          </w:p>
        </w:tc>
        <w:tc>
          <w:tcPr>
            <w:tcW w:w="16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1,250,734</w:t>
            </w:r>
          </w:p>
        </w:tc>
        <w:tc>
          <w:tcPr>
            <w:tcW w:w="1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591,160</w:t>
            </w:r>
          </w:p>
        </w:tc>
        <w:tc>
          <w:tcPr>
            <w:tcW w:w="16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37.9</w:t>
            </w:r>
          </w:p>
        </w:tc>
        <w:tc>
          <w:tcPr>
            <w:tcW w:w="1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49.3</w:t>
            </w:r>
          </w:p>
        </w:tc>
        <w:tc>
          <w:tcPr>
            <w:tcW w:w="1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Joint-venture properties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1,984</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2,045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253,087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253,257</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50.8%</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772</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113,565</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113,485</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1,808</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1,813</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190,733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190,533</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73.4%</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853</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939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71,349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73,672</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72.3%</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1,347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635</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117,383</w:t>
            </w:r>
          </w:p>
        </w:tc>
        <w:tc>
          <w:tcPr>
            <w:tcW w:w="160" w:type="dxa"/>
            <w:vAlign w:val="bottom"/>
          </w:tcPr>
          <w:p>
            <w:pPr>
              <w:spacing w:after="0"/>
              <w:rPr>
                <w:sz w:val="11"/>
                <w:szCs w:val="11"/>
                <w:color w:val="auto"/>
              </w:rPr>
            </w:pP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57,360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24.0%</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55,965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55,645</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53.7%</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Lease-up Joint-Ventures</w:t>
            </w:r>
          </w:p>
        </w:tc>
        <w:tc>
          <w:tcPr>
            <w:tcW w:w="8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w:t>
            </w:r>
          </w:p>
        </w:tc>
        <w:tc>
          <w:tcPr>
            <w:tcW w:w="18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7,405</w:t>
            </w:r>
          </w:p>
        </w:tc>
        <w:tc>
          <w:tcPr>
            <w:tcW w:w="18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6,704</w:t>
            </w:r>
          </w:p>
        </w:tc>
        <w:tc>
          <w:tcPr>
            <w:tcW w:w="16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802,082</w:t>
            </w:r>
          </w:p>
        </w:tc>
        <w:tc>
          <w:tcPr>
            <w:tcW w:w="1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743,952</w:t>
            </w:r>
          </w:p>
        </w:tc>
        <w:tc>
          <w:tcPr>
            <w:tcW w:w="16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52.7</w:t>
            </w:r>
          </w:p>
        </w:tc>
        <w:tc>
          <w:tcPr>
            <w:tcW w:w="1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48.3</w:t>
            </w:r>
          </w:p>
        </w:tc>
        <w:tc>
          <w:tcPr>
            <w:tcW w:w="1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1,053</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100,040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20.1%</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536</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60,845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54.8%</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Florida</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2,040</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926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203,001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78,130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18.6%</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4,738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836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662,352</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147,469</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28.7%</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1,591</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1,592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151,494</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151,939</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45.8%</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77,905</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78,030</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Pennsylvania</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1,995</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1,994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173,244</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174,186</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508</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69,550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67,050</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51.1%</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Utah</w:t>
            </w:r>
          </w:p>
        </w:tc>
        <w:tc>
          <w:tcPr>
            <w:tcW w:w="86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657</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75,602</w:t>
            </w:r>
          </w:p>
        </w:tc>
        <w:tc>
          <w:tcPr>
            <w:tcW w:w="1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9.7%</w:t>
            </w:r>
          </w:p>
        </w:tc>
        <w:tc>
          <w:tcPr>
            <w:tcW w:w="12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8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480</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63,809</w:t>
            </w:r>
          </w:p>
        </w:tc>
        <w:tc>
          <w:tcPr>
            <w:tcW w:w="1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c>
          <w:tcPr>
            <w:tcW w:w="12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Lease-up Managed</w:t>
            </w: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w:t>
            </w:r>
          </w:p>
        </w:tc>
        <w:tc>
          <w:tcPr>
            <w:tcW w:w="18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14,458</w:t>
            </w:r>
          </w:p>
        </w:tc>
        <w:tc>
          <w:tcPr>
            <w:tcW w:w="180" w:type="dxa"/>
            <w:vAlign w:val="bottom"/>
            <w:vMerge w:val="continue"/>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6,718</w:t>
            </w:r>
          </w:p>
        </w:tc>
        <w:tc>
          <w:tcPr>
            <w:tcW w:w="16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1,637,842</w:t>
            </w:r>
          </w:p>
        </w:tc>
        <w:tc>
          <w:tcPr>
            <w:tcW w:w="1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696,804</w:t>
            </w:r>
          </w:p>
        </w:tc>
        <w:tc>
          <w:tcPr>
            <w:tcW w:w="160" w:type="dxa"/>
            <w:vAlign w:val="bottom"/>
            <w:vMerge w:val="continue"/>
          </w:tcPr>
          <w:p>
            <w:pPr>
              <w:spacing w:after="0"/>
              <w:rPr>
                <w:sz w:val="11"/>
                <w:szCs w:val="11"/>
                <w:color w:val="auto"/>
              </w:rPr>
            </w:pPr>
          </w:p>
        </w:tc>
        <w:tc>
          <w:tcPr>
            <w:tcW w:w="1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27.2%</w:t>
            </w:r>
          </w:p>
        </w:tc>
        <w:tc>
          <w:tcPr>
            <w:tcW w:w="122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23.8%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gridSpan w:val="3"/>
          </w:tcPr>
          <w:p>
            <w:pPr>
              <w:spacing w:after="0"/>
              <w:rPr>
                <w:sz w:val="20"/>
                <w:szCs w:val="20"/>
                <w:color w:val="auto"/>
              </w:rPr>
            </w:pPr>
            <w:r>
              <w:rPr>
                <w:rFonts w:ascii="Arial" w:cs="Arial" w:eastAsia="Arial" w:hAnsi="Arial"/>
                <w:sz w:val="13"/>
                <w:szCs w:val="13"/>
                <w:b w:val="1"/>
                <w:bCs w:val="1"/>
                <w:color w:val="auto"/>
              </w:rPr>
              <w:t>Total Lease-up Properties</w:t>
            </w: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18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33,782</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18,670</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3,690,658</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2,031,916</w:t>
            </w:r>
          </w:p>
        </w:tc>
        <w:tc>
          <w:tcPr>
            <w:tcW w:w="1240" w:type="dxa"/>
            <w:vAlign w:val="bottom"/>
            <w:gridSpan w:val="2"/>
          </w:tcPr>
          <w:p>
            <w:pPr>
              <w:jc w:val="right"/>
              <w:spacing w:after="0" w:line="162" w:lineRule="exact"/>
              <w:rPr>
                <w:sz w:val="20"/>
                <w:szCs w:val="20"/>
                <w:color w:val="auto"/>
              </w:rPr>
            </w:pPr>
            <w:r>
              <w:rPr>
                <w:rFonts w:ascii="Arial" w:cs="Arial" w:eastAsia="Arial" w:hAnsi="Arial"/>
                <w:sz w:val="10"/>
                <w:szCs w:val="10"/>
                <w:b w:val="1"/>
                <w:bCs w:val="1"/>
                <w:color w:val="auto"/>
              </w:rPr>
              <w:t>37.7</w:t>
            </w:r>
            <w:r>
              <w:rPr>
                <w:rFonts w:ascii="Arial" w:cs="Arial" w:eastAsia="Arial" w:hAnsi="Arial"/>
                <w:sz w:val="18"/>
                <w:szCs w:val="18"/>
                <w:b w:val="1"/>
                <w:bCs w:val="1"/>
                <w:color w:val="auto"/>
                <w:vertAlign w:val="superscript"/>
              </w:rPr>
              <w:t>%</w:t>
            </w:r>
          </w:p>
        </w:tc>
        <w:tc>
          <w:tcPr>
            <w:tcW w:w="1220" w:type="dxa"/>
            <w:vAlign w:val="bottom"/>
            <w:gridSpan w:val="3"/>
          </w:tcPr>
          <w:p>
            <w:pPr>
              <w:jc w:val="right"/>
              <w:spacing w:after="0" w:line="162" w:lineRule="exact"/>
              <w:rPr>
                <w:sz w:val="20"/>
                <w:szCs w:val="20"/>
                <w:color w:val="auto"/>
              </w:rPr>
            </w:pPr>
            <w:r>
              <w:rPr>
                <w:rFonts w:ascii="Arial" w:cs="Arial" w:eastAsia="Arial" w:hAnsi="Arial"/>
                <w:sz w:val="10"/>
                <w:szCs w:val="10"/>
                <w:b w:val="1"/>
                <w:bCs w:val="1"/>
                <w:color w:val="auto"/>
              </w:rPr>
              <w:t>44.0</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Represents unit count as of March 31, 2009, which may differ from March 31, 2008 unit count due to unit conversions or expansions.</w:t>
      </w:r>
    </w:p>
    <w:p>
      <w:pPr>
        <w:sectPr>
          <w:pgSz w:w="11900" w:h="16838" w:orient="portrait"/>
          <w:cols w:equalWidth="0" w:num="1">
            <w:col w:w="11420"/>
          </w:cols>
          <w:pgMar w:left="240" w:top="125" w:right="239" w:bottom="0" w:gutter="0" w:footer="0" w:header="0"/>
          <w:type w:val="continuous"/>
        </w:sectPr>
      </w:pPr>
    </w:p>
    <w:bookmarkStart w:id="23" w:name="page24"/>
    <w:bookmarkEnd w:id="23"/>
    <w:p>
      <w:pPr>
        <w:ind w:right="500" w:firstLine="8"/>
        <w:spacing w:after="0" w:line="277"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2009, which may differ from March 31, 2008 net rentable square feet due to unit conversions or expansions.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Results for the three months ended March 31, 2009 include the operations of 628 properties (285 of which were consolidated and 343 of which were in joint ventures accounted for using the equity method) compared to the results for the three months ended March 31, 2008, which included the operations of 607 properties (262 of which were consolidated and 345 of which were in joint ventures accounted for using the equity method).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46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59,409</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57,024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2,385</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franchise fees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Property Rental — </w:t>
      </w:r>
      <w:r>
        <w:rPr>
          <w:rFonts w:ascii="Arial" w:cs="Arial" w:eastAsia="Arial" w:hAnsi="Arial"/>
          <w:sz w:val="16"/>
          <w:szCs w:val="16"/>
          <w:color w:val="auto"/>
        </w:rPr>
        <w:t>The increase in property rental revenue for the three months ended March 31, 2009 consists of $2,093 associated with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during 2009 and 2008 and $735 from increases in occupancy and rental rates at lease-up properties. These increases were offset by a decrease of $443 in revenues at stabilized properties due mainly to a decrease in occupancy compared with the same period in the prior year.</w:t>
      </w:r>
    </w:p>
    <w:p>
      <w:pPr>
        <w:spacing w:after="0" w:line="142"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Management and Franchise Fees — </w:t>
      </w:r>
      <w:r>
        <w:rPr>
          <w:rFonts w:ascii="Arial" w:cs="Arial" w:eastAsia="Arial" w:hAnsi="Arial"/>
          <w:sz w:val="16"/>
          <w:szCs w:val="16"/>
          <w:color w:val="auto"/>
        </w:rPr>
        <w:t>Our taxable REIT subsidiary, Extra Space Management, Inc. manages properties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franchisees and third parties. Management and franchise fees generally represent 6% of cash collected from properties owned by third parties, franchisees and unconsolidated joint ventures. Revenues from management fees and franchise fees have remained fairly stable compared to the previous year.</w:t>
      </w:r>
    </w:p>
    <w:p>
      <w:pPr>
        <w:spacing w:after="0" w:line="142"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2008 and the first quarter of 2009. Overall customer participation increased to approximately 50% at March 31, 2009 compared to approximately 38% at March 31, 2008.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 </w:t>
      </w:r>
      <w:r>
        <w:rPr>
          <w:rFonts w:ascii="Arial" w:cs="Arial" w:eastAsia="Arial" w:hAnsi="Arial"/>
          <w:sz w:val="18"/>
          <w:szCs w:val="18"/>
          <w:color w:val="auto"/>
        </w:rPr>
        <w:t>The decrease in other income is primarily due to the expiration of a sublease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Property operations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22,867</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20,641</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2,226</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w w:val="93"/>
              </w:rPr>
              <w:t>Unrecovered development and acquisition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942</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Property Operations — </w:t>
      </w:r>
      <w:r>
        <w:rPr>
          <w:rFonts w:ascii="Arial" w:cs="Arial" w:eastAsia="Arial" w:hAnsi="Arial"/>
          <w:sz w:val="18"/>
          <w:szCs w:val="18"/>
          <w:color w:val="auto"/>
        </w:rPr>
        <w:t>The increase in property operations expense during the three months ended March 31, 2009 was due to increases of $953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acquisitions of new properties during 2008 and 2009, and $1,273 at existing stabilized and lease-up properties due primarily to increases in property taxes and utilities.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expense is due to the increase in tenant reinsurance revenues. A large portion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reinsurance expense is variable and increases as tenant reinsurance revenues increase. During 2008 and the first quarter of 2009, we continued to promote the tenant reinsurance program and successfully increased overall customer participation to approximately 50% at March 31, 2009 compared to approximately 38% at March 31,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Unrecovered Development/Acquisition Costs — </w:t>
      </w:r>
      <w:r>
        <w:rPr>
          <w:rFonts w:ascii="Arial" w:cs="Arial" w:eastAsia="Arial" w:hAnsi="Arial"/>
          <w:sz w:val="16"/>
          <w:szCs w:val="16"/>
          <w:color w:val="auto"/>
        </w:rPr>
        <w:t>These costs relate to unsuccessful development and acquisition activities during the periods indicated.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due to decreased acquisition activities.</w:t>
      </w:r>
    </w:p>
    <w:p>
      <w:pPr>
        <w:sectPr>
          <w:pgSz w:w="11900" w:h="16838" w:orient="portrait"/>
          <w:cols w:equalWidth="0" w:num="1">
            <w:col w:w="11400"/>
          </w:cols>
          <w:pgMar w:left="240" w:top="341" w:right="259" w:bottom="0" w:gutter="0" w:footer="0" w:header="0"/>
        </w:sectPr>
      </w:pPr>
    </w:p>
    <w:bookmarkStart w:id="24" w:name="page25"/>
    <w:bookmarkEnd w:id="24"/>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 in general and administrative expenses was due to a $350 increase in income taxes due to net operating loss</w:t>
      </w:r>
      <w:r>
        <w:rPr>
          <w:rFonts w:ascii="Arial" w:cs="Arial" w:eastAsia="Arial" w:hAnsi="Arial"/>
          <w:sz w:val="18"/>
          <w:szCs w:val="18"/>
          <w:b w:val="1"/>
          <w:bCs w:val="1"/>
          <w:color w:val="auto"/>
        </w:rPr>
        <w:t xml:space="preserve"> </w:t>
      </w:r>
      <w:r>
        <w:rPr>
          <w:rFonts w:ascii="Arial" w:cs="Arial" w:eastAsia="Arial" w:hAnsi="Arial"/>
          <w:sz w:val="18"/>
          <w:szCs w:val="18"/>
          <w:color w:val="auto"/>
        </w:rPr>
        <w:t>carry forwards being used completely in 2008. In addition, the overall cost associated with the management of our properties increased as we operated 698 properties as of March 31, 2009 compared to 654 properties as of March 31, 2008.</w:t>
      </w:r>
    </w:p>
    <w:p>
      <w:pPr>
        <w:spacing w:after="0" w:line="17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2008 and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revenue and expenses:</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(15,795)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(16,354)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559</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Non-cash interest expense related to amortization of</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on exchangeable senior notes</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Interest income on note receivable from Preferred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Partnership unit holder</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Equity in earnings of real estate ventures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673</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Gain on repurchase of exchangeable senior notes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22,483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22,483</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Loss on sale of investments available for sale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1,415</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revenue (expense)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The decrease in interest expense for the three months ended March 31, 2009 consists primarily of a decrease of $710 on corporate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debt due to a decrease in interest rates compared to the same period in the prior year. This decrease was slightly offset by new loans on properties acquired during 2008.</w:t>
      </w:r>
    </w:p>
    <w:p>
      <w:pPr>
        <w:spacing w:after="0" w:line="1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Non-cash Interest Expense Related to Amortization of Discount on Exchangeable Senior Notes — </w:t>
      </w:r>
      <w:r>
        <w:rPr>
          <w:rFonts w:ascii="Arial" w:cs="Arial" w:eastAsia="Arial" w:hAnsi="Arial"/>
          <w:sz w:val="18"/>
          <w:szCs w:val="18"/>
          <w:color w:val="auto"/>
        </w:rPr>
        <w:t>The decrease in non-cash interest expense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discount on exchangeable senior notes for the three months ended March 31, 2009 was due to the company repurchasing a total of $111,837 of its notes in October 2008 and March 2009. The discount associated with the repurchased notes was written off as a result of these repurchases which decreased the ongoing amortization of the discount in 2009 when compared to 2008.</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increase in interest income was due primarily to the fact that we had a higher average cash balance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2009 when compared to the same period in the prior year. The increase in cash was due primarily to proceeds obtained from our line of credit and new notes payable.</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 xml:space="preserve">Equity in Earnings of Real Estate Ventures — </w:t>
      </w:r>
      <w:r>
        <w:rPr>
          <w:rFonts w:ascii="Arial" w:cs="Arial" w:eastAsia="Arial" w:hAnsi="Arial"/>
          <w:sz w:val="17"/>
          <w:szCs w:val="17"/>
          <w:color w:val="auto"/>
        </w:rPr>
        <w:t>The increase in equity in earnings of real estate ventures for the three months ended March 31, 2009</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prior year is due primarily to the increase in our investment in the VRS joint venture from 5% to 45% on July 1, 2008.</w:t>
      </w:r>
    </w:p>
    <w:p>
      <w:pPr>
        <w:spacing w:after="0" w:line="13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Loss on Sale of Investments Available for Sale — </w:t>
      </w:r>
      <w:r>
        <w:rPr>
          <w:rFonts w:ascii="Arial" w:cs="Arial" w:eastAsia="Arial" w:hAnsi="Arial"/>
          <w:sz w:val="18"/>
          <w:szCs w:val="18"/>
          <w:color w:val="auto"/>
        </w:rPr>
        <w:t>The amount for the three months ended March 31, 2008 represents the amount of loss recorded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29, 2008 related to the liquidation of auction rates securities held in investments available for sale. There was no loss for the three months ended March 31, 2009.</w:t>
      </w:r>
    </w:p>
    <w:p>
      <w:pPr>
        <w:spacing w:after="0" w:line="176"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Gain on Repurchase of Exchangeable Senior Notes — </w:t>
      </w:r>
      <w:r>
        <w:rPr>
          <w:rFonts w:ascii="Arial" w:cs="Arial" w:eastAsia="Arial" w:hAnsi="Arial"/>
          <w:sz w:val="16"/>
          <w:szCs w:val="16"/>
          <w:color w:val="auto"/>
        </w:rPr>
        <w:t>This amount represents the gain recorded on the repurchase of $71,500 principal amount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exchangeable senior notes in March 2009. There were no repurchases of exchangeable senior notes during the three months ended March 31, 2008.</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 Change</w:t>
            </w:r>
          </w:p>
        </w:tc>
        <w:tc>
          <w:tcPr>
            <w:tcW w:w="126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allocated to noncontrolling interests: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w w:val="97"/>
              </w:rPr>
              <w:t>Net income allocated to Preferred Operating Partnership</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Net (income) loss allocated to Operating Partnership and</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non-controlling interests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Total income allocated to noncontrolling interests: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Net income allocated to Preferred Operating Partnership — </w:t>
      </w:r>
      <w:r>
        <w:rPr>
          <w:rFonts w:ascii="Arial" w:cs="Arial" w:eastAsia="Arial" w:hAnsi="Arial"/>
          <w:sz w:val="17"/>
          <w:szCs w:val="17"/>
          <w:color w:val="auto"/>
        </w:rPr>
        <w:t>Income allocated to the Preferred Operating Partnership equals the fixed distribution paid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Preferred OP unit holder plus 1.09% of the remaining net income allocated after the adjustment for the fixed distribution paid. The amount allocated was higher for the three months ended March 31, 2009 compared to the same period in the prior year as net income was higher.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(income) loss allocated to Operating Partnership and other noncontrolling interests — </w:t>
      </w:r>
      <w:r>
        <w:rPr>
          <w:rFonts w:ascii="Arial" w:cs="Arial" w:eastAsia="Arial" w:hAnsi="Arial"/>
          <w:sz w:val="17"/>
          <w:szCs w:val="17"/>
          <w:color w:val="auto"/>
        </w:rPr>
        <w:t>Income allocated to the Operating Partnership as of</w:t>
      </w:r>
    </w:p>
    <w:p>
      <w:pPr>
        <w:spacing w:after="0" w:line="39"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March 31, 2009 and 2008 represents 4.68% and 7.07%, respectively, of net income after the allocation of the fixed distribution paid to the Preferred OP unit holder. The increase is due to higher net income earned during the three months ended March 31, 2009 compared to the same period in the prior year.</w:t>
      </w:r>
    </w:p>
    <w:p>
      <w:pPr>
        <w:sectPr>
          <w:pgSz w:w="11900" w:h="16838" w:orient="portrait"/>
          <w:cols w:equalWidth="0" w:num="1">
            <w:col w:w="11320"/>
          </w:cols>
          <w:pgMar w:left="240" w:top="337" w:right="339" w:bottom="0" w:gutter="0" w:footer="0" w:header="0"/>
        </w:sectPr>
      </w:pPr>
    </w:p>
    <w:bookmarkStart w:id="25" w:name="page26"/>
    <w:bookmarkEnd w:id="25"/>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Income allocated to other noncontrolling interests represents the losses allocated to partners in consolidated joint ventures on five properties that were in the lease-up phase during the three months ended March 31, 2009. The amount allocated to other noncontrolling interest was higher than the prior year as there were only two consolidated joint venture properties in lease-up as of March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accounting principles generally accepted in the United States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as an indicator of our ability to make cash distributions. The following table sets forth our calculation of FFO for the three months ended March 31, 2009 and 2008:</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1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on Preferred Operating Partnership units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(1,438)</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allocated to Operating Partnership noncontrolling interest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Funds from operations</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42,921</w:t>
            </w:r>
          </w:p>
        </w:tc>
        <w:tc>
          <w:tcPr>
            <w:tcW w:w="1100" w:type="dxa"/>
            <w:vAlign w:val="bottom"/>
            <w:gridSpan w:val="2"/>
          </w:tcPr>
          <w:p>
            <w:pPr>
              <w:jc w:val="right"/>
              <w:ind w:right="97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(revenues include tenant reinsurance income).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46"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 March 31,</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w:t>
            </w:r>
          </w:p>
        </w:tc>
      </w:tr>
      <w:tr>
        <w:trPr>
          <w:trHeight w:val="142"/>
        </w:trPr>
        <w:tc>
          <w:tcPr>
            <w:tcW w:w="3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Same-store operating expenses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19,952</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19,808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36,681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36,875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Non same-store rental revenues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Non same-store operating expenses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2,915</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r>
      <w:tr>
        <w:trPr>
          <w:trHeight w:val="216"/>
        </w:trPr>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Total rental revenues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59,409</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57,024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22,867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20,641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Same-store square foot occupancy as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same-store rental revenues for the three months ended March 31, 2009 as compared to the three months ended March 31, 2008 was due to decreased rental rates to incoming customers and a reduction in occupancy due to lower move-in activity and higher move-out activity. The increase in same-store operating expenses was primarily due to increases in property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flows provided by operating activities were $18,618 and $24,199, respectively, for the three months ended March 31, 2009 and 2008. The decrease compared to the prior year primarily relates to the decrease in accounts payables and accrued expenses.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used in investing activities was $33,643 and $1,980, respectively, for the three months ended March 31, 2009 and 2008. The increase relates primarily to the change in investments available for sale. For the three months ended March 31, 2008, there were proceeds from the sale of investments available for sale of $21,812, and for the three months ended March 31, 2009, there were no proceeds from the sale of investments available for sale. Additionally, for the three months ended March 31, 2009, $19,612 was paid for the acquisition of real estate assets, compared to $8,327 for the three months ended March 31, 2008.</w:t>
      </w:r>
    </w:p>
    <w:p>
      <w:pPr>
        <w:sectPr>
          <w:pgSz w:w="11900" w:h="16897" w:orient="portrait"/>
          <w:cols w:equalWidth="0" w:num="1">
            <w:col w:w="11400"/>
          </w:cols>
          <w:pgMar w:left="240" w:top="125" w:right="259" w:bottom="0" w:gutter="0" w:footer="0" w:header="0"/>
        </w:sectPr>
      </w:pPr>
    </w:p>
    <w:bookmarkStart w:id="26" w:name="page27"/>
    <w:bookmarkEnd w:id="26"/>
    <w:p>
      <w:pPr>
        <w:ind w:right="40"/>
        <w:spacing w:after="0" w:line="293" w:lineRule="auto"/>
        <w:rPr>
          <w:sz w:val="20"/>
          <w:szCs w:val="20"/>
          <w:color w:val="auto"/>
        </w:rPr>
      </w:pPr>
      <w:r>
        <w:rPr>
          <w:rFonts w:ascii="Arial" w:cs="Arial" w:eastAsia="Arial" w:hAnsi="Arial"/>
          <w:sz w:val="16"/>
          <w:szCs w:val="16"/>
          <w:color w:val="auto"/>
        </w:rPr>
        <w:t>Cash provided by (used in) financing activities was $5,531 and ($18,586), respectively, for the three months ended March 31, 2009 and 2008. The increase in cash provided by financing activities over the prior period relates primarily to the proceeds from notes payable and lines of credit. During the three months ended March 31, 2009, we drew an additional $73,000 on our line of credit and obtained proceeds of $77,586 from additional notes payable, compared to proceeds of only $1,182 from notes payable and lines of credit during the three months ended March 31, 2008. This was offset by the increase of $44,513 in the amount paid by the Company to repurchase a portion of our exchangeable senior notes during the three months ended March 31, 2009, and an increase of $74,049 in the payments principal payments made on borrowings compared to the three months ended March 31,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operating income for the three months ending March 31, 2009 decreased on a same-store basis with decreases in revenues and increases in expenses. Same-store revenue decreased 0.1% and NOI decreased 0.5%. Same-store expenses showed a modest year-on-year increase of 0.7%. Occupancy decreased to 81.3% as compared to 83.7% the previous year.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Massachusetts, Northern California, Texas, and Washington, D.C. were our top performing markets with year-on-year revenue growth at stabilized properties. Markets experiencing negative year-on-year revenue growth at stabilized properties included Florida, Georgia, New Jersey, New York and Southern California.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2009, we had $54,478 available in cash and cash equivalents. We intend to use this cash to repay debt scheduled to mature in 2009 and for general corporate purposes. We are required to distribute at least 90% of our net taxable income, excluding net capital gains, to our stockholders on an annual basis to maintain our qualification as a REIT. Recently issued guidance from the IRS allows for up to 90% of a REIT’s dividends to be paid with its common stock in 2009 if certain conditions are met.</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April 6, 2009, we announced modifications to our 2009 dividend distributions. We do not expect to distribute a dividend in the second or third quarter of 2009. We expect to pay an estimated fourth quarter dividend of between $0.24 and $0.30 per share using a combination of approximately 10% cash and 90% common stock, as allowed by the Internal Revenue Service Revenue Procedure 2009-15, to fully distribute our 2009 net taxable income. The fourth quarter dividend, when combined with the first quarter 2009 cash dividend of $0.25 per share, previously paid on March 31, 2009, is expected to satisfy the real estate investment trust distribution requirements and generally allow us to avoid the payment of corporate income tax for such year. We reserve the right to change the percentage of cash paid in the fourth quarter dividend, including paying such dividend entirely in cash if determined to be in the best interest of stockholders. It is unlikely that we will have any substantial cash balances that could be used to meet our liquidity needs. Instead, these needs must be met from cash generated from operations and external sources of capital.</w:t>
      </w:r>
    </w:p>
    <w:p>
      <w:pPr>
        <w:spacing w:after="0" w:line="17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2008 and the first three months of 2009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October 19, 2007, we entered into a $100,000 Credit Line. We intend to use the proceeds of the Credit Line to repay debt scheduled to mature in 2009 and for general corporate purposes. The Credit Line has an interest rate of between 100 and 205 basis points over LIBOR, depending on certain of our financial ratios. The Credit Line is collateralized by mortgages on certain real estate assets. The Credit Line matures on October 31, 2010 with two one-year extensions available. Outstanding balances on the Credit Line at March 31, 2009 and December 31, 2008 were $100,000 and $27,000, respectively.</w:t>
      </w:r>
    </w:p>
    <w:p>
      <w:pPr>
        <w:spacing w:after="0" w:line="154"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On October 4, 2004, we entered into a reverse interest rate swap (the “Reverse Swap Agreement”) with U.S. Bank National Association, relating to our existing $61,770 fixed rate mortgage with Wachovia Bank. The Reverse Swap Agreement terminates in June, 2009. Pursuant to the Reverse Swap Agreement, we will receive fixed interest payments of 4.3% and pay variable interest payments based on the one-month LIBOR plus 0.7% on a notional amount of $61,770. There were no origination fees or other up front costs incurred by us in connection with the Reverse Swap Agreement.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30, 2008, we entered into a loan agreement in the amount of $64,530 secured by certain properties. At March 31, 2009, $63,740 was drawn on the loan balance. The loan bears interest at LIBOR plus 2%, maturing on June 30, 2011. The loan agreement has a two year extension, at our option, that would extend the loan maturity to June 30, 2013. On January 28, 2009, we entered into an interest rate swap agreement (“Swap Agreement”) with an effective date of February 1, 2009 and a maturity date of June 30, 2013. Under the Swap Agreement, we will receive interest at a variable rate of LIBOR plus 2.0% and pay interest at a fixed rate of 4.24%.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2009, we had $1,303,041 of debt, resulting in a debt to total capitalization ratio of 72.1%. As of March 31, 2009, the ratio of total fixed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and other instruments to total debt was 81.7% ($61,770 on which we have a reverse interest rate swap has been included as variable rate debt,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$63,740 on which we have an interest rate swap has been included as fixed-rate debt). The weighted average interest rate of the total of fixed and variable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at March 31, 2009 was 4.6%. Certain of our real estate assets are pledged as collateral for our debt. We are subject to certain restrictive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relating to our outstanding debt. We were in compliance with all covenants at March 31, 2009.</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Credit Line. In addition, the Company is actively pursuing additional term loans secured by unencumbered properties.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liquidity needs consist primarily of cash distributions to stockholders, new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w:t>
      </w:r>
    </w:p>
    <w:p>
      <w:pPr>
        <w:sectPr>
          <w:pgSz w:w="11900" w:h="16838" w:orient="portrait"/>
          <w:cols w:equalWidth="0" w:num="1">
            <w:col w:w="11400"/>
          </w:cols>
          <w:pgMar w:left="240" w:top="341" w:right="259" w:bottom="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holders of our common stock. We may also use OP units as currency to fund acquisitions from self-storage owners who desire tax-deferral in their exiting transactions.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make acquisitions and fund current and future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financial statements for a further description of our exchangeable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March 31, 2009:</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Payments due by Period:</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0"/>
                <w:szCs w:val="10"/>
                <w:color w:val="auto"/>
              </w:rPr>
            </w:pPr>
          </w:p>
        </w:tc>
        <w:tc>
          <w:tcPr>
            <w:tcW w:w="92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w w:val="99"/>
              </w:rPr>
              <w:t>exchangeable senior notes and line of credit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468,031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75,112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250,512</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1,303,041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411,826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22,945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708,920</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2009, the weighted-average interest rate for all fixed rate loans was 5.2%, and the weighted-average interest rate for all variable rate loans was 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ectPr>
          <w:pgSz w:w="11900" w:h="16838" w:orient="portrait"/>
          <w:cols w:equalWidth="0" w:num="1">
            <w:col w:w="11380"/>
          </w:cols>
          <w:pgMar w:left="240" w:top="125" w:right="279" w:bottom="0" w:gutter="0" w:footer="0" w:header="0"/>
        </w:sectPr>
      </w:pPr>
    </w:p>
    <w:bookmarkStart w:id="28" w:name="page29"/>
    <w:bookmarkEnd w:id="28"/>
    <w:p>
      <w:pPr>
        <w:spacing w:after="0" w:line="6"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March 2009 and October 2008, we repurchased $111,837 million in aggregate principal amount of our exchangeable senior notes for $76,234 in cash. 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of March 31, 2009, we had $1,303,041 in total debt, of which $238,374 was subject to variable interest rates (including the $61,770 on which we have a reverse interest rate swap). If LIBOR were to increase or decrease by 100 basis points, the increase or decrease in interest expense on the variable rate debt would increase or decrease future earnings and cash flows by $2,384 annually.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aggregate fair value of our fixed rate notes payable and notes payable to trusts at March 31, 2009 was $1,041,025. The carrying value of these fixed rates notes payable and notes payable to trusts at March 31, 2009 was $926,504. The fair value of the exchangeable senior notes at March 31, 2009 was $85,102. The carrying value of the exchangeable senior notes at March 31, 2009 was $138,163.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formed a disclosure committee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ectPr>
          <w:pgSz w:w="11900" w:h="16845" w:orient="portrait"/>
          <w:cols w:equalWidth="0" w:num="1">
            <w:col w:w="11400"/>
          </w:cols>
          <w:pgMar w:left="240" w:top="125" w:right="259" w:bottom="0" w:gutter="0" w:footer="0" w:header="0"/>
        </w:sectPr>
      </w:pPr>
    </w:p>
    <w:bookmarkStart w:id="29" w:name="page30"/>
    <w:bookmarkEnd w:id="29"/>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2008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800" w:right="200" w:hanging="661"/>
        <w:spacing w:after="0" w:line="277" w:lineRule="auto"/>
        <w:tabs>
          <w:tab w:leader="none" w:pos="780" w:val="left"/>
        </w:tabs>
        <w:rPr>
          <w:sz w:val="20"/>
          <w:szCs w:val="20"/>
          <w:color w:val="auto"/>
        </w:rPr>
      </w:pPr>
      <w:r>
        <w:rPr>
          <w:rFonts w:ascii="Arial" w:cs="Arial" w:eastAsia="Arial" w:hAnsi="Arial"/>
          <w:sz w:val="18"/>
          <w:szCs w:val="18"/>
          <w:color w:val="auto"/>
        </w:rPr>
        <w:t>32.1*</w:t>
        <w:tab/>
        <w:t>Certifications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EXTRA SPACE STORAGE INC.</w:t>
            </w:r>
          </w:p>
        </w:tc>
      </w:tr>
      <w:tr>
        <w:trPr>
          <w:trHeight w:val="230"/>
        </w:trPr>
        <w:tc>
          <w:tcPr>
            <w:tcW w:w="57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Registrant</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Date: May 11, 2009</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57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57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7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Date: May 11, 2009</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r>
      <w:tr>
        <w:trPr>
          <w:trHeight w:val="195"/>
        </w:trPr>
        <w:tc>
          <w:tcPr>
            <w:tcW w:w="57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r>
      <w:tr>
        <w:trPr>
          <w:trHeight w:val="230"/>
        </w:trPr>
        <w:tc>
          <w:tcPr>
            <w:tcW w:w="57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420"/>
          </w:cols>
          <w:pgMar w:left="240" w:top="337" w:right="239" w:bottom="0" w:gutter="0" w:footer="0" w:header="0"/>
        </w:sectPr>
      </w:pPr>
    </w:p>
    <w:bookmarkStart w:id="30" w:name="page31"/>
    <w:bookmarkEnd w:id="30"/>
    <w:p>
      <w:pPr>
        <w:ind w:left="4540"/>
        <w:spacing w:after="0"/>
        <w:rPr>
          <w:sz w:val="20"/>
          <w:szCs w:val="20"/>
          <w:color w:val="auto"/>
        </w:rPr>
      </w:pPr>
      <w:r>
        <w:rPr>
          <w:rFonts w:ascii="Arial" w:cs="Arial" w:eastAsia="Arial" w:hAnsi="Arial"/>
          <w:sz w:val="17"/>
          <w:szCs w:val="17"/>
          <w:i w:val="1"/>
          <w:iCs w:val="1"/>
          <w:color w:val="auto"/>
        </w:rPr>
        <w:t>(Principal Financial Officer)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11, 2009</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2980" w:type="dxa"/>
            <w:vAlign w:val="bottom"/>
          </w:tcPr>
          <w:p>
            <w:pPr>
              <w:ind w:left="228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980" w:type="dxa"/>
            <w:vAlign w:val="bottom"/>
          </w:tcPr>
          <w:p>
            <w:pPr>
              <w:ind w:left="22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980" w:type="dxa"/>
            <w:vAlign w:val="bottom"/>
          </w:tcPr>
          <w:p>
            <w:pPr>
              <w:jc w:val="right"/>
              <w:ind w:right="690"/>
              <w:spacing w:after="0"/>
              <w:rPr>
                <w:sz w:val="20"/>
                <w:szCs w:val="20"/>
                <w:color w:val="auto"/>
              </w:rPr>
            </w:pPr>
            <w:r>
              <w:rPr>
                <w:rFonts w:ascii="Arial" w:cs="Arial" w:eastAsia="Arial" w:hAnsi="Arial"/>
                <w:sz w:val="18"/>
                <w:szCs w:val="18"/>
                <w:color w:val="auto"/>
              </w:rPr>
              <w:t>1</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11, 2009</w:t>
            </w:r>
          </w:p>
        </w:tc>
        <w:tc>
          <w:tcPr>
            <w:tcW w:w="2840" w:type="dxa"/>
            <w:vAlign w:val="bottom"/>
          </w:tcPr>
          <w:p>
            <w:pPr>
              <w:ind w:left="21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28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40" w:type="dxa"/>
            <w:vAlign w:val="bottom"/>
          </w:tcPr>
          <w:p>
            <w:pPr>
              <w:ind w:left="21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May 11, 2009</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May 11, 2009</w:t>
            </w:r>
          </w:p>
        </w:tc>
        <w:tc>
          <w:tcPr>
            <w:tcW w:w="40" w:type="dxa"/>
            <w:vAlign w:val="bottom"/>
          </w:tcPr>
          <w:p>
            <w:pPr>
              <w:spacing w:after="0"/>
              <w:rPr>
                <w:sz w:val="20"/>
                <w:szCs w:val="20"/>
                <w:color w:val="auto"/>
              </w:rPr>
            </w:pPr>
          </w:p>
        </w:tc>
      </w:tr>
      <w:tr>
        <w:trPr>
          <w:trHeight w:val="432"/>
        </w:trPr>
        <w:tc>
          <w:tcPr>
            <w:tcW w:w="6400" w:type="dxa"/>
            <w:vAlign w:val="bottom"/>
          </w:tcPr>
          <w:p>
            <w:pPr>
              <w:ind w:left="5660"/>
              <w:spacing w:after="0"/>
              <w:rPr>
                <w:sz w:val="20"/>
                <w:szCs w:val="20"/>
                <w:color w:val="auto"/>
              </w:rPr>
            </w:pPr>
            <w:r>
              <w:rPr>
                <w:rFonts w:ascii="Arial" w:cs="Arial" w:eastAsia="Arial" w:hAnsi="Arial"/>
                <w:sz w:val="18"/>
                <w:szCs w:val="18"/>
                <w:color w:val="auto"/>
              </w:rPr>
              <w:t>1</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2019-12-10T23:16:23Z</dcterms:created>
  <dcterms:modified xsi:type="dcterms:W3CDTF">2019-12-10T23:16:23Z</dcterms:modified>
</cp:coreProperties>
</file>