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-224155</wp:posOffset>
            </wp:positionV>
            <wp:extent cx="3526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-127635</wp:posOffset>
            </wp:positionV>
            <wp:extent cx="3526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139" w:lineRule="exact"/>
        <w:rPr>
          <w:sz w:val="24"/>
          <w:szCs w:val="24"/>
          <w:color w:val="auto"/>
        </w:rPr>
      </w:pPr>
    </w:p>
    <w:p>
      <w:pPr>
        <w:ind w:left="740" w:right="260" w:hanging="693"/>
        <w:spacing w:after="0" w:line="258" w:lineRule="auto"/>
        <w:tabs>
          <w:tab w:leader="none" w:pos="74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2" w:lineRule="exact"/>
        <w:rPr>
          <w:sz w:val="24"/>
          <w:szCs w:val="24"/>
          <w:color w:val="auto"/>
        </w:rPr>
      </w:pPr>
    </w:p>
    <w:p>
      <w:pPr>
        <w:ind w:left="740" w:hanging="69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21"/>
          <w:szCs w:val="21"/>
          <w:b w:val="1"/>
          <w:bCs w:val="1"/>
          <w:color w:val="auto"/>
        </w:rPr>
        <w:t>TRANSITION REPORT PURSUANT TO SECTION 13 OR 15(d) OF THE SECURITIES EXCHANGE ACT OF</w:t>
      </w:r>
    </w:p>
    <w:p>
      <w:pPr>
        <w:spacing w:after="0" w:line="23" w:lineRule="exact"/>
        <w:rPr>
          <w:sz w:val="24"/>
          <w:szCs w:val="24"/>
          <w:color w:val="auto"/>
        </w:rPr>
      </w:pPr>
    </w:p>
    <w:p>
      <w:pPr>
        <w:ind w:left="740"/>
        <w:spacing w:after="0"/>
        <w:rPr>
          <w:sz w:val="20"/>
          <w:szCs w:val="20"/>
          <w:color w:val="auto"/>
        </w:rPr>
      </w:pPr>
      <w:r>
        <w:rPr>
          <w:rFonts w:ascii="Arial" w:cs="Arial" w:eastAsia="Arial" w:hAnsi="Arial"/>
          <w:sz w:val="21"/>
          <w:szCs w:val="21"/>
          <w:b w:val="1"/>
          <w:bCs w:val="1"/>
          <w:color w:val="auto"/>
        </w:rPr>
        <w:t>1934</w:t>
      </w:r>
    </w:p>
    <w:tbl>
      <w:tblPr>
        <w:tblLayout w:type="fixed"/>
        <w:tblInd w:w="3500" w:type="dxa"/>
        <w:tblCellMar>
          <w:top w:w="0" w:type="dxa"/>
          <w:left w:w="0" w:type="dxa"/>
          <w:bottom w:w="0" w:type="dxa"/>
          <w:right w:w="0" w:type="dxa"/>
        </w:tblCellMar>
      </w:tblPr>
      <w:tr>
        <w:trPr>
          <w:trHeight w:val="204"/>
        </w:trPr>
        <w:tc>
          <w:tcPr>
            <w:tcW w:w="2360" w:type="dxa"/>
            <w:vAlign w:val="bottom"/>
          </w:tcPr>
          <w:p>
            <w:pPr>
              <w:spacing w:after="0" w:line="203" w:lineRule="exact"/>
              <w:rPr>
                <w:sz w:val="20"/>
                <w:szCs w:val="20"/>
                <w:color w:val="auto"/>
              </w:rPr>
            </w:pPr>
            <w:r>
              <w:rPr>
                <w:rFonts w:ascii="Arial" w:cs="Arial" w:eastAsia="Arial" w:hAnsi="Arial"/>
                <w:sz w:val="18"/>
                <w:szCs w:val="18"/>
                <w:b w:val="1"/>
                <w:bCs w:val="1"/>
                <w:color w:val="auto"/>
                <w:w w:val="92"/>
              </w:rPr>
              <w:t>For the transition period from</w:t>
            </w:r>
          </w:p>
        </w:tc>
        <w:tc>
          <w:tcPr>
            <w:tcW w:w="880" w:type="dxa"/>
            <w:vAlign w:val="bottom"/>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Arial" w:cs="Arial" w:eastAsia="Arial" w:hAnsi="Arial"/>
                <w:sz w:val="18"/>
                <w:szCs w:val="18"/>
                <w:b w:val="1"/>
                <w:bCs w:val="1"/>
                <w:color w:val="auto"/>
                <w:w w:val="93"/>
              </w:rPr>
              <w:t>to</w:t>
            </w:r>
          </w:p>
        </w:tc>
        <w:tc>
          <w:tcPr>
            <w:tcW w:w="520" w:type="dxa"/>
            <w:vAlign w:val="bottom"/>
          </w:tcPr>
          <w:p>
            <w:pPr>
              <w:spacing w:after="0"/>
              <w:rPr>
                <w:sz w:val="17"/>
                <w:szCs w:val="17"/>
                <w:color w:val="auto"/>
              </w:rPr>
            </w:pPr>
          </w:p>
        </w:tc>
        <w:tc>
          <w:tcPr>
            <w:tcW w:w="42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w:t>
            </w:r>
          </w:p>
        </w:tc>
      </w:tr>
      <w:tr>
        <w:trPr>
          <w:trHeight w:val="20"/>
        </w:trPr>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4000" w:type="dxa"/>
            <w:vAlign w:val="bottom"/>
            <w:gridSpan w:val="4"/>
          </w:tcPr>
          <w:p>
            <w:pPr>
              <w:ind w:left="800"/>
              <w:spacing w:after="0"/>
              <w:rPr>
                <w:sz w:val="20"/>
                <w:szCs w:val="20"/>
                <w:color w:val="auto"/>
              </w:rPr>
            </w:pPr>
            <w:r>
              <w:rPr>
                <w:rFonts w:ascii="Arial" w:cs="Arial" w:eastAsia="Arial" w:hAnsi="Arial"/>
                <w:sz w:val="18"/>
                <w:szCs w:val="18"/>
                <w:b w:val="1"/>
                <w:bCs w:val="1"/>
                <w:color w:val="auto"/>
              </w:rPr>
              <w:t>Commission File Number: 001-32269</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-302895</wp:posOffset>
            </wp:positionV>
            <wp:extent cx="3526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165100</wp:posOffset>
            </wp:positionV>
            <wp:extent cx="3526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6155" cy="8255"/>
                    </a:xfrm>
                    <a:prstGeom prst="rect">
                      <a:avLst/>
                    </a:prstGeom>
                    <a:noFill/>
                  </pic:spPr>
                </pic:pic>
              </a:graphicData>
            </a:graphic>
          </wp:anchor>
        </w:drawing>
      </w:r>
    </w:p>
    <w:p>
      <w:pPr>
        <w:sectPr>
          <w:pgSz w:w="11900" w:h="16838" w:orient="portrait"/>
          <w:cols w:equalWidth="0" w:num="1">
            <w:col w:w="11400"/>
          </w:cols>
          <w:pgMar w:left="240" w:top="1048" w:right="25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20-1076777</w:t>
      </w:r>
    </w:p>
    <w:p>
      <w:pPr>
        <w:spacing w:after="0" w:line="79" w:lineRule="exact"/>
        <w:rPr>
          <w:sz w:val="24"/>
          <w:szCs w:val="24"/>
          <w:color w:val="auto"/>
        </w:rPr>
      </w:pPr>
    </w:p>
    <w:p>
      <w:pPr>
        <w:sectPr>
          <w:pgSz w:w="11900" w:h="16838" w:orient="portrait"/>
          <w:cols w:equalWidth="0" w:num="2">
            <w:col w:w="7520" w:space="720"/>
            <w:col w:w="3160"/>
          </w:cols>
          <w:pgMar w:left="240" w:top="1048" w:right="25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80" w:space="720"/>
            <w:col w:w="3300"/>
          </w:cols>
          <w:pgMar w:left="240" w:top="1048" w:right="25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2795 East Cottonwood Parkway, Suite 300</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400"/>
          </w:cols>
          <w:pgMar w:left="240" w:top="1048" w:right="259" w:bottom="1440" w:gutter="0" w:footer="0" w:header="0"/>
          <w:type w:val="continuous"/>
        </w:sectPr>
      </w:pP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25" w:lineRule="exact"/>
        <w:rPr>
          <w:sz w:val="24"/>
          <w:szCs w:val="24"/>
          <w:color w:val="auto"/>
        </w:rPr>
      </w:pPr>
    </w:p>
    <w:p>
      <w:pPr>
        <w:ind w:right="240" w:firstLine="32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6" w:lineRule="exact"/>
        <w:rPr>
          <w:sz w:val="24"/>
          <w:szCs w:val="24"/>
          <w:color w:val="auto"/>
        </w:rPr>
      </w:pPr>
    </w:p>
    <w:p>
      <w:pPr>
        <w:ind w:right="300" w:firstLine="32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6" w:lineRule="exact"/>
        <w:rPr>
          <w:sz w:val="24"/>
          <w:szCs w:val="24"/>
          <w:color w:val="auto"/>
        </w:rPr>
      </w:pPr>
    </w:p>
    <w:p>
      <w:pPr>
        <w:ind w:firstLine="32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40"/>
              <w:spacing w:after="0"/>
              <w:rPr>
                <w:sz w:val="20"/>
                <w:szCs w:val="20"/>
                <w:color w:val="auto"/>
              </w:rPr>
            </w:pPr>
            <w:r>
              <w:rPr>
                <w:rFonts w:ascii="Arial" w:cs="Arial" w:eastAsia="Arial" w:hAnsi="Arial"/>
                <w:sz w:val="18"/>
                <w:szCs w:val="18"/>
                <w:color w:val="auto"/>
              </w:rPr>
              <w:t>x</w:t>
            </w:r>
          </w:p>
        </w:tc>
        <w:tc>
          <w:tcPr>
            <w:tcW w:w="532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o</w:t>
            </w:r>
          </w:p>
        </w:tc>
      </w:tr>
      <w:tr>
        <w:trPr>
          <w:trHeight w:val="268"/>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40"/>
              <w:spacing w:after="0"/>
              <w:rPr>
                <w:sz w:val="20"/>
                <w:szCs w:val="20"/>
                <w:color w:val="auto"/>
              </w:rPr>
            </w:pPr>
            <w:r>
              <w:rPr>
                <w:rFonts w:ascii="Arial" w:cs="Arial" w:eastAsia="Arial" w:hAnsi="Arial"/>
                <w:sz w:val="18"/>
                <w:szCs w:val="18"/>
                <w:color w:val="auto"/>
              </w:rPr>
              <w:t>o</w:t>
            </w:r>
          </w:p>
        </w:tc>
        <w:tc>
          <w:tcPr>
            <w:tcW w:w="532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o</w:t>
            </w:r>
          </w:p>
        </w:tc>
      </w:tr>
      <w:tr>
        <w:trPr>
          <w:trHeight w:val="268"/>
        </w:trPr>
        <w:tc>
          <w:tcPr>
            <w:tcW w:w="19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532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o</w:t>
            </w:r>
          </w:p>
        </w:tc>
      </w:tr>
    </w:tbl>
    <w:p>
      <w:pPr>
        <w:spacing w:after="0" w:line="228" w:lineRule="exact"/>
        <w:rPr>
          <w:sz w:val="24"/>
          <w:szCs w:val="24"/>
          <w:color w:val="auto"/>
        </w:rPr>
      </w:pPr>
    </w:p>
    <w:p>
      <w:pPr>
        <w:ind w:right="100" w:firstLine="321"/>
        <w:spacing w:after="0" w:line="27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5" w:lineRule="exact"/>
        <w:rPr>
          <w:sz w:val="24"/>
          <w:szCs w:val="24"/>
          <w:color w:val="auto"/>
        </w:rPr>
      </w:pPr>
    </w:p>
    <w:p>
      <w:pPr>
        <w:ind w:left="320"/>
        <w:spacing w:after="0"/>
        <w:tabs>
          <w:tab w:leader="none" w:pos="8580" w:val="left"/>
          <w:tab w:leader="none" w:pos="9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No x</w:t>
      </w:r>
    </w:p>
    <w:p>
      <w:pPr>
        <w:sectPr>
          <w:pgSz w:w="11900" w:h="16838" w:orient="portrait"/>
          <w:cols w:equalWidth="0" w:num="1">
            <w:col w:w="11400"/>
          </w:cols>
          <w:pgMar w:left="240" w:top="1048"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par value $0.01 per share, as of October 31, 2018, was 126,515,354.</w:t>
      </w:r>
    </w:p>
    <w:p>
      <w:pPr>
        <w:sectPr>
          <w:pgSz w:w="11900" w:h="16838" w:orient="portrait"/>
          <w:cols w:equalWidth="0" w:num="1">
            <w:col w:w="9899"/>
          </w:cols>
          <w:pgMar w:left="560" w:top="580"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12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STATEMENT ON FORWARD-LOOKING INFORMATION</w:t>
              </w:r>
            </w:hyperlink>
          </w:p>
        </w:tc>
        <w:tc>
          <w:tcPr>
            <w:tcW w:w="12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368"/>
        </w:trPr>
        <w:tc>
          <w:tcPr>
            <w:tcW w:w="30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1600" w:type="dxa"/>
            <w:vAlign w:val="bottom"/>
            <w:tcBorders>
              <w:top w:val="single" w:sz="8" w:color="0000EE"/>
            </w:tcBorders>
            <w:gridSpan w:val="5"/>
          </w:tcPr>
          <w:p>
            <w:pPr>
              <w:spacing w:after="0"/>
              <w:rPr>
                <w:sz w:val="24"/>
                <w:szCs w:val="24"/>
                <w:color w:val="auto"/>
              </w:rPr>
            </w:pPr>
          </w:p>
        </w:tc>
        <w:tc>
          <w:tcPr>
            <w:tcW w:w="5480" w:type="dxa"/>
            <w:vAlign w:val="bottom"/>
            <w:gridSpan w:val="4"/>
          </w:tcPr>
          <w:p>
            <w:pPr>
              <w:spacing w:after="0"/>
              <w:rPr>
                <w:sz w:val="24"/>
                <w:szCs w:val="24"/>
                <w:color w:val="auto"/>
              </w:rPr>
            </w:pPr>
          </w:p>
        </w:tc>
        <w:tc>
          <w:tcPr>
            <w:tcW w:w="114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48"/>
        </w:trPr>
        <w:tc>
          <w:tcPr>
            <w:tcW w:w="34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 FINANCIAL STATEMENTS</w:t>
              </w:r>
            </w:hyperlink>
          </w:p>
        </w:tc>
        <w:tc>
          <w:tcPr>
            <w:tcW w:w="12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780" w:type="dxa"/>
            <w:vAlign w:val="bottom"/>
            <w:tcBorders>
              <w:bottom w:val="single" w:sz="8" w:color="0000EE"/>
            </w:tcBorders>
            <w:gridSpan w:val="14"/>
          </w:tcPr>
          <w:p>
            <w:pPr>
              <w:spacing w:after="0"/>
              <w:rPr>
                <w:rFonts w:ascii="Arial" w:cs="Arial" w:eastAsia="Arial" w:hAnsi="Arial"/>
                <w:sz w:val="18"/>
                <w:szCs w:val="18"/>
                <w:b w:val="1"/>
                <w:bCs w:val="1"/>
                <w:color w:val="0000EE"/>
                <w:w w:val="97"/>
              </w:rPr>
            </w:pPr>
            <w:hyperlink w:anchor="page11">
              <w:r>
                <w:rPr>
                  <w:rFonts w:ascii="Arial" w:cs="Arial" w:eastAsia="Arial" w:hAnsi="Arial"/>
                  <w:sz w:val="18"/>
                  <w:szCs w:val="18"/>
                  <w:b w:val="1"/>
                  <w:bCs w:val="1"/>
                  <w:color w:val="0000EE"/>
                  <w:w w:val="97"/>
                </w:rPr>
                <w:t>NOTES TO CONDENSED CONSOLIDATED FINANCIAL STATEMENTS (unaudited)</w:t>
              </w:r>
            </w:hyperlink>
          </w:p>
        </w:tc>
        <w:tc>
          <w:tcPr>
            <w:tcW w:w="228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48"/>
        </w:trPr>
        <w:tc>
          <w:tcPr>
            <w:tcW w:w="34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 MANAGEMENT’S DISCUSSION AND ANALYSIS OF FINANCIAL CONDITION AND RESULTS OF</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40" w:type="dxa"/>
            <w:vAlign w:val="bottom"/>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gridSpan w:val="3"/>
          </w:tcPr>
          <w:p>
            <w:pPr>
              <w:spacing w:after="0" w:line="195"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OPERATIONS</w:t>
              </w:r>
            </w:hyperlink>
          </w:p>
        </w:tc>
        <w:tc>
          <w:tcPr>
            <w:tcW w:w="6800" w:type="dxa"/>
            <w:vAlign w:val="bottom"/>
            <w:tcBorders>
              <w:top w:val="single" w:sz="8" w:color="0000EE"/>
            </w:tcBorders>
            <w:gridSpan w:val="12"/>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right"/>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7040" w:type="dxa"/>
            <w:vAlign w:val="bottom"/>
            <w:gridSpan w:val="14"/>
          </w:tcPr>
          <w:p>
            <w:pPr>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ITEM 3. QUANTITATIVE AND QUALITATIVE DISCLOSURES ABOUT MARKET RISK</w:t>
              </w:r>
            </w:hyperlink>
          </w:p>
        </w:tc>
        <w:tc>
          <w:tcPr>
            <w:tcW w:w="2740" w:type="dxa"/>
            <w:vAlign w:val="bottom"/>
            <w:gridSpan w:val="3"/>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2740" w:type="dxa"/>
            <w:vAlign w:val="bottom"/>
            <w:tcBorders>
              <w:left w:val="single" w:sz="8" w:color="0000EE"/>
            </w:tcBorders>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7040" w:type="dxa"/>
            <w:vAlign w:val="bottom"/>
            <w:gridSpan w:val="1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 CONTROLS AND PROCEDURES</w:t>
              </w:r>
            </w:hyperlink>
          </w:p>
        </w:tc>
        <w:tc>
          <w:tcPr>
            <w:tcW w:w="2740" w:type="dxa"/>
            <w:vAlign w:val="bottom"/>
            <w:gridSpan w:val="3"/>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68"/>
        </w:trPr>
        <w:tc>
          <w:tcPr>
            <w:tcW w:w="2740" w:type="dxa"/>
            <w:vAlign w:val="bottom"/>
            <w:gridSpan w:val="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7380" w:type="dxa"/>
            <w:vAlign w:val="bottom"/>
            <w:gridSpan w:val="11"/>
          </w:tcPr>
          <w:p>
            <w:pPr>
              <w:spacing w:after="0"/>
              <w:rPr>
                <w:sz w:val="24"/>
                <w:szCs w:val="24"/>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2680" w:type="dxa"/>
            <w:vAlign w:val="bottom"/>
            <w:gridSpan w:val="7"/>
          </w:tcPr>
          <w:p>
            <w:pPr>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ITEM 1. LEGAL PROCEEDINGS</w:t>
              </w:r>
            </w:hyperlink>
          </w:p>
        </w:tc>
        <w:tc>
          <w:tcPr>
            <w:tcW w:w="7100" w:type="dxa"/>
            <w:vAlign w:val="bottom"/>
            <w:gridSpan w:val="10"/>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2680" w:type="dxa"/>
            <w:vAlign w:val="bottom"/>
            <w:gridSpan w:val="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1A. RISK FACTORS</w:t>
              </w:r>
            </w:hyperlink>
          </w:p>
        </w:tc>
        <w:tc>
          <w:tcPr>
            <w:tcW w:w="7100" w:type="dxa"/>
            <w:vAlign w:val="bottom"/>
            <w:gridSpan w:val="10"/>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7040" w:type="dxa"/>
            <w:vAlign w:val="bottom"/>
            <w:gridSpan w:val="14"/>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ITEM 2. UNREGISTERED SALES OF EQUITY SECURITIES AND USE OF PROCEEDS</w:t>
              </w:r>
            </w:hyperlink>
          </w:p>
        </w:tc>
        <w:tc>
          <w:tcPr>
            <w:tcW w:w="2740" w:type="dxa"/>
            <w:vAlign w:val="bottom"/>
            <w:gridSpan w:val="3"/>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7040" w:type="dxa"/>
            <w:vAlign w:val="bottom"/>
            <w:gridSpan w:val="14"/>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3. DEFAULTS UPON SENIOR SECURITIES</w:t>
              </w:r>
            </w:hyperlink>
          </w:p>
        </w:tc>
        <w:tc>
          <w:tcPr>
            <w:tcW w:w="2740" w:type="dxa"/>
            <w:vAlign w:val="bottom"/>
            <w:gridSpan w:val="3"/>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3240" w:type="dxa"/>
            <w:vAlign w:val="bottom"/>
            <w:gridSpan w:val="10"/>
          </w:tcPr>
          <w:p>
            <w:pPr>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ITEM 4. MINE SAFETY DISCLOSURES</w:t>
              </w:r>
            </w:hyperlink>
          </w:p>
        </w:tc>
        <w:tc>
          <w:tcPr>
            <w:tcW w:w="780" w:type="dxa"/>
            <w:vAlign w:val="bottom"/>
            <w:gridSpan w:val="2"/>
          </w:tcPr>
          <w:p>
            <w:pPr>
              <w:spacing w:after="0"/>
              <w:rPr>
                <w:sz w:val="21"/>
                <w:szCs w:val="21"/>
                <w:color w:val="auto"/>
              </w:rPr>
            </w:pPr>
          </w:p>
        </w:tc>
        <w:tc>
          <w:tcPr>
            <w:tcW w:w="5760" w:type="dxa"/>
            <w:vAlign w:val="bottom"/>
            <w:gridSpan w:val="5"/>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3240" w:type="dxa"/>
            <w:vAlign w:val="bottom"/>
            <w:gridSpan w:val="1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5. OTHER INFORMATION</w:t>
              </w:r>
            </w:hyperlink>
          </w:p>
        </w:tc>
        <w:tc>
          <w:tcPr>
            <w:tcW w:w="6540" w:type="dxa"/>
            <w:vAlign w:val="bottom"/>
            <w:gridSpan w:val="7"/>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2700" w:type="dxa"/>
            <w:vAlign w:val="bottom"/>
            <w:gridSpan w:val="8"/>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6. EXHIBITS</w:t>
              </w:r>
            </w:hyperlink>
          </w:p>
        </w:tc>
        <w:tc>
          <w:tcPr>
            <w:tcW w:w="7080" w:type="dxa"/>
            <w:vAlign w:val="bottom"/>
            <w:gridSpan w:val="9"/>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1560" w:type="dxa"/>
            <w:vAlign w:val="bottom"/>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8220" w:type="dxa"/>
            <w:vAlign w:val="bottom"/>
            <w:gridSpan w:val="14"/>
          </w:tcPr>
          <w:p>
            <w:pPr>
              <w:spacing w:after="0"/>
              <w:rPr>
                <w:sz w:val="21"/>
                <w:szCs w:val="21"/>
                <w:color w:val="auto"/>
              </w:rPr>
            </w:pPr>
          </w:p>
        </w:tc>
        <w:tc>
          <w:tcPr>
            <w:tcW w:w="124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955"/>
        </w:trPr>
        <w:tc>
          <w:tcPr>
            <w:tcW w:w="340" w:type="dxa"/>
            <w:vAlign w:val="bottom"/>
          </w:tcPr>
          <w:p>
            <w:pPr>
              <w:spacing w:after="0"/>
              <w:rPr>
                <w:sz w:val="24"/>
                <w:szCs w:val="24"/>
                <w:color w:val="auto"/>
              </w:rPr>
            </w:pPr>
          </w:p>
        </w:tc>
        <w:tc>
          <w:tcPr>
            <w:tcW w:w="1140" w:type="dxa"/>
            <w:vAlign w:val="bottom"/>
            <w:tcBorders>
              <w:top w:val="single" w:sz="8" w:color="0000EE"/>
            </w:tcBorders>
            <w:gridSpan w:val="2"/>
          </w:tcPr>
          <w:p>
            <w:pPr>
              <w:spacing w:after="0"/>
              <w:rPr>
                <w:sz w:val="24"/>
                <w:szCs w:val="24"/>
                <w:color w:val="auto"/>
              </w:rPr>
            </w:pPr>
          </w:p>
        </w:tc>
        <w:tc>
          <w:tcPr>
            <w:tcW w:w="5900" w:type="dxa"/>
            <w:vAlign w:val="bottom"/>
            <w:gridSpan w:val="12"/>
          </w:tcPr>
          <w:p>
            <w:pPr>
              <w:jc w:val="right"/>
              <w:ind w:right="16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7" w:lineRule="exact"/>
        <w:rPr>
          <w:sz w:val="20"/>
          <w:szCs w:val="20"/>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2" w:lineRule="exact"/>
        <w:rPr>
          <w:rFonts w:ascii="Arial" w:cs="Arial" w:eastAsia="Arial" w:hAnsi="Arial"/>
          <w:sz w:val="17"/>
          <w:szCs w:val="17"/>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0" w:lineRule="exact"/>
        <w:rPr>
          <w:rFonts w:ascii="Arial" w:cs="Arial" w:eastAsia="Arial" w:hAnsi="Arial"/>
          <w:sz w:val="18"/>
          <w:szCs w:val="18"/>
          <w:color w:val="auto"/>
        </w:rPr>
      </w:pPr>
    </w:p>
    <w:p>
      <w:pPr>
        <w:ind w:left="540" w:right="340" w:hanging="319"/>
        <w:spacing w:after="0" w:line="31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ind w:left="540" w:hanging="319"/>
        <w:spacing w:after="0" w:line="27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14"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0" w:lineRule="exact"/>
        <w:rPr>
          <w:rFonts w:ascii="Arial" w:cs="Arial" w:eastAsia="Arial" w:hAnsi="Arial"/>
          <w:sz w:val="18"/>
          <w:szCs w:val="18"/>
          <w:color w:val="auto"/>
        </w:rPr>
      </w:pPr>
    </w:p>
    <w:p>
      <w:pPr>
        <w:ind w:left="540" w:hanging="3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6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2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5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60" w:type="dxa"/>
            <w:vAlign w:val="bottom"/>
          </w:tcPr>
          <w:p>
            <w:pPr>
              <w:spacing w:after="0"/>
              <w:rPr>
                <w:sz w:val="24"/>
                <w:szCs w:val="24"/>
                <w:color w:val="auto"/>
              </w:rPr>
            </w:pPr>
          </w:p>
        </w:tc>
        <w:tc>
          <w:tcPr>
            <w:tcW w:w="7120" w:type="dxa"/>
            <w:vAlign w:val="bottom"/>
          </w:tcPr>
          <w:p>
            <w:pPr>
              <w:jc w:val="center"/>
              <w:ind w:left="2691"/>
              <w:spacing w:after="0"/>
              <w:rPr>
                <w:sz w:val="20"/>
                <w:szCs w:val="20"/>
                <w:color w:val="auto"/>
              </w:rPr>
            </w:pPr>
            <w:r>
              <w:rPr>
                <w:rFonts w:ascii="Arial" w:cs="Arial" w:eastAsia="Arial" w:hAnsi="Arial"/>
                <w:sz w:val="18"/>
                <w:szCs w:val="18"/>
                <w:b w:val="1"/>
                <w:bCs w:val="1"/>
                <w:color w:val="auto"/>
                <w:w w:val="89"/>
              </w:rPr>
              <w:t>Extra Space Storage Inc.</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7120" w:type="dxa"/>
            <w:vAlign w:val="bottom"/>
          </w:tcPr>
          <w:p>
            <w:pPr>
              <w:jc w:val="center"/>
              <w:ind w:left="2691"/>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7120" w:type="dxa"/>
            <w:vAlign w:val="bottom"/>
          </w:tcPr>
          <w:p>
            <w:pPr>
              <w:jc w:val="center"/>
              <w:ind w:left="2691"/>
              <w:spacing w:after="0"/>
              <w:rPr>
                <w:sz w:val="20"/>
                <w:szCs w:val="20"/>
                <w:color w:val="auto"/>
              </w:rPr>
            </w:pPr>
            <w:r>
              <w:rPr>
                <w:rFonts w:ascii="Arial" w:cs="Arial" w:eastAsia="Arial" w:hAnsi="Arial"/>
                <w:sz w:val="18"/>
                <w:szCs w:val="18"/>
                <w:color w:val="auto"/>
                <w:w w:val="87"/>
              </w:rPr>
              <w:t>(amounts in thousands, except share data)</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7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September 30, 2018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Real estate assets,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7,425,806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7,132,431</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75,907</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45,378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55,683</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30,361</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191,850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166,571</w:t>
            </w:r>
          </w:p>
        </w:tc>
        <w:tc>
          <w:tcPr>
            <w:tcW w:w="0" w:type="dxa"/>
            <w:vAlign w:val="bottom"/>
          </w:tcPr>
          <w:p>
            <w:pPr>
              <w:spacing w:after="0"/>
              <w:rPr>
                <w:sz w:val="1"/>
                <w:szCs w:val="1"/>
                <w:color w:val="auto"/>
              </w:rPr>
            </w:pPr>
          </w:p>
        </w:tc>
      </w:tr>
      <w:tr>
        <w:trPr>
          <w:trHeight w:val="28"/>
        </w:trPr>
        <w:tc>
          <w:tcPr>
            <w:tcW w:w="76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76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7,798,690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7,460,953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78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Notes payable,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4,104,955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3,738,497</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Exchangeable senior notes, net</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560,613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604,276</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Notes payable to trusts,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117,444</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Revolving lines of credit</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distributions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126,539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96,087</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81,026</w:t>
            </w: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5,028,596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4,737,146</w:t>
            </w:r>
          </w:p>
        </w:tc>
        <w:tc>
          <w:tcPr>
            <w:tcW w:w="0" w:type="dxa"/>
            <w:vAlign w:val="bottom"/>
          </w:tcPr>
          <w:p>
            <w:pPr>
              <w:spacing w:after="0"/>
              <w:rPr>
                <w:sz w:val="1"/>
                <w:szCs w:val="1"/>
                <w:color w:val="auto"/>
              </w:rPr>
            </w:pPr>
          </w:p>
        </w:tc>
      </w:tr>
      <w:tr>
        <w:trPr>
          <w:trHeight w:val="28"/>
        </w:trPr>
        <w:tc>
          <w:tcPr>
            <w:tcW w:w="7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Noncontrolling Interests and Equity:</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w w:val="97"/>
              </w:rPr>
              <w:t>Preferred stock, $0.01 par value, 50,000,000 shares authorized, no shares issued or outstanding</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Common stock, $0.01 par value, 500,000,000 shares authorized, 126,504,802 and 126,007,091 shares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at September 30, 2018 and December 31, 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2,581,158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2,569,485</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33,290</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(255,065)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(253,284)</w:t>
            </w:r>
          </w:p>
        </w:tc>
        <w:tc>
          <w:tcPr>
            <w:tcW w:w="0" w:type="dxa"/>
            <w:vAlign w:val="bottom"/>
          </w:tcPr>
          <w:p>
            <w:pPr>
              <w:spacing w:after="0"/>
              <w:rPr>
                <w:sz w:val="1"/>
                <w:szCs w:val="1"/>
                <w:color w:val="auto"/>
              </w:rPr>
            </w:pPr>
          </w:p>
        </w:tc>
      </w:tr>
      <w:tr>
        <w:trPr>
          <w:trHeight w:val="28"/>
        </w:trPr>
        <w:tc>
          <w:tcPr>
            <w:tcW w:w="76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2,350,751</w:t>
            </w:r>
          </w:p>
        </w:tc>
        <w:tc>
          <w:tcPr>
            <w:tcW w:w="0" w:type="dxa"/>
            <w:vAlign w:val="bottom"/>
          </w:tcPr>
          <w:p>
            <w:pPr>
              <w:spacing w:after="0"/>
              <w:rPr>
                <w:sz w:val="1"/>
                <w:szCs w:val="1"/>
                <w:color w:val="auto"/>
              </w:rPr>
            </w:pPr>
          </w:p>
        </w:tc>
      </w:tr>
      <w:tr>
        <w:trPr>
          <w:trHeight w:val="227"/>
        </w:trPr>
        <w:tc>
          <w:tcPr>
            <w:tcW w:w="7880" w:type="dxa"/>
            <w:vAlign w:val="bottom"/>
            <w:gridSpan w:val="2"/>
          </w:tcPr>
          <w:p>
            <w:pPr>
              <w:ind w:left="380"/>
              <w:spacing w:after="0"/>
              <w:rPr>
                <w:sz w:val="20"/>
                <w:szCs w:val="20"/>
                <w:color w:val="auto"/>
              </w:rPr>
            </w:pPr>
            <w:r>
              <w:rPr>
                <w:rFonts w:ascii="Arial" w:cs="Arial" w:eastAsia="Arial" w:hAnsi="Arial"/>
                <w:sz w:val="18"/>
                <w:szCs w:val="18"/>
                <w:color w:val="auto"/>
                <w:w w:val="96"/>
              </w:rPr>
              <w:t>Noncontrolling interest represented by Preferred Operating Partnership units, net of $119,735 and</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$120,230 notes receivable as of September 30, 2018 and December 31, 2017, respectively</w:t>
            </w:r>
          </w:p>
        </w:tc>
        <w:tc>
          <w:tcPr>
            <w:tcW w:w="20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160,250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159,636</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 in Operating Partnership</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213,301</w:t>
            </w:r>
          </w:p>
        </w:tc>
        <w:tc>
          <w:tcPr>
            <w:tcW w:w="0" w:type="dxa"/>
            <w:vAlign w:val="bottom"/>
          </w:tcPr>
          <w:p>
            <w:pPr>
              <w:spacing w:after="0"/>
              <w:rPr>
                <w:sz w:val="1"/>
                <w:szCs w:val="1"/>
                <w:color w:val="auto"/>
              </w:rPr>
            </w:pPr>
          </w:p>
        </w:tc>
      </w:tr>
      <w:tr>
        <w:trPr>
          <w:trHeight w:val="23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Other noncontrolling interests</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8"/>
        </w:trPr>
        <w:tc>
          <w:tcPr>
            <w:tcW w:w="76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6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noncontrolling interests and equity</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2,770,094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2,723,807</w:t>
            </w: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Total liabilities, noncontrolling interests and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7,798,690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7,460,953</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5040" w:type="dxa"/>
        <w:tblCellMar>
          <w:top w:w="0" w:type="dxa"/>
          <w:left w:w="0" w:type="dxa"/>
          <w:bottom w:w="0" w:type="dxa"/>
          <w:right w:w="0" w:type="dxa"/>
        </w:tblCellMar>
      </w:tblPr>
      <w:tr>
        <w:trPr>
          <w:trHeight w:val="191"/>
        </w:trPr>
        <w:tc>
          <w:tcPr>
            <w:tcW w:w="336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the Three Months Ended September 30,</w:t>
            </w:r>
          </w:p>
        </w:tc>
        <w:tc>
          <w:tcPr>
            <w:tcW w:w="30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255"/>
        </w:trPr>
        <w:tc>
          <w:tcPr>
            <w:tcW w:w="1560" w:type="dxa"/>
            <w:vAlign w:val="bottom"/>
            <w:tcBorders>
              <w:top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2"/>
                <w:szCs w:val="22"/>
                <w:color w:val="auto"/>
              </w:rPr>
            </w:pPr>
          </w:p>
        </w:tc>
        <w:tc>
          <w:tcPr>
            <w:tcW w:w="1500" w:type="dxa"/>
            <w:vAlign w:val="bottom"/>
            <w:tcBorders>
              <w:top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247890" cy="178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17843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Revenues:</w:t>
      </w:r>
    </w:p>
    <w:p>
      <w:pPr>
        <w:sectPr>
          <w:pgSz w:w="11900" w:h="16838" w:orient="portrait"/>
          <w:cols w:equalWidth="0" w:num="1">
            <w:col w:w="11420"/>
          </w:cols>
          <w:pgMar w:left="240" w:top="576" w:right="239" w:bottom="1440" w:gutter="0" w:footer="0" w:header="0"/>
        </w:sectPr>
      </w:pPr>
    </w:p>
    <w:p>
      <w:pPr>
        <w:spacing w:after="0" w:line="101"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Property rental</w:t>
      </w:r>
      <w:r>
        <w:rPr>
          <w:sz w:val="20"/>
          <w:szCs w:val="20"/>
          <w:color w:val="auto"/>
        </w:rPr>
        <w:tab/>
      </w:r>
      <w:r>
        <w:rPr>
          <w:rFonts w:ascii="Arial" w:cs="Arial" w:eastAsia="Arial" w:hAnsi="Arial"/>
          <w:sz w:val="14"/>
          <w:szCs w:val="14"/>
          <w:color w:val="auto"/>
        </w:rPr>
        <w: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reinsurance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Management fees and other income</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 revenues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operations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reinsurance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 expenses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real estate transactions and impairment of real estate</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4" w:lineRule="exact"/>
        <w:rPr>
          <w:sz w:val="20"/>
          <w:szCs w:val="20"/>
          <w:color w:val="auto"/>
        </w:rPr>
      </w:pPr>
    </w:p>
    <w:p>
      <w:pPr>
        <w:ind w:left="200" w:right="560" w:hanging="160"/>
        <w:spacing w:after="0" w:line="289" w:lineRule="auto"/>
        <w:rPr>
          <w:sz w:val="20"/>
          <w:szCs w:val="20"/>
          <w:color w:val="auto"/>
        </w:rPr>
      </w:pPr>
      <w:r>
        <w:rPr>
          <w:rFonts w:ascii="Arial" w:cs="Arial" w:eastAsia="Arial" w:hAnsi="Arial"/>
          <w:sz w:val="16"/>
          <w:szCs w:val="16"/>
          <w:color w:val="auto"/>
        </w:rPr>
        <w:t>Non-cash interest expense related to amortization of discount on equity component of exchangeable senior notes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4" w:lineRule="exact"/>
        <w:rPr>
          <w:sz w:val="20"/>
          <w:szCs w:val="20"/>
          <w:color w:val="auto"/>
        </w:rPr>
      </w:pPr>
    </w:p>
    <w:p>
      <w:pPr>
        <w:ind w:left="200" w:right="300" w:hanging="160"/>
        <w:spacing w:after="0" w:line="289" w:lineRule="auto"/>
        <w:rPr>
          <w:sz w:val="20"/>
          <w:szCs w:val="20"/>
          <w:color w:val="auto"/>
        </w:rPr>
      </w:pPr>
      <w:r>
        <w:rPr>
          <w:rFonts w:ascii="Arial" w:cs="Arial" w:eastAsia="Arial" w:hAnsi="Arial"/>
          <w:sz w:val="16"/>
          <w:szCs w:val="16"/>
          <w:color w:val="auto"/>
        </w:rPr>
        <w:t>Income before equity in earnings of unconsolidated real estate ventures and income tax expense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earnings of unconsolidated real estate ventures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8" w:lineRule="exact"/>
        <w:rPr>
          <w:sz w:val="20"/>
          <w:szCs w:val="20"/>
          <w:color w:val="auto"/>
        </w:rPr>
      </w:pPr>
    </w:p>
    <w:p>
      <w:pPr>
        <w:ind w:left="200" w:right="540" w:hanging="160"/>
        <w:spacing w:after="0" w:line="289" w:lineRule="auto"/>
        <w:rPr>
          <w:sz w:val="20"/>
          <w:szCs w:val="20"/>
          <w:color w:val="auto"/>
        </w:rPr>
      </w:pPr>
      <w:r>
        <w:rPr>
          <w:rFonts w:ascii="Arial" w:cs="Arial" w:eastAsia="Arial" w:hAnsi="Arial"/>
          <w:sz w:val="16"/>
          <w:szCs w:val="16"/>
          <w:color w:val="auto"/>
        </w:rPr>
        <w:t>Net income allocated to Preferred Operating Partnership noncontrolling interests</w:t>
      </w:r>
    </w:p>
    <w:p>
      <w:pPr>
        <w:spacing w:after="0" w:line="12" w:lineRule="exact"/>
        <w:rPr>
          <w:sz w:val="20"/>
          <w:szCs w:val="20"/>
          <w:color w:val="auto"/>
        </w:rPr>
      </w:pPr>
    </w:p>
    <w:p>
      <w:pPr>
        <w:ind w:left="200" w:right="540" w:hanging="160"/>
        <w:spacing w:after="0" w:line="289" w:lineRule="auto"/>
        <w:rPr>
          <w:sz w:val="20"/>
          <w:szCs w:val="20"/>
          <w:color w:val="auto"/>
        </w:rPr>
      </w:pPr>
      <w:r>
        <w:rPr>
          <w:rFonts w:ascii="Arial" w:cs="Arial" w:eastAsia="Arial" w:hAnsi="Arial"/>
          <w:sz w:val="16"/>
          <w:szCs w:val="16"/>
          <w:color w:val="auto"/>
        </w:rPr>
        <w:t>Net income allocated to Operating Partnership and other noncontrolling interests</w:t>
      </w:r>
    </w:p>
    <w:p>
      <w:pPr>
        <w:spacing w:after="0" w:line="8"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16"/>
          <w:szCs w:val="16"/>
          <w:b w:val="1"/>
          <w:bCs w:val="1"/>
          <w:color w:val="auto"/>
        </w:rPr>
        <w:t>Net income attributable to common stockholders</w:t>
      </w:r>
      <w:r>
        <w:rPr>
          <w:sz w:val="20"/>
          <w:szCs w:val="20"/>
          <w:color w:val="auto"/>
        </w:rPr>
        <w:tab/>
      </w:r>
      <w:r>
        <w:rPr>
          <w:rFonts w:ascii="Arial" w:cs="Arial" w:eastAsia="Arial" w:hAnsi="Arial"/>
          <w:sz w:val="14"/>
          <w:szCs w:val="14"/>
          <w:color w:val="auto"/>
        </w:rPr>
        <w: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266,728</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248,589</w:t>
            </w:r>
          </w:p>
        </w:tc>
        <w:tc>
          <w:tcPr>
            <w:tcW w:w="240" w:type="dxa"/>
            <w:vAlign w:val="bottom"/>
          </w:tcPr>
          <w:p>
            <w:pPr>
              <w:spacing w:after="0"/>
              <w:rPr>
                <w:sz w:val="17"/>
                <w:szCs w:val="17"/>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772,742</w:t>
            </w:r>
          </w:p>
        </w:tc>
        <w:tc>
          <w:tcPr>
            <w:tcW w:w="100" w:type="dxa"/>
            <w:vAlign w:val="bottom"/>
          </w:tcPr>
          <w:p>
            <w:pPr>
              <w:spacing w:after="0"/>
              <w:rPr>
                <w:sz w:val="17"/>
                <w:szCs w:val="17"/>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720,878</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30,105</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25,882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85,660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73,050</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10,120</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9,685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30,849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29,239</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306,953</w:t>
            </w:r>
          </w:p>
        </w:tc>
        <w:tc>
          <w:tcPr>
            <w:tcW w:w="4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284,156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889,251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823,167</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96"/>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73,652</w:t>
            </w:r>
          </w:p>
        </w:tc>
        <w:tc>
          <w:tcPr>
            <w:tcW w:w="4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70,430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219,488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204,370</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7,720</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6,272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18,798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13,996</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19,707</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19,498</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62,822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60,171</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52,283</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48,075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155,924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144,139</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153,362</w:t>
            </w:r>
          </w:p>
        </w:tc>
        <w:tc>
          <w:tcPr>
            <w:tcW w:w="4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144,275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457,032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422,676</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153,591</w:t>
            </w:r>
          </w:p>
        </w:tc>
        <w:tc>
          <w:tcPr>
            <w:tcW w:w="4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139,881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432,219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400,491</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30,807</w:t>
            </w:r>
          </w:p>
        </w:tc>
        <w:tc>
          <w:tcPr>
            <w:tcW w:w="480" w:type="dxa"/>
            <w:vAlign w:val="bottom"/>
          </w:tcPr>
          <w:p>
            <w:pPr>
              <w:spacing w:after="0"/>
              <w:rPr>
                <w:sz w:val="23"/>
                <w:szCs w:val="2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30,807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(6,019)</w:t>
            </w:r>
          </w:p>
        </w:tc>
      </w:tr>
      <w:tr>
        <w:trPr>
          <w:trHeight w:val="268"/>
        </w:trPr>
        <w:tc>
          <w:tcPr>
            <w:tcW w:w="760" w:type="dxa"/>
            <w:vAlign w:val="bottom"/>
          </w:tcPr>
          <w:p>
            <w:pPr>
              <w:jc w:val="right"/>
              <w:ind w:right="100"/>
              <w:spacing w:after="0"/>
              <w:rPr>
                <w:sz w:val="20"/>
                <w:szCs w:val="20"/>
                <w:color w:val="auto"/>
              </w:rPr>
            </w:pPr>
            <w:r>
              <w:rPr>
                <w:rFonts w:ascii="Arial" w:cs="Arial" w:eastAsia="Arial" w:hAnsi="Arial"/>
                <w:sz w:val="16"/>
                <w:szCs w:val="16"/>
                <w:color w:val="auto"/>
                <w:w w:val="93"/>
              </w:rPr>
              <w:t>(45,926)</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(39,766)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(130,239)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(113,192)</w:t>
            </w:r>
          </w:p>
        </w:tc>
      </w:tr>
      <w:tr>
        <w:trPr>
          <w:trHeight w:val="455"/>
        </w:trPr>
        <w:tc>
          <w:tcPr>
            <w:tcW w:w="760" w:type="dxa"/>
            <w:vAlign w:val="bottom"/>
          </w:tcPr>
          <w:p>
            <w:pPr>
              <w:jc w:val="right"/>
              <w:ind w:right="100"/>
              <w:spacing w:after="0"/>
              <w:rPr>
                <w:sz w:val="20"/>
                <w:szCs w:val="20"/>
                <w:color w:val="auto"/>
              </w:rPr>
            </w:pPr>
            <w:r>
              <w:rPr>
                <w:rFonts w:ascii="Arial" w:cs="Arial" w:eastAsia="Arial" w:hAnsi="Arial"/>
                <w:sz w:val="16"/>
                <w:szCs w:val="16"/>
                <w:color w:val="auto"/>
              </w:rPr>
              <w:t>(1,140)</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(3,827)</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1,371</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1,401</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5,201</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3"/>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138,703</w:t>
            </w:r>
          </w:p>
        </w:tc>
        <w:tc>
          <w:tcPr>
            <w:tcW w:w="4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100,248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333,259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282,654</w:t>
            </w:r>
          </w:p>
        </w:tc>
      </w:tr>
      <w:tr>
        <w:trPr>
          <w:trHeight w:val="268"/>
        </w:trPr>
        <w:tc>
          <w:tcPr>
            <w:tcW w:w="760" w:type="dxa"/>
            <w:vAlign w:val="bottom"/>
          </w:tcPr>
          <w:p>
            <w:pPr>
              <w:jc w:val="right"/>
              <w:ind w:right="160"/>
              <w:spacing w:after="0"/>
              <w:rPr>
                <w:sz w:val="20"/>
                <w:szCs w:val="20"/>
                <w:color w:val="auto"/>
              </w:rPr>
            </w:pPr>
            <w:r>
              <w:rPr>
                <w:rFonts w:ascii="Arial" w:cs="Arial" w:eastAsia="Arial" w:hAnsi="Arial"/>
                <w:sz w:val="16"/>
                <w:szCs w:val="16"/>
                <w:color w:val="auto"/>
              </w:rPr>
              <w:t>3,622</w:t>
            </w:r>
          </w:p>
        </w:tc>
        <w:tc>
          <w:tcPr>
            <w:tcW w:w="4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3,990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10,648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11,407</w:t>
            </w:r>
          </w:p>
        </w:tc>
      </w:tr>
      <w:tr>
        <w:trPr>
          <w:trHeight w:val="268"/>
        </w:trPr>
        <w:tc>
          <w:tcPr>
            <w:tcW w:w="760" w:type="dxa"/>
            <w:vAlign w:val="bottom"/>
          </w:tcPr>
          <w:p>
            <w:pPr>
              <w:jc w:val="right"/>
              <w:ind w:right="100"/>
              <w:spacing w:after="0"/>
              <w:rPr>
                <w:sz w:val="20"/>
                <w:szCs w:val="20"/>
                <w:color w:val="auto"/>
              </w:rPr>
            </w:pPr>
            <w:r>
              <w:rPr>
                <w:rFonts w:ascii="Arial" w:cs="Arial" w:eastAsia="Arial" w:hAnsi="Arial"/>
                <w:sz w:val="16"/>
                <w:szCs w:val="16"/>
                <w:color w:val="auto"/>
              </w:rPr>
              <w:t>(2,638)</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(3,163)</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(9,154)</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139,687</w:t>
            </w:r>
          </w:p>
        </w:tc>
        <w:tc>
          <w:tcPr>
            <w:tcW w:w="4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101,075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337,830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284,907</w:t>
            </w:r>
          </w:p>
        </w:tc>
      </w:tr>
      <w:tr>
        <w:trPr>
          <w:trHeight w:val="455"/>
        </w:trPr>
        <w:tc>
          <w:tcPr>
            <w:tcW w:w="760" w:type="dxa"/>
            <w:vAlign w:val="bottom"/>
          </w:tcPr>
          <w:p>
            <w:pPr>
              <w:jc w:val="right"/>
              <w:ind w:right="100"/>
              <w:spacing w:after="0"/>
              <w:rPr>
                <w:sz w:val="20"/>
                <w:szCs w:val="20"/>
                <w:color w:val="auto"/>
              </w:rPr>
            </w:pPr>
            <w:r>
              <w:rPr>
                <w:rFonts w:ascii="Arial" w:cs="Arial" w:eastAsia="Arial" w:hAnsi="Arial"/>
                <w:sz w:val="16"/>
                <w:szCs w:val="16"/>
                <w:color w:val="auto"/>
              </w:rPr>
              <w:t>(3,723)</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(10,775)</w:t>
            </w:r>
          </w:p>
        </w:tc>
      </w:tr>
      <w:tr>
        <w:trPr>
          <w:trHeight w:val="455"/>
        </w:trPr>
        <w:tc>
          <w:tcPr>
            <w:tcW w:w="760" w:type="dxa"/>
            <w:vAlign w:val="bottom"/>
          </w:tcPr>
          <w:p>
            <w:pPr>
              <w:jc w:val="right"/>
              <w:ind w:right="100"/>
              <w:spacing w:after="0"/>
              <w:rPr>
                <w:sz w:val="20"/>
                <w:szCs w:val="20"/>
                <w:color w:val="auto"/>
              </w:rPr>
            </w:pPr>
            <w:r>
              <w:rPr>
                <w:rFonts w:ascii="Arial" w:cs="Arial" w:eastAsia="Arial" w:hAnsi="Arial"/>
                <w:sz w:val="16"/>
                <w:szCs w:val="16"/>
                <w:color w:val="auto"/>
              </w:rPr>
              <w:t>(5,546)</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(13,398)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(11,080)</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760" w:type="dxa"/>
            <w:vAlign w:val="bottom"/>
          </w:tcPr>
          <w:p>
            <w:pPr>
              <w:jc w:val="right"/>
              <w:ind w:right="160"/>
              <w:spacing w:after="0"/>
              <w:rPr>
                <w:sz w:val="20"/>
                <w:szCs w:val="20"/>
                <w:color w:val="auto"/>
              </w:rPr>
            </w:pPr>
            <w:r>
              <w:rPr>
                <w:rFonts w:ascii="Arial" w:cs="Arial" w:eastAsia="Arial" w:hAnsi="Arial"/>
                <w:sz w:val="16"/>
                <w:szCs w:val="16"/>
                <w:color w:val="auto"/>
                <w:w w:val="86"/>
              </w:rPr>
              <w:t>130,418</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93,764</w:t>
            </w:r>
          </w:p>
        </w:tc>
        <w:tc>
          <w:tcPr>
            <w:tcW w:w="24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313,827</w:t>
            </w:r>
          </w:p>
        </w:tc>
        <w:tc>
          <w:tcPr>
            <w:tcW w:w="10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263,052</w:t>
            </w:r>
          </w:p>
        </w:tc>
      </w:tr>
      <w:tr>
        <w:trPr>
          <w:trHeight w:val="32"/>
        </w:trPr>
        <w:tc>
          <w:tcPr>
            <w:tcW w:w="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-4077970</wp:posOffset>
            </wp:positionV>
            <wp:extent cx="7247890" cy="170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7018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-3389630</wp:posOffset>
            </wp:positionV>
            <wp:extent cx="7247890" cy="17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17018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-3049905</wp:posOffset>
            </wp:positionV>
            <wp:extent cx="7247890" cy="170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17018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-2369820</wp:posOffset>
            </wp:positionV>
            <wp:extent cx="7247890" cy="17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170180"/>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-2030095</wp:posOffset>
            </wp:positionV>
            <wp:extent cx="7247890" cy="28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28892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-1112520</wp:posOffset>
            </wp:positionV>
            <wp:extent cx="7247890" cy="1113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111315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-1570990</wp:posOffset>
            </wp:positionV>
            <wp:extent cx="7247890" cy="28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28892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-2710180</wp:posOffset>
            </wp:positionV>
            <wp:extent cx="7247890" cy="178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17843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-3738245</wp:posOffset>
            </wp:positionV>
            <wp:extent cx="7247890" cy="178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17843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5180" w:space="720"/>
            <w:col w:w="552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vMerge w:val="continue"/>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0.74</w:t>
            </w:r>
          </w:p>
        </w:tc>
        <w:tc>
          <w:tcPr>
            <w:tcW w:w="24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72"/>
        </w:trPr>
        <w:tc>
          <w:tcPr>
            <w:tcW w:w="50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color w:val="auto"/>
              </w:rPr>
              <w:t>Weighted average number of shares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50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5040" w:type="dxa"/>
            <w:vAlign w:val="bottom"/>
          </w:tcPr>
          <w:p>
            <w:pPr>
              <w:ind w:left="3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126,466,837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125,717,517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125,959,926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125,665,787</w:t>
            </w: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134,240,290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133,044,473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133,015,690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133,008,622</w:t>
            </w:r>
          </w:p>
        </w:tc>
        <w:tc>
          <w:tcPr>
            <w:tcW w:w="0" w:type="dxa"/>
            <w:vAlign w:val="bottom"/>
          </w:tcPr>
          <w:p>
            <w:pPr>
              <w:spacing w:after="0"/>
              <w:rPr>
                <w:sz w:val="1"/>
                <w:szCs w:val="1"/>
                <w:color w:val="auto"/>
              </w:rPr>
            </w:pPr>
          </w:p>
        </w:tc>
      </w:tr>
      <w:tr>
        <w:trPr>
          <w:trHeight w:val="248"/>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per common share</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0.78</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178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w w:val="92"/>
              </w:rPr>
              <w:t>For the Nine Months Ended</w:t>
            </w:r>
          </w:p>
        </w:tc>
      </w:tr>
      <w:tr>
        <w:trPr>
          <w:trHeight w:val="191"/>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78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261"/>
        </w:trPr>
        <w:tc>
          <w:tcPr>
            <w:tcW w:w="74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139,687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101,075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337,830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284,907</w:t>
            </w:r>
          </w:p>
        </w:tc>
      </w:tr>
      <w:tr>
        <w:trPr>
          <w:trHeight w:val="222"/>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6"/>
        </w:trPr>
        <w:tc>
          <w:tcPr>
            <w:tcW w:w="7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68"/>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 in fair value of interest rate swaps</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36,812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992</w:t>
            </w:r>
          </w:p>
        </w:tc>
      </w:tr>
      <w:tr>
        <w:trPr>
          <w:trHeight w:val="215"/>
        </w:trPr>
        <w:tc>
          <w:tcPr>
            <w:tcW w:w="744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145,403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101,834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374,642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285,899</w:t>
            </w:r>
          </w:p>
        </w:tc>
      </w:tr>
      <w:tr>
        <w:trPr>
          <w:trHeight w:val="32"/>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9,553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25,743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21,886</w:t>
            </w:r>
          </w:p>
        </w:tc>
      </w:tr>
      <w:tr>
        <w:trPr>
          <w:trHeight w:val="215"/>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135,850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94,492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348,899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264,013</w:t>
            </w:r>
          </w:p>
        </w:tc>
      </w:tr>
      <w:tr>
        <w:trPr>
          <w:trHeight w:val="32"/>
        </w:trPr>
        <w:tc>
          <w:tcPr>
            <w:tcW w:w="7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Condensed Consolidated Statement of Noncontrolling Interests and Equity</w:t>
      </w:r>
    </w:p>
    <w:p>
      <w:pPr>
        <w:spacing w:after="0" w:line="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(amounts in thousands, except share data)</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80"/>
          </w:cols>
          <w:pgMar w:left="280" w:top="576" w:right="139" w:bottom="1440" w:gutter="0" w:footer="0" w:header="0"/>
        </w:sectPr>
      </w:pPr>
    </w:p>
    <w:p>
      <w:pPr>
        <w:spacing w:after="0" w:line="213"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22860</wp:posOffset>
            </wp:positionV>
            <wp:extent cx="2973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3100" w:type="dxa"/>
            <w:vAlign w:val="bottom"/>
            <w:tcBorders>
              <w:bottom w:val="single" w:sz="8" w:color="auto"/>
            </w:tcBorders>
            <w:gridSpan w:val="7"/>
          </w:tcPr>
          <w:p>
            <w:pPr>
              <w:jc w:val="right"/>
              <w:ind w:right="449"/>
              <w:spacing w:after="0"/>
              <w:rPr>
                <w:sz w:val="20"/>
                <w:szCs w:val="20"/>
                <w:color w:val="auto"/>
              </w:rPr>
            </w:pPr>
            <w:r>
              <w:rPr>
                <w:rFonts w:ascii="Arial" w:cs="Arial" w:eastAsia="Arial" w:hAnsi="Arial"/>
                <w:sz w:val="14"/>
                <w:szCs w:val="14"/>
                <w:b w:val="1"/>
                <w:bCs w:val="1"/>
                <w:color w:val="auto"/>
              </w:rPr>
              <w:t>Preferred Operating Partnership</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 A</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 B</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 C</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 D</w:t>
            </w:r>
          </w:p>
        </w:tc>
        <w:tc>
          <w:tcPr>
            <w:tcW w:w="10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Partnership</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line="138" w:lineRule="exact"/>
              <w:rPr>
                <w:sz w:val="20"/>
                <w:szCs w:val="20"/>
                <w:color w:val="auto"/>
              </w:rPr>
            </w:pPr>
            <w:r>
              <w:rPr>
                <w:rFonts w:ascii="Arial" w:cs="Arial" w:eastAsia="Arial" w:hAnsi="Arial"/>
                <w:sz w:val="14"/>
                <w:szCs w:val="14"/>
                <w:b w:val="1"/>
                <w:bCs w:val="1"/>
                <w:color w:val="auto"/>
              </w:rPr>
              <w:t>Balances at</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60" w:type="dxa"/>
            <w:vAlign w:val="bottom"/>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6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w w:val="91"/>
              </w:rPr>
              <w:t>$ 14,940</w:t>
            </w:r>
          </w:p>
        </w:tc>
        <w:tc>
          <w:tcPr>
            <w:tcW w:w="10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w w:val="91"/>
              </w:rPr>
              <w:t>$ 41,902</w:t>
            </w:r>
          </w:p>
        </w:tc>
        <w:tc>
          <w:tcPr>
            <w:tcW w:w="10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w w:val="91"/>
              </w:rPr>
              <w:t>$ 10,730</w:t>
            </w:r>
          </w:p>
        </w:tc>
        <w:tc>
          <w:tcPr>
            <w:tcW w:w="12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Arial" w:cs="Arial" w:eastAsia="Arial" w:hAnsi="Arial"/>
                <w:sz w:val="14"/>
                <w:szCs w:val="14"/>
                <w:color w:val="auto"/>
                <w:w w:val="88"/>
              </w:rPr>
              <w:t>$ 92,064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213,301</w:t>
            </w:r>
          </w:p>
        </w:tc>
        <w:tc>
          <w:tcPr>
            <w:tcW w:w="100" w:type="dxa"/>
            <w:vAlign w:val="bottom"/>
          </w:tcPr>
          <w:p>
            <w:pPr>
              <w:spacing w:after="0"/>
              <w:rPr>
                <w:sz w:val="16"/>
                <w:szCs w:val="16"/>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w w:val="85"/>
              </w:rPr>
              <w:t>$ 119</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97"/>
              </w:rPr>
              <w:t>common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upon the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options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Restricted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20"/>
                <w:szCs w:val="20"/>
                <w:color w:val="auto"/>
              </w:rPr>
            </w:pPr>
            <w:r>
              <w:rPr>
                <w:rFonts w:ascii="Arial" w:cs="Arial" w:eastAsia="Arial" w:hAnsi="Arial"/>
                <w:sz w:val="14"/>
                <w:szCs w:val="14"/>
                <w:color w:val="auto"/>
              </w:rPr>
              <w:t>grants issued</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Restricted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20"/>
                <w:szCs w:val="20"/>
                <w:color w:val="auto"/>
              </w:rPr>
            </w:pPr>
            <w:r>
              <w:rPr>
                <w:rFonts w:ascii="Arial" w:cs="Arial" w:eastAsia="Arial" w:hAnsi="Arial"/>
                <w:sz w:val="14"/>
                <w:szCs w:val="14"/>
                <w:color w:val="auto"/>
              </w:rPr>
              <w:t>grants cancelled</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Issuance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93"/>
              </w:rPr>
              <w:t>common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net of offering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costs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Compensation</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88"/>
              </w:rPr>
              <w:t>expense related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96"/>
              </w:rPr>
              <w:t>to stock-based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awards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Repayment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receivable for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preferred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95"/>
              </w:rPr>
              <w:t>operating units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pledged as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collateral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Issuance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4"/>
                <w:szCs w:val="14"/>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Operating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Partnership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units in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conjunction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with</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acquisitions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Redemption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4"/>
                <w:szCs w:val="14"/>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Operating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Partnership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units for stock</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Redemption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4"/>
                <w:szCs w:val="14"/>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Operating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Partnership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units for cash</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Noncontrolling</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interest in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consolidated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joint venture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Repurchase of</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equity portion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of 2013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exchangeable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senior notes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3,793</w:t>
            </w:r>
          </w:p>
        </w:tc>
        <w:tc>
          <w:tcPr>
            <w:tcW w:w="100" w:type="dxa"/>
            <w:vAlign w:val="bottom"/>
          </w:tcPr>
          <w:p>
            <w:pPr>
              <w:spacing w:after="0"/>
              <w:rPr>
                <w:sz w:val="17"/>
                <w:szCs w:val="17"/>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17"/>
                <w:szCs w:val="17"/>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2,140</w:t>
            </w:r>
          </w:p>
        </w:tc>
        <w:tc>
          <w:tcPr>
            <w:tcW w:w="120" w:type="dxa"/>
            <w:vAlign w:val="bottom"/>
          </w:tcPr>
          <w:p>
            <w:pPr>
              <w:spacing w:after="0"/>
              <w:rPr>
                <w:sz w:val="17"/>
                <w:szCs w:val="17"/>
                <w:color w:val="auto"/>
              </w:rPr>
            </w:pP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2,786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13,399</w:t>
            </w:r>
          </w:p>
        </w:tc>
        <w:tc>
          <w:tcPr>
            <w:tcW w:w="100" w:type="dxa"/>
            <w:vAlign w:val="bottom"/>
          </w:tcPr>
          <w:p>
            <w:pPr>
              <w:spacing w:after="0"/>
              <w:rPr>
                <w:sz w:val="17"/>
                <w:szCs w:val="17"/>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4"/>
                <w:szCs w:val="14"/>
                <w:color w:val="auto"/>
              </w:rPr>
              <w:t>Other</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20"/>
                <w:szCs w:val="20"/>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w w:val="92"/>
              </w:rPr>
              <w:t>comprehensive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income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Distributions to</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(3,906)</w:t>
            </w:r>
          </w:p>
        </w:tc>
        <w:tc>
          <w:tcPr>
            <w:tcW w:w="100" w:type="dxa"/>
            <w:vAlign w:val="bottom"/>
          </w:tcPr>
          <w:p>
            <w:pPr>
              <w:spacing w:after="0"/>
              <w:rPr>
                <w:sz w:val="14"/>
                <w:szCs w:val="14"/>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14"/>
                <w:szCs w:val="14"/>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(2,140)</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(2,787)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(14,118)</w:t>
            </w:r>
          </w:p>
        </w:tc>
        <w:tc>
          <w:tcPr>
            <w:tcW w:w="100" w:type="dxa"/>
            <w:vAlign w:val="bottom"/>
          </w:tcPr>
          <w:p>
            <w:pPr>
              <w:spacing w:after="0"/>
              <w:rPr>
                <w:sz w:val="14"/>
                <w:szCs w:val="14"/>
                <w:color w:val="auto"/>
              </w:rPr>
            </w:pP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Operating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Partnership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units held by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60"/>
              <w:spacing w:after="0"/>
              <w:rPr>
                <w:sz w:val="20"/>
                <w:szCs w:val="20"/>
                <w:color w:val="auto"/>
              </w:rPr>
            </w:pPr>
            <w:r>
              <w:rPr>
                <w:rFonts w:ascii="Arial" w:cs="Arial" w:eastAsia="Arial" w:hAnsi="Arial"/>
                <w:sz w:val="14"/>
                <w:szCs w:val="14"/>
                <w:color w:val="auto"/>
              </w:rPr>
              <w:t>interests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20"/>
                <w:szCs w:val="20"/>
                <w:color w:val="auto"/>
              </w:rPr>
            </w:pPr>
            <w:r>
              <w:rPr>
                <w:rFonts w:ascii="Arial" w:cs="Arial" w:eastAsia="Arial" w:hAnsi="Arial"/>
                <w:sz w:val="14"/>
                <w:szCs w:val="14"/>
                <w:color w:val="auto"/>
              </w:rPr>
              <w:t>Dividends paid</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on common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tcPr>
          <w:p>
            <w:pPr>
              <w:ind w:left="160"/>
              <w:spacing w:after="0" w:line="147" w:lineRule="exact"/>
              <w:rPr>
                <w:sz w:val="20"/>
                <w:szCs w:val="20"/>
                <w:color w:val="auto"/>
              </w:rPr>
            </w:pPr>
            <w:r>
              <w:rPr>
                <w:rFonts w:ascii="Arial" w:cs="Arial" w:eastAsia="Arial" w:hAnsi="Arial"/>
                <w:sz w:val="14"/>
                <w:szCs w:val="14"/>
                <w:color w:val="auto"/>
              </w:rPr>
              <w:t>stock at $2.50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line="138" w:lineRule="exact"/>
              <w:rPr>
                <w:sz w:val="20"/>
                <w:szCs w:val="20"/>
                <w:color w:val="auto"/>
              </w:rPr>
            </w:pPr>
            <w:r>
              <w:rPr>
                <w:rFonts w:ascii="Arial" w:cs="Arial" w:eastAsia="Arial" w:hAnsi="Arial"/>
                <w:sz w:val="14"/>
                <w:szCs w:val="14"/>
                <w:b w:val="1"/>
                <w:bCs w:val="1"/>
                <w:color w:val="auto"/>
              </w:rPr>
              <w:t>Balances at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60" w:type="dxa"/>
            <w:vAlign w:val="bottom"/>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700" w:type="dxa"/>
            <w:vAlign w:val="bottom"/>
            <w:vMerge w:val="restart"/>
          </w:tcPr>
          <w:p>
            <w:pPr>
              <w:jc w:val="right"/>
              <w:ind w:right="109"/>
              <w:spacing w:after="0"/>
              <w:rPr>
                <w:sz w:val="20"/>
                <w:szCs w:val="20"/>
                <w:color w:val="auto"/>
              </w:rPr>
            </w:pPr>
            <w:r>
              <w:rPr>
                <w:rFonts w:ascii="Arial" w:cs="Arial" w:eastAsia="Arial" w:hAnsi="Arial"/>
                <w:sz w:val="14"/>
                <w:szCs w:val="14"/>
                <w:color w:val="auto"/>
                <w:w w:val="91"/>
              </w:rPr>
              <w:t>$ 15,060</w:t>
            </w:r>
          </w:p>
        </w:tc>
        <w:tc>
          <w:tcPr>
            <w:tcW w:w="100" w:type="dxa"/>
            <w:vAlign w:val="bottom"/>
          </w:tcPr>
          <w:p>
            <w:pPr>
              <w:spacing w:after="0"/>
              <w:rPr>
                <w:sz w:val="12"/>
                <w:szCs w:val="12"/>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4"/>
                <w:szCs w:val="14"/>
                <w:color w:val="auto"/>
                <w:w w:val="91"/>
              </w:rPr>
              <w:t>$ 41,902</w:t>
            </w:r>
          </w:p>
        </w:tc>
        <w:tc>
          <w:tcPr>
            <w:tcW w:w="100" w:type="dxa"/>
            <w:vAlign w:val="bottom"/>
          </w:tcPr>
          <w:p>
            <w:pPr>
              <w:spacing w:after="0"/>
              <w:rPr>
                <w:sz w:val="12"/>
                <w:szCs w:val="12"/>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4"/>
                <w:szCs w:val="14"/>
                <w:color w:val="auto"/>
                <w:w w:val="91"/>
              </w:rPr>
              <w:t>$ 11,225</w:t>
            </w:r>
          </w:p>
        </w:tc>
        <w:tc>
          <w:tcPr>
            <w:tcW w:w="120" w:type="dxa"/>
            <w:vAlign w:val="bottom"/>
          </w:tcPr>
          <w:p>
            <w:pPr>
              <w:spacing w:after="0"/>
              <w:rPr>
                <w:sz w:val="12"/>
                <w:szCs w:val="12"/>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w w:val="88"/>
              </w:rPr>
              <w:t>$ 92,063</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29"/>
              <w:spacing w:after="0"/>
              <w:rPr>
                <w:sz w:val="20"/>
                <w:szCs w:val="20"/>
                <w:color w:val="auto"/>
              </w:rPr>
            </w:pPr>
            <w:r>
              <w:rPr>
                <w:rFonts w:ascii="Arial" w:cs="Arial" w:eastAsia="Arial" w:hAnsi="Arial"/>
                <w:sz w:val="14"/>
                <w:szCs w:val="14"/>
                <w:color w:val="auto"/>
              </w:rPr>
              <w:t>213,885</w:t>
            </w:r>
          </w:p>
        </w:tc>
        <w:tc>
          <w:tcPr>
            <w:tcW w:w="100" w:type="dxa"/>
            <w:vAlign w:val="bottom"/>
          </w:tcPr>
          <w:p>
            <w:pPr>
              <w:spacing w:after="0"/>
              <w:rPr>
                <w:sz w:val="12"/>
                <w:szCs w:val="12"/>
                <w:color w:val="auto"/>
              </w:rPr>
            </w:pPr>
          </w:p>
        </w:tc>
        <w:tc>
          <w:tcPr>
            <w:tcW w:w="500" w:type="dxa"/>
            <w:vAlign w:val="bottom"/>
            <w:vMerge w:val="restart"/>
          </w:tcPr>
          <w:p>
            <w:pPr>
              <w:jc w:val="right"/>
              <w:ind w:right="109"/>
              <w:spacing w:after="0"/>
              <w:rPr>
                <w:sz w:val="20"/>
                <w:szCs w:val="20"/>
                <w:color w:val="auto"/>
              </w:rPr>
            </w:pPr>
            <w:r>
              <w:rPr>
                <w:rFonts w:ascii="Arial" w:cs="Arial" w:eastAsia="Arial" w:hAnsi="Arial"/>
                <w:sz w:val="14"/>
                <w:szCs w:val="14"/>
                <w:color w:val="auto"/>
                <w:w w:val="96"/>
              </w:rPr>
              <w:t>$240</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-6991985</wp:posOffset>
            </wp:positionV>
            <wp:extent cx="7310755" cy="314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31432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-6176645</wp:posOffset>
            </wp:positionV>
            <wp:extent cx="7310755" cy="220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22098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-5734685</wp:posOffset>
            </wp:positionV>
            <wp:extent cx="7310755" cy="40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4076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-4919345</wp:posOffset>
            </wp:positionV>
            <wp:extent cx="7310755" cy="688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68834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-3542665</wp:posOffset>
            </wp:positionV>
            <wp:extent cx="7310755" cy="407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4076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-2726690</wp:posOffset>
            </wp:positionV>
            <wp:extent cx="7310755" cy="407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4076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-1818005</wp:posOffset>
            </wp:positionV>
            <wp:extent cx="7310755" cy="17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17018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-1333500</wp:posOffset>
            </wp:positionV>
            <wp:extent cx="7310755" cy="594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5949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-330835</wp:posOffset>
            </wp:positionV>
            <wp:extent cx="7310755" cy="31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314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Extra Space Storage Inc. Stockholders' Equity</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w:t>
            </w: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7"/>
        </w:trPr>
        <w:tc>
          <w:tcPr>
            <w:tcW w:w="8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1"/>
        </w:trPr>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69"/>
        </w:trPr>
        <w:tc>
          <w:tcPr>
            <w:tcW w:w="820" w:type="dxa"/>
            <w:vAlign w:val="bottom"/>
          </w:tcPr>
          <w:p>
            <w:pPr>
              <w:jc w:val="right"/>
              <w:ind w:right="9"/>
              <w:spacing w:after="0"/>
              <w:rPr>
                <w:sz w:val="20"/>
                <w:szCs w:val="20"/>
                <w:color w:val="auto"/>
              </w:rPr>
            </w:pPr>
            <w:r>
              <w:rPr>
                <w:rFonts w:ascii="Arial" w:cs="Arial" w:eastAsia="Arial" w:hAnsi="Arial"/>
                <w:sz w:val="14"/>
                <w:szCs w:val="14"/>
                <w:color w:val="auto"/>
                <w:w w:val="92"/>
              </w:rPr>
              <w:t>126,007,091</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$1,260</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w w:val="94"/>
              </w:rPr>
              <w:t>$2,569,485</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33,290</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(253,284)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2,723,807</w:t>
            </w:r>
          </w:p>
        </w:tc>
        <w:tc>
          <w:tcPr>
            <w:tcW w:w="0" w:type="dxa"/>
            <w:vAlign w:val="bottom"/>
          </w:tcPr>
          <w:p>
            <w:pPr>
              <w:spacing w:after="0"/>
              <w:rPr>
                <w:sz w:val="1"/>
                <w:szCs w:val="1"/>
                <w:color w:val="auto"/>
              </w:rPr>
            </w:pPr>
          </w:p>
        </w:tc>
      </w:tr>
      <w:tr>
        <w:trPr>
          <w:trHeight w:val="789"/>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54,575</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348"/>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84,264</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48"/>
        </w:trPr>
        <w:tc>
          <w:tcPr>
            <w:tcW w:w="820" w:type="dxa"/>
            <w:vAlign w:val="bottom"/>
          </w:tcPr>
          <w:p>
            <w:pPr>
              <w:jc w:val="right"/>
              <w:spacing w:after="0"/>
              <w:rPr>
                <w:sz w:val="20"/>
                <w:szCs w:val="20"/>
                <w:color w:val="auto"/>
              </w:rPr>
            </w:pPr>
            <w:r>
              <w:rPr>
                <w:rFonts w:ascii="Arial" w:cs="Arial" w:eastAsia="Arial" w:hAnsi="Arial"/>
                <w:sz w:val="14"/>
                <w:szCs w:val="14"/>
                <w:color w:val="auto"/>
              </w:rPr>
              <w:t>(9,379)</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343,251</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3</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33,777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33,780</w:t>
            </w:r>
          </w:p>
        </w:tc>
        <w:tc>
          <w:tcPr>
            <w:tcW w:w="0" w:type="dxa"/>
            <w:vAlign w:val="bottom"/>
          </w:tcPr>
          <w:p>
            <w:pPr>
              <w:spacing w:after="0"/>
              <w:rPr>
                <w:sz w:val="1"/>
                <w:szCs w:val="1"/>
                <w:color w:val="auto"/>
              </w:rPr>
            </w:pPr>
          </w:p>
        </w:tc>
      </w:tr>
      <w:tr>
        <w:trPr>
          <w:trHeight w:val="642"/>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642"/>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084"/>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084"/>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2"/>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642"/>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642"/>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(31,251)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(31,251)</w:t>
            </w:r>
          </w:p>
        </w:tc>
        <w:tc>
          <w:tcPr>
            <w:tcW w:w="0" w:type="dxa"/>
            <w:vAlign w:val="bottom"/>
          </w:tcPr>
          <w:p>
            <w:pPr>
              <w:spacing w:after="0"/>
              <w:rPr>
                <w:sz w:val="1"/>
                <w:szCs w:val="1"/>
                <w:color w:val="auto"/>
              </w:rPr>
            </w:pPr>
          </w:p>
        </w:tc>
      </w:tr>
      <w:tr>
        <w:trPr>
          <w:trHeight w:val="789"/>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313,827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337,830</w:t>
            </w:r>
          </w:p>
        </w:tc>
        <w:tc>
          <w:tcPr>
            <w:tcW w:w="0" w:type="dxa"/>
            <w:vAlign w:val="bottom"/>
          </w:tcPr>
          <w:p>
            <w:pPr>
              <w:spacing w:after="0"/>
              <w:rPr>
                <w:sz w:val="1"/>
                <w:szCs w:val="1"/>
                <w:color w:val="auto"/>
              </w:rPr>
            </w:pPr>
          </w:p>
        </w:tc>
      </w:tr>
      <w:tr>
        <w:trPr>
          <w:trHeight w:val="268"/>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35,072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36,812</w:t>
            </w:r>
          </w:p>
        </w:tc>
        <w:tc>
          <w:tcPr>
            <w:tcW w:w="0" w:type="dxa"/>
            <w:vAlign w:val="bottom"/>
          </w:tcPr>
          <w:p>
            <w:pPr>
              <w:spacing w:after="0"/>
              <w:rPr>
                <w:sz w:val="1"/>
                <w:szCs w:val="1"/>
                <w:color w:val="auto"/>
              </w:rPr>
            </w:pPr>
          </w:p>
        </w:tc>
      </w:tr>
      <w:tr>
        <w:trPr>
          <w:trHeight w:val="495"/>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(24,837)</w:t>
            </w:r>
          </w:p>
        </w:tc>
        <w:tc>
          <w:tcPr>
            <w:tcW w:w="0" w:type="dxa"/>
            <w:vAlign w:val="bottom"/>
          </w:tcPr>
          <w:p>
            <w:pPr>
              <w:spacing w:after="0"/>
              <w:rPr>
                <w:sz w:val="1"/>
                <w:szCs w:val="1"/>
                <w:color w:val="auto"/>
              </w:rPr>
            </w:pPr>
          </w:p>
        </w:tc>
      </w:tr>
      <w:tr>
        <w:trPr>
          <w:trHeight w:val="937"/>
        </w:trPr>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(315,608)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(315,608)</w:t>
            </w:r>
          </w:p>
        </w:tc>
        <w:tc>
          <w:tcPr>
            <w:tcW w:w="0" w:type="dxa"/>
            <w:vAlign w:val="bottom"/>
          </w:tcPr>
          <w:p>
            <w:pPr>
              <w:spacing w:after="0"/>
              <w:rPr>
                <w:sz w:val="1"/>
                <w:szCs w:val="1"/>
                <w:color w:val="auto"/>
              </w:rPr>
            </w:pPr>
          </w:p>
        </w:tc>
      </w:tr>
      <w:tr>
        <w:trPr>
          <w:trHeight w:val="453"/>
        </w:trPr>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20" w:type="dxa"/>
            <w:vAlign w:val="bottom"/>
          </w:tcPr>
          <w:p>
            <w:pPr>
              <w:jc w:val="right"/>
              <w:ind w:right="9"/>
              <w:spacing w:after="0"/>
              <w:rPr>
                <w:sz w:val="20"/>
                <w:szCs w:val="20"/>
                <w:color w:val="auto"/>
              </w:rPr>
            </w:pPr>
            <w:r>
              <w:rPr>
                <w:rFonts w:ascii="Arial" w:cs="Arial" w:eastAsia="Arial" w:hAnsi="Arial"/>
                <w:sz w:val="14"/>
                <w:szCs w:val="14"/>
                <w:color w:val="auto"/>
                <w:w w:val="92"/>
              </w:rPr>
              <w:t>126,504,802</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$1,264</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w w:val="94"/>
              </w:rPr>
              <w:t>$2,581,158</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68,362</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(255,065)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2,770,094</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120"/>
            <w:col w:w="5620"/>
          </w:cols>
          <w:pgMar w:left="280" w:top="576" w:right="139" w:bottom="1440" w:gutter="0" w:footer="0" w:header="0"/>
          <w:type w:val="continuous"/>
        </w:sectPr>
      </w:pPr>
    </w:p>
    <w:p>
      <w:pPr>
        <w:jc w:val="center"/>
        <w:ind w:right="14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480"/>
          </w:cols>
          <w:pgMar w:left="280" w:top="576" w:right="139" w:bottom="1440" w:gutter="0" w:footer="0" w:header="0"/>
          <w:type w:val="continuous"/>
        </w:sectPr>
      </w:pPr>
    </w:p>
    <w:p>
      <w:pPr>
        <w:spacing w:after="0" w:line="29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80"/>
          </w:cols>
          <w:pgMar w:left="280" w:top="576" w:right="1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(amounts in thousands)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61"/>
        </w:trPr>
        <w:tc>
          <w:tcPr>
            <w:tcW w:w="85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4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85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337,830</w:t>
            </w:r>
          </w:p>
        </w:tc>
        <w:tc>
          <w:tcPr>
            <w:tcW w:w="10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284,907</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858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155,924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144,139</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9,246</w:t>
            </w:r>
          </w:p>
        </w:tc>
      </w:tr>
      <w:tr>
        <w:trPr>
          <w:trHeight w:val="235"/>
        </w:trPr>
        <w:tc>
          <w:tcPr>
            <w:tcW w:w="8580" w:type="dxa"/>
            <w:vAlign w:val="bottom"/>
          </w:tcPr>
          <w:p>
            <w:pPr>
              <w:ind w:left="700"/>
              <w:spacing w:after="0"/>
              <w:rPr>
                <w:sz w:val="20"/>
                <w:szCs w:val="20"/>
                <w:color w:val="auto"/>
              </w:rPr>
            </w:pPr>
            <w:r>
              <w:rPr>
                <w:rFonts w:ascii="Arial" w:cs="Arial" w:eastAsia="Arial" w:hAnsi="Arial"/>
                <w:sz w:val="16"/>
                <w:szCs w:val="16"/>
                <w:color w:val="auto"/>
                <w:w w:val="98"/>
              </w:rPr>
              <w:t>Non-cash interest expense related to amortization of discount on equity component of exchangeable senior notes</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3,827</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Compensation expense related to stock-based awards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7,244</w:t>
            </w:r>
          </w:p>
        </w:tc>
      </w:tr>
      <w:tr>
        <w:trPr>
          <w:trHeight w:val="235"/>
        </w:trPr>
        <w:tc>
          <w:tcPr>
            <w:tcW w:w="8580" w:type="dxa"/>
            <w:vAlign w:val="bottom"/>
          </w:tcPr>
          <w:p>
            <w:pPr>
              <w:ind w:left="700"/>
              <w:spacing w:after="0"/>
              <w:rPr>
                <w:sz w:val="20"/>
                <w:szCs w:val="20"/>
                <w:color w:val="auto"/>
              </w:rPr>
            </w:pPr>
            <w:r>
              <w:rPr>
                <w:rFonts w:ascii="Arial" w:cs="Arial" w:eastAsia="Arial" w:hAnsi="Arial"/>
                <w:sz w:val="16"/>
                <w:szCs w:val="16"/>
                <w:color w:val="auto"/>
              </w:rPr>
              <w:t>(Gain) loss on real estate transactions and impairment of real estate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6,019</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3,498</w:t>
            </w:r>
          </w:p>
        </w:tc>
      </w:tr>
      <w:tr>
        <w:trPr>
          <w:trHeight w:val="222"/>
        </w:trPr>
        <w:tc>
          <w:tcPr>
            <w:tcW w:w="8580" w:type="dxa"/>
            <w:vAlign w:val="bottom"/>
          </w:tcPr>
          <w:p>
            <w:pPr>
              <w:ind w:left="70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8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8"/>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(15,303)</w:t>
            </w:r>
          </w:p>
        </w:tc>
      </w:tr>
      <w:tr>
        <w:trPr>
          <w:trHeight w:val="235"/>
        </w:trPr>
        <w:tc>
          <w:tcPr>
            <w:tcW w:w="8580" w:type="dxa"/>
            <w:vAlign w:val="bottom"/>
          </w:tcPr>
          <w:p>
            <w:pPr>
              <w:ind w:left="114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27,677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6,425</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5"/>
        </w:trPr>
        <w:tc>
          <w:tcPr>
            <w:tcW w:w="858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529,027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449,629</w:t>
            </w:r>
          </w:p>
        </w:tc>
      </w:tr>
      <w:tr>
        <w:trPr>
          <w:trHeight w:val="32"/>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2"/>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59"/>
        </w:trPr>
        <w:tc>
          <w:tcPr>
            <w:tcW w:w="8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763" w:right="239" w:bottom="1440" w:gutter="0" w:footer="0" w:header="0"/>
        </w:sectPr>
      </w:pPr>
    </w:p>
    <w:p>
      <w:pPr>
        <w:ind w:left="380"/>
        <w:spacing w:after="0"/>
        <w:rPr>
          <w:sz w:val="20"/>
          <w:szCs w:val="20"/>
          <w:color w:val="auto"/>
        </w:rPr>
      </w:pPr>
      <w:r>
        <w:rPr>
          <w:rFonts w:ascii="Arial" w:cs="Arial" w:eastAsia="Arial" w:hAnsi="Arial"/>
          <w:sz w:val="16"/>
          <w:szCs w:val="16"/>
          <w:color w:val="auto"/>
        </w:rPr>
        <w:t>Acquisition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Development and redevelopment of real estate assets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real estate assets, investments in real estate ventures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247890"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in unconsolidated real estate ventures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Return of investment in unconsolidated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Issuance of notes receivable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payments received from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equipment and fixtures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8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178435"/>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the sale of common stock, net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notes payable and revolving lines of credit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payments on notes payable and revolving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payments on notes payable to trusts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 of exchangeable senior notes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Redemption of Operating Partnership units held by noncontrolling interests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 on common stock</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used in financing activities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247890" cy="170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cash equivalents, and restricted cash, beginning of the period</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cash equivalents, and restricted cash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(327,011)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(119,040)</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(45,376)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(20,670)</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51,889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18,565</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(52,806)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(3,021)</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47,964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581</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25,226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44,869</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(5,635)</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(84,351)</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96"/>
        </w:trPr>
        <w:tc>
          <w:tcPr>
            <w:tcW w:w="400" w:type="dxa"/>
            <w:vAlign w:val="bottom"/>
          </w:tcPr>
          <w:p>
            <w:pPr>
              <w:spacing w:after="0"/>
              <w:rPr>
                <w:sz w:val="24"/>
                <w:szCs w:val="24"/>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33,780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973,386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1,023,170</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(787,939)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(1,020,144)</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(5,172)</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(80,270)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(19,726)</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1,266</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(2,510)</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(315,608)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(294,754)</w:t>
            </w:r>
          </w:p>
        </w:tc>
      </w:tr>
      <w:tr>
        <w:trPr>
          <w:trHeight w:val="268"/>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(24,141)</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(342,011)</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23,267</w:t>
            </w:r>
          </w:p>
        </w:tc>
      </w:tr>
      <w:tr>
        <w:trPr>
          <w:trHeight w:val="268"/>
        </w:trPr>
        <w:tc>
          <w:tcPr>
            <w:tcW w:w="4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86,044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57,742</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66,583</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81,009</w:t>
            </w:r>
          </w:p>
        </w:tc>
      </w:tr>
      <w:tr>
        <w:trPr>
          <w:trHeight w:val="32"/>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763" w:right="239" w:bottom="1440" w:gutter="0" w:footer="0" w:header="0"/>
          <w:type w:val="continuous"/>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63"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(amounts in thousands)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61"/>
        </w:trPr>
        <w:tc>
          <w:tcPr>
            <w:tcW w:w="85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4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85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117,627</w:t>
            </w:r>
          </w:p>
        </w:tc>
        <w:tc>
          <w:tcPr>
            <w:tcW w:w="10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107,144</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8,086</w:t>
            </w:r>
          </w:p>
        </w:tc>
      </w:tr>
      <w:tr>
        <w:trPr>
          <w:trHeight w:val="222"/>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8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8580" w:type="dxa"/>
            <w:vAlign w:val="bottom"/>
          </w:tcPr>
          <w:p>
            <w:pPr>
              <w:ind w:left="380"/>
              <w:spacing w:after="0"/>
              <w:rPr>
                <w:sz w:val="20"/>
                <w:szCs w:val="20"/>
                <w:color w:val="auto"/>
              </w:rPr>
            </w:pPr>
            <w:r>
              <w:rPr>
                <w:rFonts w:ascii="Arial" w:cs="Arial" w:eastAsia="Arial" w:hAnsi="Arial"/>
                <w:sz w:val="16"/>
                <w:szCs w:val="16"/>
                <w:color w:val="auto"/>
              </w:rPr>
              <w:t>Noncontrolling interests in Operating Partnership</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2"/>
        </w:trPr>
        <w:tc>
          <w:tcPr>
            <w:tcW w:w="8580" w:type="dxa"/>
            <w:vAlign w:val="bottom"/>
          </w:tcPr>
          <w:p>
            <w:pPr>
              <w:ind w:left="40"/>
              <w:spacing w:after="0"/>
              <w:rPr>
                <w:sz w:val="20"/>
                <w:szCs w:val="20"/>
                <w:color w:val="auto"/>
              </w:rPr>
            </w:pPr>
            <w:r>
              <w:rPr>
                <w:rFonts w:ascii="Arial" w:cs="Arial" w:eastAsia="Arial" w:hAnsi="Arial"/>
                <w:sz w:val="16"/>
                <w:szCs w:val="16"/>
                <w:color w:val="auto"/>
              </w:rPr>
              <w:t>Acquisitions of real estate assets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8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20,100</w:t>
            </w:r>
          </w:p>
        </w:tc>
      </w:tr>
      <w:tr>
        <w:trPr>
          <w:trHeight w:val="235"/>
        </w:trPr>
        <w:tc>
          <w:tcPr>
            <w:tcW w:w="8580" w:type="dxa"/>
            <w:vAlign w:val="bottom"/>
          </w:tcPr>
          <w:p>
            <w:pPr>
              <w:ind w:left="380"/>
              <w:spacing w:after="0"/>
              <w:rPr>
                <w:sz w:val="20"/>
                <w:szCs w:val="20"/>
                <w:color w:val="auto"/>
              </w:rPr>
            </w:pPr>
            <w:r>
              <w:rPr>
                <w:rFonts w:ascii="Arial" w:cs="Arial" w:eastAsia="Arial" w:hAnsi="Arial"/>
                <w:sz w:val="16"/>
                <w:szCs w:val="16"/>
                <w:color w:val="auto"/>
              </w:rPr>
              <w:t>Value of Operating Partnership units issued</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(8,810)</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Notes payable assumed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(9,463)</w:t>
            </w:r>
          </w:p>
        </w:tc>
      </w:tr>
      <w:tr>
        <w:trPr>
          <w:trHeight w:val="235"/>
        </w:trPr>
        <w:tc>
          <w:tcPr>
            <w:tcW w:w="8580" w:type="dxa"/>
            <w:vAlign w:val="bottom"/>
          </w:tcPr>
          <w:p>
            <w:pPr>
              <w:ind w:left="380"/>
              <w:spacing w:after="0"/>
              <w:rPr>
                <w:sz w:val="20"/>
                <w:szCs w:val="20"/>
                <w:color w:val="auto"/>
              </w:rPr>
            </w:pPr>
            <w:r>
              <w:rPr>
                <w:rFonts w:ascii="Arial" w:cs="Arial" w:eastAsia="Arial" w:hAnsi="Arial"/>
                <w:sz w:val="16"/>
                <w:szCs w:val="16"/>
                <w:color w:val="auto"/>
              </w:rPr>
              <w:t>Investment in unconsolidated real estate ventures</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222"/>
        </w:trPr>
        <w:tc>
          <w:tcPr>
            <w:tcW w:w="8580" w:type="dxa"/>
            <w:vAlign w:val="bottom"/>
          </w:tcPr>
          <w:p>
            <w:pPr>
              <w:ind w:left="40"/>
              <w:spacing w:after="0"/>
              <w:rPr>
                <w:sz w:val="20"/>
                <w:szCs w:val="20"/>
                <w:color w:val="auto"/>
              </w:rPr>
            </w:pPr>
            <w:r>
              <w:rPr>
                <w:rFonts w:ascii="Arial" w:cs="Arial" w:eastAsia="Arial" w:hAnsi="Arial"/>
                <w:sz w:val="16"/>
                <w:szCs w:val="16"/>
                <w:color w:val="auto"/>
              </w:rPr>
              <w:t>Accrued construction costs and capital expenditures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8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real estate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4,874</w:t>
            </w:r>
          </w:p>
        </w:tc>
      </w:tr>
      <w:tr>
        <w:trPr>
          <w:trHeight w:val="235"/>
        </w:trPr>
        <w:tc>
          <w:tcPr>
            <w:tcW w:w="8580" w:type="dxa"/>
            <w:vAlign w:val="bottom"/>
          </w:tcPr>
          <w:p>
            <w:pPr>
              <w:ind w:left="380"/>
              <w:spacing w:after="0"/>
              <w:rPr>
                <w:sz w:val="20"/>
                <w:szCs w:val="20"/>
                <w:color w:val="auto"/>
              </w:rPr>
            </w:pPr>
            <w:r>
              <w:rPr>
                <w:rFonts w:ascii="Arial" w:cs="Arial" w:eastAsia="Arial" w:hAnsi="Arial"/>
                <w:sz w:val="16"/>
                <w:szCs w:val="16"/>
                <w:color w:val="auto"/>
              </w:rPr>
              <w:t>Development and redevelopment of real estate assets</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1,558</w:t>
            </w:r>
          </w:p>
        </w:tc>
      </w:tr>
      <w:tr>
        <w:trPr>
          <w:trHeight w:val="32"/>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5"/>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r>
      <w:tr>
        <w:trPr>
          <w:trHeight w:val="32"/>
        </w:trPr>
        <w:tc>
          <w:tcPr>
            <w:tcW w:w="8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3"/>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September 30, 2018, the Company had direct and indirect equity interests in 1,099 stores. In addition, the Company managed 507 stores for third parties, bringing the total number of stores which it owns and/or manages to 1,606. These stores are located in 39 states, Washington, D.C. and Puerto Rico. The Company also offers tenant reinsurance at its owned and managed stores that insures the value of goods in the storage units.</w:t>
      </w:r>
    </w:p>
    <w:p>
      <w:pPr>
        <w:spacing w:after="0" w:line="294"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2018 are not necessarily indicative of results that may be expected for the year ending December 31, 2018. The condensed consolidated balance sheet as of December 31, 2017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2017, as filed with the Securities and Exchange Commission.</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Beginning January 1, 2018, the Company has elected to include amounts previously reported on the condensed consolidated balance sheets as "Receivables from related parties and affiliated joint ventures" in "Other assets, net," as these amounts are no longer material. Additionally, the Company has elected to include amounts previously reported on the condensed consolidated statements of operations as "Interest income on note receivable from Preferred Operating Partnership unit holder" in "Interest income" as these amounts are no longer material. Prior year amounts have been reclassified to conform to the current year's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Immaterial Correction to Consolidated Balance Sheets</w:t>
      </w:r>
    </w:p>
    <w:p>
      <w:pPr>
        <w:spacing w:after="0" w:line="11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connection with the preparation of the financial statements for the quarter ended March 31, 2018, the Company determined that the negative balances in the "Investments in unconsolidated real estate ventures" line should be presented separately as liabilities. As a result, $5,816 should have been reported as "Cash distributions in unconsolidated real estate ventures" as of December 31, 2017. The Company concluded that the amount was not material to the consolidated balance sheet as of December 31, 2017 but has elected to present these amounts as liabilities in the accompanying financial statements for consistent presentation. The classification error had no effect on the previously reported consolidated statements of operations, comprehensive income, stockholders' equity or cash flows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("Topic 606") which amends the guidance for revenue recognition to replace numerous, industry-specific requirements and converges areas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topic with those of the International Financial Reporting Standards. Topic 606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Topic 606 became effective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3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annual and interim periods beginning after December 15, 2017. The Company determined that its property rental revenue and tenant reinsurance revenue are not subject to the guidance in Topic 606, as they qualify as lease contracts and insurance contracts, which are excluded from its scope. The Company's management fee revenue was included in the scope of Topic 606 and revenue recognized under the standard does not differ materially from revenue recognized under previous guidance. The Company adopted the new guidance using the modified retrospective transition method for all contracts as of January 1, 2018. The Company's adoption of this guidance did not result in a cumulative catch-up adjustment or any significant changes to financial statement line items.</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 will require entities to recognize a liability for their lease obligations and a corresponding asset representing the right to use the underlying asset over the lease term. Lease obligations are to be measured at their present value and accounted for using the effective interest method. The accounting for the leased asset will differ slightly depending on whether the agreement is deemed to be a financing or operating lease. For financing leases, the leased asset is depreciated on a straight-line basis and depreciation expense is recorded separately from the interest expense in the statements of operations, resulting in higher expense in the earlier part of the lease term. For operating leases, the depreciation and interest expense components are combined, recognized evenly over the term of the lease, and presented as a reduction to operating income. ASU 2016-02 requires that assets and liabilities be presented or disclosed separately, and requires additional disclosure of certain qualitative and quantitative information related to these lease agreements. ASU 2016-02 is effective for annual and interim periods beginning after December 15, 2018. The Company plans to adopt the standard using the modified retrospective approach beginning January 1, 2019. The Company expects to elect the package of practical expedients upon adoption, which allows for the application of the standard solely to the transition period in 2019 but does not require application to prior fiscal comparative periods presented. The primary impact is expected to be related to the Company’s 24 ground leases under which it serves as lessee.</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October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requires that a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fiscal years beginning after December 15, 2017, and interim periods within those fiscal years. The Company adopted this guidance as of January 1, 2018, and now presents restricted cash with cash and cash equivalents in the statements of cash flows. Prior period amounts have been reclassified to conform to the current year's presentation.</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for Accounting for Hedging Activities,"</w:t>
      </w:r>
      <w:r>
        <w:rPr>
          <w:rFonts w:ascii="Arial" w:cs="Arial" w:eastAsia="Arial" w:hAnsi="Arial"/>
          <w:sz w:val="18"/>
          <w:szCs w:val="18"/>
          <w:color w:val="auto"/>
        </w:rPr>
        <w:t xml:space="preserve"> which amends and simplifies existing guidance for the financial reporting of hedging relationships to allow companies to better portray the economic effects of risk management activities in their financial statements. ASU 2017-12 is effective for annual periods beginning after December 15, 2018, with early adoption permitted. The Company has chosen to early adopt this standard as of January 1, 2018. The adoption of this standard did not have a material impact on the financial statements.</w:t>
      </w:r>
    </w:p>
    <w:p>
      <w:pPr>
        <w:spacing w:after="0" w:line="18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amends the accounting for implementation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incurred in a hosting arrangement that is a service contract, and aligns them with the requirements for capitalizing implementation costs incurred to develop or obtain internal-use software. ASU 2018-15 also requires that entities amortize the capitalized implementation costs over the term of the hosting arrangement. ASU 2018-15 is effective for annual periods beginning after December 15, 2020, with early adoption permitted, including early adoption in any interim period. The Company has chosen to early adopt this guidance on a prospective basis as of October 1, 2018. The adoption of this standard will not have a material impact on the Company's financial statements.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640" w:hanging="633"/>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2018, the Company had assessed the significance of the impact of the credit valuation adjustments on the overall valuation of its derivative positions and determined that the credit valuation adjustments were not significant to the overall valuation of its derivatives. As a result, the Company determined that its derivative valuations in their entirety were classified in Level 2 of the fair value hierarchy.</w:t>
      </w:r>
    </w:p>
    <w:p>
      <w:pPr>
        <w:spacing w:after="0" w:line="16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September 30, 2018, aggregated by the level in the fair value hierarchy within which those measurements fall.</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6"/>
          </w:tcPr>
          <w:p>
            <w:pPr>
              <w:jc w:val="center"/>
              <w:ind w:left="145"/>
              <w:spacing w:after="0"/>
              <w:rPr>
                <w:sz w:val="20"/>
                <w:szCs w:val="20"/>
                <w:color w:val="auto"/>
              </w:rPr>
            </w:pPr>
            <w:r>
              <w:rPr>
                <w:rFonts w:ascii="Arial" w:cs="Arial" w:eastAsia="Arial" w:hAnsi="Arial"/>
                <w:sz w:val="14"/>
                <w:szCs w:val="14"/>
                <w:b w:val="1"/>
                <w:bCs w:val="1"/>
                <w:color w:val="auto"/>
                <w:w w:val="92"/>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right="400"/>
              <w:spacing w:after="0" w:line="151" w:lineRule="exact"/>
              <w:rPr>
                <w:sz w:val="20"/>
                <w:szCs w:val="20"/>
                <w:color w:val="auto"/>
              </w:rPr>
            </w:pPr>
            <w:r>
              <w:rPr>
                <w:rFonts w:ascii="Arial" w:cs="Arial" w:eastAsia="Arial" w:hAnsi="Arial"/>
                <w:sz w:val="14"/>
                <w:szCs w:val="14"/>
                <w:b w:val="1"/>
                <w:bCs w:val="1"/>
                <w:color w:val="auto"/>
                <w:w w:val="91"/>
              </w:rPr>
              <w:t>Quoted Prices in</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center"/>
              <w:ind w:left="264"/>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Active Markets for</w:t>
            </w:r>
          </w:p>
        </w:tc>
        <w:tc>
          <w:tcPr>
            <w:tcW w:w="144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3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vMerge w:val="restart"/>
          </w:tcPr>
          <w:p>
            <w:pPr>
              <w:spacing w:after="0"/>
              <w:rPr>
                <w:sz w:val="12"/>
                <w:szCs w:val="12"/>
                <w:color w:val="auto"/>
              </w:rPr>
            </w:pPr>
          </w:p>
        </w:tc>
        <w:tc>
          <w:tcPr>
            <w:tcW w:w="17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Identical Assets (Level</w:t>
            </w: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Observable Inputs</w:t>
            </w: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91"/>
        </w:trPr>
        <w:tc>
          <w:tcPr>
            <w:tcW w:w="5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6"/>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75,293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75,293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2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September 30, 2018 or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carefully reviews stores in the lease-up stage and compares actual operating results to original projections.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are presented as part of normal operations for all periods presented. As of September 30, 2018, the Company had one operating store classified as held for sale and one parcel of land classified as held for sale which are included in real estate assets, net. The estimated fair value less selling costs for each of these is greater than the carrying value of the assets, and therefore no loss has been recorded. During the nine months ended September 30, 2017, the Company recorded an impairment loss of $6,100 relating to one parcel of land that was held for sale at the time, and an additional two parcels of undeveloped land where the carrying value was greater than the fair value.</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assesses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Debt assumed as part of an acquisition is recorded at fair value based on current interest rates compared to contractual rates. Acquisition-related transaction costs are capitalized as part of the purchase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September 30, 2018 and December 31, 2017 approximate fair value. Restricted cash is comprised of letters of credit and escrowed funds deposited with financial institutions located throughout the United States relating to earnest money deposits on potential acquisitions, real estate taxes, insurance and capital expenditures.</w:t>
      </w:r>
    </w:p>
    <w:p>
      <w:pPr>
        <w:spacing w:after="0" w:line="1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fair values of the Company’s notes receivable from Preferred Operating Partnership unit holders and other fixed rate notes receivable, which are recorded in other assets, net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December 31, 2017</w:t>
            </w:r>
          </w:p>
        </w:tc>
      </w:tr>
      <w:tr>
        <w:trPr>
          <w:trHeight w:val="150"/>
        </w:trPr>
        <w:tc>
          <w:tcPr>
            <w:tcW w:w="5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40"/>
              <w:spacing w:after="0" w:line="151"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00" w:type="dxa"/>
            <w:vAlign w:val="bottom"/>
            <w:gridSpan w:val="2"/>
          </w:tcPr>
          <w:p>
            <w:pPr>
              <w:jc w:val="center"/>
              <w:ind w:right="420"/>
              <w:spacing w:after="0" w:line="151"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240" w:type="dxa"/>
            <w:vAlign w:val="bottom"/>
            <w:gridSpan w:val="2"/>
          </w:tcPr>
          <w:p>
            <w:pPr>
              <w:jc w:val="center"/>
              <w:ind w:right="500"/>
              <w:spacing w:after="0" w:line="151"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80" w:type="dxa"/>
            <w:vAlign w:val="bottom"/>
          </w:tcPr>
          <w:p>
            <w:pPr>
              <w:jc w:val="right"/>
              <w:ind w:right="377"/>
              <w:spacing w:after="0" w:line="151" w:lineRule="exact"/>
              <w:rPr>
                <w:sz w:val="20"/>
                <w:szCs w:val="20"/>
                <w:color w:val="auto"/>
              </w:rPr>
            </w:pPr>
            <w:r>
              <w:rPr>
                <w:rFonts w:ascii="Arial" w:cs="Arial" w:eastAsia="Arial" w:hAnsi="Arial"/>
                <w:sz w:val="14"/>
                <w:szCs w:val="14"/>
                <w:b w:val="1"/>
                <w:bCs w:val="1"/>
                <w:color w:val="auto"/>
              </w:rPr>
              <w:t>Carrying</w:t>
            </w:r>
          </w:p>
        </w:tc>
      </w:tr>
      <w:tr>
        <w:trPr>
          <w:trHeight w:val="191"/>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47"/>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Notes receivable from Preferred Operating Partnership unit holders</w:t>
            </w:r>
          </w:p>
        </w:tc>
        <w:tc>
          <w:tcPr>
            <w:tcW w:w="30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120,230</w:t>
            </w: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20,942</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20,608</w:t>
            </w:r>
          </w:p>
        </w:tc>
      </w:tr>
      <w:tr>
        <w:trPr>
          <w:trHeight w:val="28"/>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 notes payable and notes payable to trusts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3,469,014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3,573,996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2,774,242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2,815,085</w:t>
            </w: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Exchangeable senior notes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617,125</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719,056</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624,259</w:t>
            </w:r>
          </w:p>
        </w:tc>
      </w:tr>
      <w:tr>
        <w:trPr>
          <w:trHeight w:val="482"/>
        </w:trPr>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00"/>
          </w:cols>
          <w:pgMar w:left="240" w:top="3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640" w:hanging="633"/>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common Operating Partnership units (“OP Units”)) that do not have a current right to participate in earnings of the Company but could do so in the future by virtue of their option, redemption or conversion right.</w:t>
      </w:r>
    </w:p>
    <w:p>
      <w:pPr>
        <w:spacing w:after="0" w:line="18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months ended September 30, 2018 there were no anti-dilutive options. For the three months ended September 30, 2017, options to purchase an aggregate of approximately 45,438 shares of common stock, and for the nine months ended September 30, 2018 and 2017, options to purchase an aggregate of approximately 36,404 and 97,697 shares of common stock, respectively, were excluded from the computation of earnings per share as their effect would have been anti-dilutive.</w:t>
      </w:r>
    </w:p>
    <w:p>
      <w:pPr>
        <w:spacing w:after="0" w:line="17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2018 and 2017 was $92.83 and $77.84, respectively, and for the nine months ended September 30, 2018 and 2017, the average share price was $90.09 and $76.67, respectively.</w:t>
      </w:r>
    </w:p>
    <w:p>
      <w:pPr>
        <w:spacing w:after="0" w:line="189"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191"/>
        </w:trPr>
        <w:tc>
          <w:tcPr>
            <w:tcW w:w="3500" w:type="dxa"/>
            <w:vAlign w:val="bottom"/>
          </w:tcPr>
          <w:p>
            <w:pPr>
              <w:spacing w:after="0"/>
              <w:rPr>
                <w:sz w:val="16"/>
                <w:szCs w:val="16"/>
                <w:color w:val="auto"/>
              </w:rPr>
            </w:pPr>
          </w:p>
        </w:tc>
        <w:tc>
          <w:tcPr>
            <w:tcW w:w="36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3440" w:type="dxa"/>
            <w:vAlign w:val="bottom"/>
            <w:gridSpan w:val="3"/>
          </w:tcPr>
          <w:p>
            <w:pPr>
              <w:jc w:val="right"/>
              <w:ind w:right="324"/>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1"/>
        </w:trPr>
        <w:tc>
          <w:tcPr>
            <w:tcW w:w="35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150"/>
        </w:trPr>
        <w:tc>
          <w:tcPr>
            <w:tcW w:w="3500" w:type="dxa"/>
            <w:vAlign w:val="bottom"/>
          </w:tcPr>
          <w:p>
            <w:pPr>
              <w:spacing w:after="0"/>
              <w:rPr>
                <w:sz w:val="13"/>
                <w:szCs w:val="13"/>
                <w:color w:val="auto"/>
              </w:rPr>
            </w:pPr>
          </w:p>
        </w:tc>
        <w:tc>
          <w:tcPr>
            <w:tcW w:w="18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2"/>
              </w:rPr>
              <w:t>Equivalent Shares (if</w:t>
            </w:r>
          </w:p>
        </w:tc>
        <w:tc>
          <w:tcPr>
            <w:tcW w:w="18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2"/>
              </w:rPr>
              <w:t>Equivalent Shares (if</w:t>
            </w:r>
          </w:p>
        </w:tc>
        <w:tc>
          <w:tcPr>
            <w:tcW w:w="1780" w:type="dxa"/>
            <w:vAlign w:val="bottom"/>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93"/>
              </w:rPr>
              <w:t>Equivalent Shares (if</w:t>
            </w:r>
          </w:p>
        </w:tc>
        <w:tc>
          <w:tcPr>
            <w:tcW w:w="1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3"/>
              </w:rPr>
              <w:t>Equivalent Shares (if</w:t>
            </w:r>
          </w:p>
        </w:tc>
      </w:tr>
      <w:tr>
        <w:trPr>
          <w:trHeight w:val="191"/>
        </w:trPr>
        <w:tc>
          <w:tcPr>
            <w:tcW w:w="35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converted)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converted)</w:t>
            </w:r>
          </w:p>
        </w:tc>
      </w:tr>
      <w:tr>
        <w:trPr>
          <w:trHeight w:val="233"/>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7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451,386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538,312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465,115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546,526</w:t>
            </w:r>
          </w:p>
        </w:tc>
      </w:tr>
      <w:tr>
        <w:trPr>
          <w:trHeight w:val="235"/>
        </w:trPr>
        <w:tc>
          <w:tcPr>
            <w:tcW w:w="3500" w:type="dxa"/>
            <w:vAlign w:val="bottom"/>
          </w:tcPr>
          <w:p>
            <w:pPr>
              <w:ind w:left="20"/>
              <w:spacing w:after="0"/>
              <w:rPr>
                <w:sz w:val="20"/>
                <w:szCs w:val="20"/>
                <w:color w:val="auto"/>
              </w:rPr>
            </w:pPr>
            <w:r>
              <w:rPr>
                <w:rFonts w:ascii="Arial" w:cs="Arial" w:eastAsia="Arial" w:hAnsi="Arial"/>
                <w:sz w:val="16"/>
                <w:szCs w:val="16"/>
                <w:color w:val="auto"/>
              </w:rPr>
              <w:t>Series C Units</w:t>
            </w: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319,283</w:t>
            </w:r>
          </w:p>
        </w:tc>
        <w:tc>
          <w:tcPr>
            <w:tcW w:w="12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380,769</w:t>
            </w:r>
          </w:p>
        </w:tc>
        <w:tc>
          <w:tcPr>
            <w:tcW w:w="120" w:type="dxa"/>
            <w:vAlign w:val="bottom"/>
          </w:tcPr>
          <w:p>
            <w:pPr>
              <w:spacing w:after="0"/>
              <w:rPr>
                <w:sz w:val="20"/>
                <w:szCs w:val="20"/>
                <w:color w:val="auto"/>
              </w:rPr>
            </w:pP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328,994</w:t>
            </w:r>
          </w:p>
        </w:tc>
        <w:tc>
          <w:tcPr>
            <w:tcW w:w="120" w:type="dxa"/>
            <w:vAlign w:val="bottom"/>
          </w:tcPr>
          <w:p>
            <w:pPr>
              <w:spacing w:after="0"/>
              <w:rPr>
                <w:sz w:val="20"/>
                <w:szCs w:val="20"/>
                <w:color w:val="auto"/>
              </w:rPr>
            </w:pP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386,580</w:t>
            </w:r>
          </w:p>
        </w:tc>
      </w:tr>
      <w:tr>
        <w:trPr>
          <w:trHeight w:val="32"/>
        </w:trPr>
        <w:tc>
          <w:tcPr>
            <w:tcW w:w="3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D Units</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1,126,831</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1,021,901</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1,091,319</w:t>
            </w:r>
          </w:p>
        </w:tc>
      </w:tr>
      <w:tr>
        <w:trPr>
          <w:trHeight w:val="215"/>
        </w:trPr>
        <w:tc>
          <w:tcPr>
            <w:tcW w:w="3500" w:type="dxa"/>
            <w:vAlign w:val="bottom"/>
          </w:tcPr>
          <w:p>
            <w:pPr>
              <w:spacing w:after="0"/>
              <w:rPr>
                <w:sz w:val="18"/>
                <w:szCs w:val="18"/>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770,669</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2,045,912</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1,816,010</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2,024,425</w:t>
            </w:r>
          </w:p>
        </w:tc>
      </w:tr>
      <w:tr>
        <w:trPr>
          <w:trHeight w:val="32"/>
        </w:trPr>
        <w:tc>
          <w:tcPr>
            <w:tcW w:w="35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Operating Partnership had no Exchangeable Senior Notes due 2033 (the “2013 Notes”) issued and outstanding as of September 30, 2018, as the remaining principal balance had been redeemed in July 2018. Prior to their redemption, the 2013 Notes could potentially have had a dilutive impact on the Company’s earnings per share calculations. The 2013 Notes were exchangeable by holders into shares of the Company’s common stock under certain circumstances per the terms of the indenture governing the 2013 Notes. The exchange price of the 2013 Notes could change over time as described in the indenture. The Company had irrevocably agreed to pay only cash for the accreted principal amount of the 2013 Notes relative to its exchange obligations, but retained the right to satisfy the exchange obligation in excess of the accreted principal amount in cash and/or common stock.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September 30, 2018.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$93.06 per share as of September 30, 2018,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Although the Company has retained the right to satisfy the exchange obligation in excess of the accreted principal amount of the 2013 Notes and 2015 Notes in cash and/or common stock, Accounting Standards Codification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three and nine months ended September 30, 2018 and 2017, zero and 413,498 shares, respectively, related to the 2013 Notes were included in the computation for diluted earnings per share. For the three and nine months ended September 30, 2018 and 2017, no shares related to the 2015 Notes were included in the computation for diluted earnings per share as the exchange price exceeded the average per share price of the Company’s common stock during these periods.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was as follows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80" w:type="dxa"/>
            <w:vAlign w:val="bottom"/>
          </w:tcPr>
          <w:p>
            <w:pPr>
              <w:spacing w:after="0"/>
              <w:rPr>
                <w:sz w:val="16"/>
                <w:szCs w:val="16"/>
                <w:color w:val="auto"/>
              </w:rPr>
            </w:pPr>
          </w:p>
        </w:tc>
        <w:tc>
          <w:tcPr>
            <w:tcW w:w="30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61"/>
        </w:trPr>
        <w:tc>
          <w:tcPr>
            <w:tcW w:w="55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3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130,418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93,764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313,827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263,052</w:t>
            </w: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Earnings and dividends allocated to participating securities</w:t>
            </w:r>
          </w:p>
        </w:tc>
        <w:tc>
          <w:tcPr>
            <w:tcW w:w="2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(595)</w:t>
            </w:r>
          </w:p>
        </w:tc>
      </w:tr>
      <w:tr>
        <w:trPr>
          <w:trHeight w:val="32"/>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for basic computations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130,199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93,573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313,277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262,457</w:t>
            </w: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Earnings and dividends allocated to participating securities</w:t>
            </w:r>
          </w:p>
        </w:tc>
        <w:tc>
          <w:tcPr>
            <w:tcW w:w="2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595</w:t>
            </w:r>
          </w:p>
        </w:tc>
      </w:tr>
      <w:tr>
        <w:trPr>
          <w:trHeight w:val="32"/>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8"/>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Income allocated to noncontrolling interest - Preferred Operating Partnership</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5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Units and Operating Partnership Units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7,336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5,163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17,191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15,448</w:t>
            </w:r>
          </w:p>
        </w:tc>
      </w:tr>
      <w:tr>
        <w:trPr>
          <w:trHeight w:val="218"/>
        </w:trPr>
        <w:tc>
          <w:tcPr>
            <w:tcW w:w="5580" w:type="dxa"/>
            <w:vAlign w:val="bottom"/>
          </w:tcPr>
          <w:p>
            <w:pPr>
              <w:ind w:left="380"/>
              <w:spacing w:after="0"/>
              <w:rPr>
                <w:sz w:val="20"/>
                <w:szCs w:val="20"/>
                <w:color w:val="auto"/>
              </w:rPr>
            </w:pPr>
            <w:r>
              <w:rPr>
                <w:rFonts w:ascii="Arial" w:cs="Arial" w:eastAsia="Arial" w:hAnsi="Arial"/>
                <w:sz w:val="16"/>
                <w:szCs w:val="16"/>
                <w:color w:val="auto"/>
                <w:w w:val="98"/>
              </w:rPr>
              <w:t>Fixed component of income allocated to noncontrolling interest - Preferred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5"/>
        </w:trPr>
        <w:tc>
          <w:tcPr>
            <w:tcW w:w="5580" w:type="dxa"/>
            <w:vAlign w:val="bottom"/>
          </w:tcPr>
          <w:p>
            <w:pPr>
              <w:ind w:left="540"/>
              <w:spacing w:after="0"/>
              <w:rPr>
                <w:sz w:val="20"/>
                <w:szCs w:val="20"/>
                <w:color w:val="auto"/>
              </w:rPr>
            </w:pPr>
            <w:r>
              <w:rPr>
                <w:rFonts w:ascii="Arial" w:cs="Arial" w:eastAsia="Arial" w:hAnsi="Arial"/>
                <w:sz w:val="16"/>
                <w:szCs w:val="16"/>
                <w:color w:val="auto"/>
              </w:rPr>
              <w:t>Operating Partnership (Series A Units)</w:t>
            </w: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(2,547)</w:t>
            </w:r>
          </w:p>
        </w:tc>
      </w:tr>
      <w:tr>
        <w:trPr>
          <w:trHeight w:val="32"/>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for diluted computations</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136,963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98,355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329,302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275,953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1"/>
        </w:trPr>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Average number of common shares outstanding - basic</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126,466,837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125,717,517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125,959,926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125,665,787</w:t>
            </w:r>
          </w:p>
        </w:tc>
      </w:tr>
      <w:tr>
        <w:trPr>
          <w:trHeight w:val="32"/>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 Units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5,636,845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5,590,231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5,650,599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5,586,908</w:t>
            </w: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Series A Units</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875,480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875,480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875,480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875,480</w:t>
            </w:r>
          </w:p>
        </w:tc>
      </w:tr>
      <w:tr>
        <w:trPr>
          <w:trHeight w:val="32"/>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Series D Units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991,738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2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280,484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250,630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288,831</w:t>
            </w:r>
          </w:p>
        </w:tc>
      </w:tr>
      <w:tr>
        <w:trPr>
          <w:trHeight w:val="32"/>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269,390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580,761</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279,055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591,616</w:t>
            </w:r>
          </w:p>
        </w:tc>
      </w:tr>
      <w:tr>
        <w:trPr>
          <w:trHeight w:val="215"/>
        </w:trPr>
        <w:tc>
          <w:tcPr>
            <w:tcW w:w="5580" w:type="dxa"/>
            <w:vAlign w:val="bottom"/>
          </w:tcPr>
          <w:p>
            <w:pPr>
              <w:ind w:left="380"/>
              <w:spacing w:after="0"/>
              <w:rPr>
                <w:sz w:val="20"/>
                <w:szCs w:val="20"/>
                <w:color w:val="auto"/>
              </w:rPr>
            </w:pPr>
            <w:r>
              <w:rPr>
                <w:rFonts w:ascii="Arial" w:cs="Arial" w:eastAsia="Arial" w:hAnsi="Arial"/>
                <w:sz w:val="16"/>
                <w:szCs w:val="16"/>
                <w:color w:val="auto"/>
              </w:rPr>
              <w:t>Average number of common shares outstanding - diluted</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134,240,290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133,044,473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133,015,690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133,008,622</w:t>
            </w:r>
          </w:p>
        </w:tc>
      </w:tr>
      <w:tr>
        <w:trPr>
          <w:trHeight w:val="72"/>
        </w:trPr>
        <w:tc>
          <w:tcPr>
            <w:tcW w:w="55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4"/>
        </w:trPr>
        <w:tc>
          <w:tcPr>
            <w:tcW w:w="5580" w:type="dxa"/>
            <w:vAlign w:val="bottom"/>
            <w:tcBorders>
              <w:bottom w:val="single" w:sz="8" w:color="CCEEFF"/>
            </w:tcBorders>
            <w:shd w:val="clear" w:color="auto" w:fill="CCEEFF"/>
          </w:tcPr>
          <w:p>
            <w:pPr>
              <w:ind w:left="40"/>
              <w:spacing w:after="0" w:line="175" w:lineRule="exact"/>
              <w:rPr>
                <w:sz w:val="20"/>
                <w:szCs w:val="20"/>
                <w:color w:val="auto"/>
              </w:rPr>
            </w:pPr>
            <w:r>
              <w:rPr>
                <w:rFonts w:ascii="Arial" w:cs="Arial" w:eastAsia="Arial" w:hAnsi="Arial"/>
                <w:sz w:val="16"/>
                <w:szCs w:val="16"/>
                <w:color w:val="auto"/>
              </w:rPr>
              <w:t>Earnings per common share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5"/>
        </w:trPr>
        <w:tc>
          <w:tcPr>
            <w:tcW w:w="5580" w:type="dxa"/>
            <w:vAlign w:val="bottom"/>
          </w:tcPr>
          <w:p>
            <w:pPr>
              <w:ind w:left="3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0.74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2.09</w:t>
            </w:r>
          </w:p>
        </w:tc>
      </w:tr>
      <w:tr>
        <w:trPr>
          <w:trHeight w:val="32"/>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2.07</w:t>
            </w:r>
          </w:p>
        </w:tc>
      </w:tr>
      <w:tr>
        <w:trPr>
          <w:trHeight w:val="32"/>
        </w:trPr>
        <w:tc>
          <w:tcPr>
            <w:tcW w:w="5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STORE ACQUISITIONS AND DISPOSITIONS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shows the Company’s acquisitions of stores for the three and nine months ended September 30, 2018 and 2017. The table excludes purchases of raw land or improvements made to existing assets. All acquisitions are considered asset acquisitions under 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Clarifying the Definition of a Business</w:t>
      </w:r>
      <w:r>
        <w:rPr>
          <w:rFonts w:ascii="Arial" w:cs="Arial" w:eastAsia="Arial" w:hAnsi="Arial"/>
          <w:sz w:val="18"/>
          <w:szCs w:val="18"/>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Consideration Paid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860" w:type="dxa"/>
            <w:vAlign w:val="bottom"/>
          </w:tcPr>
          <w:p>
            <w:pPr>
              <w:jc w:val="center"/>
              <w:ind w:right="23"/>
              <w:spacing w:after="0" w:line="151"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1000" w:type="dxa"/>
            <w:vAlign w:val="bottom"/>
          </w:tcPr>
          <w:p>
            <w:pPr>
              <w:jc w:val="center"/>
              <w:ind w:right="22"/>
              <w:spacing w:after="0" w:line="151" w:lineRule="exact"/>
              <w:rPr>
                <w:sz w:val="20"/>
                <w:szCs w:val="20"/>
                <w:color w:val="auto"/>
              </w:rPr>
            </w:pPr>
            <w:r>
              <w:rPr>
                <w:rFonts w:ascii="Arial" w:cs="Arial" w:eastAsia="Arial" w:hAnsi="Arial"/>
                <w:sz w:val="14"/>
                <w:szCs w:val="14"/>
                <w:b w:val="1"/>
                <w:bCs w:val="1"/>
                <w:color w:val="auto"/>
                <w:w w:val="91"/>
              </w:rPr>
              <w:t>Investments in</w:t>
            </w:r>
          </w:p>
        </w:tc>
        <w:tc>
          <w:tcPr>
            <w:tcW w:w="10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3"/>
                <w:szCs w:val="13"/>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4"/>
              </w:rPr>
              <w:t>Value of OP</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OP</w:t>
            </w:r>
          </w:p>
        </w:tc>
        <w:tc>
          <w:tcPr>
            <w:tcW w:w="14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47"/>
        </w:trPr>
        <w:tc>
          <w:tcPr>
            <w:tcW w:w="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Quarter</w:t>
            </w: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Paid</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23"/>
              <w:spacing w:after="0" w:line="147"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00" w:type="dxa"/>
            <w:vAlign w:val="bottom"/>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2"/>
                <w:szCs w:val="12"/>
                <w:color w:val="auto"/>
              </w:rPr>
            </w:pPr>
          </w:p>
        </w:tc>
        <w:tc>
          <w:tcPr>
            <w:tcW w:w="820" w:type="dxa"/>
            <w:vAlign w:val="bottom"/>
          </w:tcPr>
          <w:p>
            <w:pPr>
              <w:jc w:val="center"/>
              <w:ind w:right="82"/>
              <w:spacing w:after="0" w:line="147" w:lineRule="exact"/>
              <w:rPr>
                <w:sz w:val="20"/>
                <w:szCs w:val="20"/>
                <w:color w:val="auto"/>
              </w:rPr>
            </w:pPr>
            <w:r>
              <w:rPr>
                <w:rFonts w:ascii="Arial" w:cs="Arial" w:eastAsia="Arial" w:hAnsi="Arial"/>
                <w:sz w:val="14"/>
                <w:szCs w:val="14"/>
                <w:b w:val="1"/>
                <w:bCs w:val="1"/>
                <w:color w:val="auto"/>
                <w:w w:val="83"/>
              </w:rPr>
              <w:t>(Assets)</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8"/>
              </w:rPr>
              <w:t>Assumed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Ventures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Assumed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8"/>
              </w:rPr>
              <w:t>Units Issued</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47"/>
        </w:trPr>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Q3 2018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74,694</w:t>
            </w:r>
          </w:p>
        </w:tc>
        <w:tc>
          <w:tcPr>
            <w:tcW w:w="0" w:type="dxa"/>
            <w:vAlign w:val="bottom"/>
          </w:tcPr>
          <w:p>
            <w:pPr>
              <w:spacing w:after="0"/>
              <w:rPr>
                <w:sz w:val="1"/>
                <w:szCs w:val="1"/>
                <w:color w:val="auto"/>
              </w:rPr>
            </w:pPr>
          </w:p>
        </w:tc>
      </w:tr>
      <w:tr>
        <w:trPr>
          <w:trHeight w:val="218"/>
        </w:trPr>
        <w:tc>
          <w:tcPr>
            <w:tcW w:w="700" w:type="dxa"/>
            <w:vAlign w:val="bottom"/>
          </w:tcPr>
          <w:p>
            <w:pPr>
              <w:ind w:left="40"/>
              <w:spacing w:after="0"/>
              <w:rPr>
                <w:sz w:val="20"/>
                <w:szCs w:val="20"/>
                <w:color w:val="auto"/>
              </w:rPr>
            </w:pPr>
            <w:r>
              <w:rPr>
                <w:rFonts w:ascii="Arial" w:cs="Arial" w:eastAsia="Arial" w:hAnsi="Arial"/>
                <w:sz w:val="16"/>
                <w:szCs w:val="16"/>
                <w:color w:val="auto"/>
              </w:rPr>
              <w:t>Q2</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2018 </w:t>
            </w:r>
            <w:r>
              <w:rPr>
                <w:rFonts w:ascii="Arial" w:cs="Arial" w:eastAsia="Arial" w:hAnsi="Arial"/>
                <w:sz w:val="21"/>
                <w:szCs w:val="21"/>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237,284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148,650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87,500</w:t>
            </w:r>
          </w:p>
        </w:tc>
        <w:tc>
          <w:tcPr>
            <w:tcW w:w="18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(1,024)</w:t>
            </w:r>
          </w:p>
        </w:tc>
        <w:tc>
          <w:tcPr>
            <w:tcW w:w="18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1,877</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21,768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237,284</w:t>
            </w:r>
          </w:p>
        </w:tc>
        <w:tc>
          <w:tcPr>
            <w:tcW w:w="0" w:type="dxa"/>
            <w:vAlign w:val="bottom"/>
          </w:tcPr>
          <w:p>
            <w:pPr>
              <w:spacing w:after="0"/>
              <w:rPr>
                <w:sz w:val="1"/>
                <w:szCs w:val="1"/>
                <w:color w:val="auto"/>
              </w:rPr>
            </w:pPr>
          </w:p>
        </w:tc>
      </w:tr>
      <w:tr>
        <w:trPr>
          <w:trHeight w:val="218"/>
        </w:trPr>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2018 </w:t>
            </w:r>
            <w:r>
              <w:rPr>
                <w:rFonts w:ascii="Arial" w:cs="Arial" w:eastAsia="Arial" w:hAnsi="Arial"/>
                <w:sz w:val="21"/>
                <w:szCs w:val="21"/>
                <w:color w:val="auto"/>
                <w:vertAlign w:val="superscript"/>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70,787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70,171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489</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70,787</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382,765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290,810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87,500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3,113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1,877</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21,768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382,765</w:t>
            </w:r>
          </w:p>
        </w:tc>
        <w:tc>
          <w:tcPr>
            <w:tcW w:w="0" w:type="dxa"/>
            <w:vAlign w:val="bottom"/>
          </w:tcPr>
          <w:p>
            <w:pPr>
              <w:spacing w:after="0"/>
              <w:rPr>
                <w:sz w:val="1"/>
                <w:szCs w:val="1"/>
                <w:color w:val="auto"/>
              </w:rPr>
            </w:pPr>
          </w:p>
        </w:tc>
      </w:tr>
      <w:tr>
        <w:trPr>
          <w:trHeight w:val="72"/>
        </w:trPr>
        <w:tc>
          <w:tcPr>
            <w:tcW w:w="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00" w:type="dxa"/>
            <w:vAlign w:val="bottom"/>
          </w:tcPr>
          <w:p>
            <w:pPr>
              <w:ind w:left="40"/>
              <w:spacing w:after="0"/>
              <w:rPr>
                <w:sz w:val="20"/>
                <w:szCs w:val="20"/>
                <w:color w:val="auto"/>
              </w:rPr>
            </w:pPr>
            <w:r>
              <w:rPr>
                <w:rFonts w:ascii="Arial" w:cs="Arial" w:eastAsia="Arial" w:hAnsi="Arial"/>
                <w:sz w:val="16"/>
                <w:szCs w:val="16"/>
                <w:color w:val="auto"/>
              </w:rPr>
              <w:t>Q3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31,966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29,919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2,000</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25,520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Q2 2017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9,463</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1,827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6,810</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34,641</w:t>
            </w:r>
          </w:p>
        </w:tc>
        <w:tc>
          <w:tcPr>
            <w:tcW w:w="0" w:type="dxa"/>
            <w:vAlign w:val="bottom"/>
          </w:tcPr>
          <w:p>
            <w:pPr>
              <w:spacing w:after="0"/>
              <w:rPr>
                <w:sz w:val="1"/>
                <w:szCs w:val="1"/>
                <w:color w:val="auto"/>
              </w:rPr>
            </w:pPr>
          </w:p>
        </w:tc>
      </w:tr>
      <w:tr>
        <w:trPr>
          <w:trHeight w:val="235"/>
        </w:trPr>
        <w:tc>
          <w:tcPr>
            <w:tcW w:w="700" w:type="dxa"/>
            <w:vAlign w:val="bottom"/>
          </w:tcPr>
          <w:p>
            <w:pPr>
              <w:ind w:left="40"/>
              <w:spacing w:after="0"/>
              <w:rPr>
                <w:sz w:val="20"/>
                <w:szCs w:val="20"/>
                <w:color w:val="auto"/>
              </w:rPr>
            </w:pPr>
            <w:r>
              <w:rPr>
                <w:rFonts w:ascii="Arial" w:cs="Arial" w:eastAsia="Arial" w:hAnsi="Arial"/>
                <w:sz w:val="16"/>
                <w:szCs w:val="16"/>
                <w:color w:val="auto"/>
              </w:rPr>
              <w:t>Q1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25,556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25,541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25,556</w:t>
            </w:r>
          </w:p>
        </w:tc>
        <w:tc>
          <w:tcPr>
            <w:tcW w:w="0" w:type="dxa"/>
            <w:vAlign w:val="bottom"/>
          </w:tcPr>
          <w:p>
            <w:pPr>
              <w:spacing w:after="0"/>
              <w:rPr>
                <w:sz w:val="1"/>
                <w:szCs w:val="1"/>
                <w:color w:val="auto"/>
              </w:rPr>
            </w:pPr>
          </w:p>
        </w:tc>
      </w:tr>
      <w:tr>
        <w:trPr>
          <w:trHeight w:val="32"/>
        </w:trPr>
        <w:tc>
          <w:tcPr>
            <w:tcW w:w="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92,163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72,068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9,463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1,827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8,810</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297,920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92,163</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hanging="233"/>
        <w:spacing w:after="0" w:line="258" w:lineRule="auto"/>
        <w:tabs>
          <w:tab w:leader="none" w:pos="269"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Store acquisitions during the nine months ended September 30, 2018 include the purchase of 15 stores previously held in joint ventures where the Company held a noncontrolling interest. The Company purchased its partners' remaining equity interests in the joint ventures, and the properties owned by the joint ventures became wholly owned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Dispositions</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August 16, 2018, the Company closed on the sale of a store located in California that had been classified as held for sale for $40,235 in cash. The Company recorded a gain on the sale of $30,671.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September 13, 2017, the Company closed on the sale of a parcel of land located in New York that had been classified as held for sale for $19,000 in cash.</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This parcel of land had been written down to its fair value less selling costs during the six months ended June 30, 2017, and a loss of $3,500 was recorded.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Therefore no additional gain or loss was recorded related to this sale at the time of closing.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640" w:hanging="633"/>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VENTURES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83"/>
        </w:trPr>
        <w:tc>
          <w:tcPr>
            <w:tcW w:w="482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Number of Stores</w:t>
            </w: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Excess Profit %</w:t>
            </w:r>
          </w:p>
        </w:tc>
        <w:tc>
          <w:tcPr>
            <w:tcW w:w="10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1"/>
        </w:trPr>
        <w:tc>
          <w:tcPr>
            <w:tcW w:w="4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Ownership %</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WICNN JV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VRS Self Storage, LLC</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45%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19,467</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PRISA Self Storage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Alan Jathoo JV LLC</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 Space West Two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ESS Bristol Investments LLC</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WCOT Self Storage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Extra Space West One LLC</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 Space Northern Properties Six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Storage Portfolio II JV LLC</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Portfolio I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28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11,495</w:t>
            </w:r>
          </w:p>
        </w:tc>
        <w:tc>
          <w:tcPr>
            <w:tcW w:w="0" w:type="dxa"/>
            <w:vAlign w:val="bottom"/>
          </w:tcPr>
          <w:p>
            <w:pPr>
              <w:spacing w:after="0"/>
              <w:rPr>
                <w:sz w:val="1"/>
                <w:szCs w:val="1"/>
                <w:color w:val="auto"/>
              </w:rPr>
            </w:pPr>
          </w:p>
        </w:tc>
      </w:tr>
      <w:tr>
        <w:trPr>
          <w:trHeight w:val="239"/>
        </w:trPr>
        <w:tc>
          <w:tcPr>
            <w:tcW w:w="4820" w:type="dxa"/>
            <w:vAlign w:val="bottom"/>
          </w:tcPr>
          <w:p>
            <w:pPr>
              <w:ind w:left="40"/>
              <w:spacing w:after="0"/>
              <w:rPr>
                <w:sz w:val="20"/>
                <w:szCs w:val="20"/>
                <w:color w:val="auto"/>
              </w:rPr>
            </w:pPr>
            <w:r>
              <w:rPr>
                <w:rFonts w:ascii="Arial" w:cs="Arial" w:eastAsia="Arial" w:hAnsi="Arial"/>
                <w:sz w:val="18"/>
                <w:szCs w:val="18"/>
                <w:color w:val="auto"/>
              </w:rPr>
              <w:t>Other minority owned stores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8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10-50%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47,212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29,970</w:t>
            </w:r>
          </w:p>
        </w:tc>
        <w:tc>
          <w:tcPr>
            <w:tcW w:w="0" w:type="dxa"/>
            <w:vAlign w:val="bottom"/>
          </w:tcPr>
          <w:p>
            <w:pPr>
              <w:spacing w:after="0"/>
              <w:rPr>
                <w:sz w:val="1"/>
                <w:szCs w:val="1"/>
                <w:color w:val="auto"/>
              </w:rPr>
            </w:pPr>
          </w:p>
        </w:tc>
      </w:tr>
      <w:tr>
        <w:trPr>
          <w:trHeight w:val="28"/>
        </w:trPr>
        <w:tc>
          <w:tcPr>
            <w:tcW w:w="4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Net Investments in and Cash distributions in unconsolidated real</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223</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70,233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70,091</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estate ventures</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Investments in unconsolidated real estate ventures represent the Company's noncontrolling interests in properties. The Company accounts for these investments using the equity method of accounting. The Company initially records these investments at cost and subsequently adjusts for net equity in income or loss, which it allocates in accordance with the provisions of the applicable partnership or joint venture agreement, cash contributions and distributions.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6" w:lineRule="exact"/>
        <w:rPr>
          <w:sz w:val="20"/>
          <w:szCs w:val="20"/>
          <w:color w:val="auto"/>
        </w:rPr>
      </w:pPr>
    </w:p>
    <w:p>
      <w:pPr>
        <w:ind w:right="360"/>
        <w:spacing w:after="0" w:line="217" w:lineRule="exact"/>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or operating distributions that are usually greater than net income, as net income includes non</w:t>
      </w:r>
      <w:r>
        <w:rPr>
          <w:rFonts w:ascii="MS PGothic" w:cs="MS PGothic" w:eastAsia="MS PGothic" w:hAnsi="MS PGothic"/>
          <w:sz w:val="16"/>
          <w:szCs w:val="16"/>
          <w:color w:val="auto"/>
        </w:rPr>
        <w:t>‑</w:t>
      </w:r>
      <w:r>
        <w:rPr>
          <w:rFonts w:ascii="Arial" w:cs="Arial" w:eastAsia="Arial" w:hAnsi="Arial"/>
          <w:sz w:val="16"/>
          <w:szCs w:val="16"/>
          <w:color w:val="auto"/>
        </w:rPr>
        <w:t>cash charges for depreciation and amortization while distributions do not.</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18, 2018, the Company entered into a new joint venture, WICNN JV LLC. On June 19, 2018, WICNN JV LLC purchased seven stores located in Connecticut, New Jersey and Wisconsin, and the Company made an initial contribution of $4,505 and received a 10.0% equity interest in the joint venture. The Company also made a preferred equity contribution of $22,734. The Company receives an annual return of 8.0% on its preferred equity, which has a distribution preference over common equity.</w:t>
      </w:r>
    </w:p>
    <w:p>
      <w:pPr>
        <w:spacing w:after="0" w:line="19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April 26, 2018, the Company purchased its joint venture partner's 95% interest in the WCOT Self Storage LLC joint venture, which owned 14 stores. The partner's interest was purchased for $115,797 and the existing joint venture loan of $87,500. Subsequent to this acquisition, the Company owned 100% of the joint venture and the related stores which are consolidated in the Company's financial statements.</w:t>
      </w:r>
    </w:p>
    <w:p>
      <w:pPr>
        <w:spacing w:after="0" w:line="18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February 2, 2018, the Company and Teachers REA II LLC ("TIAA") entered into the "Third Amendment to Amended and Restated Limited Liability Company Agreement of Storage Portfolio I LLC" (the "Amendment"). The Amendment was deemed effective as of January 1, 2018. Under the Amendment, the Company's capital percentage in Storage Portfolio I LLC ("SP I") increased from 25.0% to 34.0%, and its excess profit participation percentage increased from 40.0% to 49.0%, among other changes. Additionally, SP I refinanced its mortgage loan and the Company received a financing distribution of $47,944,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which was recorded as a reduction in the Company's investment in SP I. The Company continues to account for its investment in SP I under the equity method of accounting.</w:t>
      </w:r>
    </w:p>
    <w:p>
      <w:pPr>
        <w:spacing w:after="0" w:line="278" w:lineRule="exact"/>
        <w:rPr>
          <w:sz w:val="20"/>
          <w:szCs w:val="20"/>
          <w:color w:val="auto"/>
        </w:rPr>
      </w:pPr>
    </w:p>
    <w:p>
      <w:pPr>
        <w:ind w:left="640" w:hanging="633"/>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Operating Partnership has three wholly-owned unconsolidated subsidiaries (“Trust,” “Trust II” and “Trust III,” together, the “Trusts”) that have issued trust preferred securities to third parties and common securities to the Operating Partnership. The proceeds from the sale of the preferred and common securities were loaned in the form of notes to the Operating Partnership. The Trusts are variable interest entities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for the proceeds as discussed above, which are owed to the Trusts. The Company has also included its investment in the Trusts’ common securities in other assets on the condensed consolidated balance sheets.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equal to the notes payable that the Trusts owe to third parties for their investments in the Trusts’ preferred securities.</w:t>
      </w:r>
    </w:p>
    <w:p>
      <w:pPr>
        <w:spacing w:after="0" w:line="19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Following is a tabular comparison of the assets and liabilities the Company has recorded as a result of its involvement with the Trusts to the maximum exposure to loss the Company is subject to as a result of such involvement as of September 30, 2018: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Notes payable to Trusts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Investment Balance</w:t>
            </w:r>
          </w:p>
        </w:tc>
        <w:tc>
          <w:tcPr>
            <w:tcW w:w="120" w:type="dxa"/>
            <w:vAlign w:val="bottom"/>
            <w:vMerge w:val="restart"/>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Maximum exposure to</w:t>
            </w:r>
          </w:p>
        </w:tc>
        <w:tc>
          <w:tcPr>
            <w:tcW w:w="280" w:type="dxa"/>
            <w:vAlign w:val="bottom"/>
          </w:tcPr>
          <w:p>
            <w:pPr>
              <w:spacing w:after="0"/>
              <w:rPr>
                <w:sz w:val="14"/>
                <w:szCs w:val="14"/>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91"/>
        </w:trPr>
        <w:tc>
          <w:tcPr>
            <w:tcW w:w="51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140" w:type="dxa"/>
            <w:vAlign w:val="bottom"/>
          </w:tcPr>
          <w:p>
            <w:pPr>
              <w:ind w:left="40"/>
              <w:spacing w:after="0"/>
              <w:rPr>
                <w:sz w:val="20"/>
                <w:szCs w:val="20"/>
                <w:color w:val="auto"/>
              </w:rPr>
            </w:pPr>
            <w:r>
              <w:rPr>
                <w:rFonts w:ascii="Arial" w:cs="Arial" w:eastAsia="Arial" w:hAnsi="Arial"/>
                <w:sz w:val="18"/>
                <w:szCs w:val="18"/>
                <w:color w:val="auto"/>
              </w:rPr>
              <w:t>Trust II</w:t>
            </w:r>
          </w:p>
        </w:tc>
        <w:tc>
          <w:tcPr>
            <w:tcW w:w="5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III</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4"/>
        </w:trPr>
        <w:tc>
          <w:tcPr>
            <w:tcW w:w="514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97,940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140" w:type="dxa"/>
            <w:vAlign w:val="bottom"/>
            <w:tcBorders>
              <w:bottom w:val="single" w:sz="8" w:color="CCEEFF"/>
            </w:tcBorders>
            <w:shd w:val="clear" w:color="auto" w:fill="CCEEFF"/>
          </w:tcPr>
          <w:p>
            <w:pPr>
              <w:ind w:left="40"/>
              <w:spacing w:after="0" w:line="200" w:lineRule="exact"/>
              <w:rPr>
                <w:sz w:val="20"/>
                <w:szCs w:val="20"/>
                <w:color w:val="auto"/>
              </w:rPr>
            </w:pPr>
            <w:r>
              <w:rPr>
                <w:rFonts w:ascii="Arial" w:cs="Arial" w:eastAsia="Arial" w:hAnsi="Arial"/>
                <w:sz w:val="18"/>
                <w:szCs w:val="18"/>
                <w:color w:val="auto"/>
              </w:rPr>
              <w:t>Unamortized debt issuance costs</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140" w:type="dxa"/>
            <w:vAlign w:val="bottom"/>
          </w:tcPr>
          <w:p>
            <w:pPr>
              <w:spacing w:after="0"/>
              <w:rPr>
                <w:sz w:val="20"/>
                <w:szCs w:val="20"/>
                <w:color w:val="auto"/>
              </w:rPr>
            </w:pP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95,887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On September 28, 2018, the Operating Partnership repaid $21,650 of principal amount of notes payable to Trust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and nine months ended September 30, 2018.</w:t>
      </w:r>
    </w:p>
    <w:p>
      <w:pPr>
        <w:spacing w:after="0" w:line="324" w:lineRule="exact"/>
        <w:rPr>
          <w:sz w:val="20"/>
          <w:szCs w:val="20"/>
          <w:color w:val="auto"/>
        </w:rPr>
      </w:pPr>
    </w:p>
    <w:p>
      <w:pPr>
        <w:ind w:left="640" w:hanging="633"/>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2018 and 2017, such derivatives were used to hedge the variable cash flows associated with existing variable-rate debt. In the coming 12 months, the Company estimates that $19,640 will be reclassified as a decrease to interest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29 derivative financial instruments which had a total combined notional amount of $2,156,475 as of September 30,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Asset / Liability Derivatives</w:t>
            </w:r>
          </w:p>
        </w:tc>
      </w:tr>
      <w:tr>
        <w:trPr>
          <w:trHeight w:val="260"/>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3"/>
              </w:rPr>
              <w:t>September 30, 2018</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December 31, 2017</w:t>
            </w:r>
          </w:p>
        </w:tc>
      </w:tr>
      <w:tr>
        <w:trPr>
          <w:trHeight w:val="24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1237"/>
              <w:spacing w:after="0"/>
              <w:rPr>
                <w:sz w:val="20"/>
                <w:szCs w:val="20"/>
                <w:color w:val="auto"/>
              </w:rPr>
            </w:pPr>
            <w:r>
              <w:rPr>
                <w:rFonts w:ascii="Arial" w:cs="Arial" w:eastAsia="Arial" w:hAnsi="Arial"/>
                <w:sz w:val="14"/>
                <w:szCs w:val="14"/>
                <w:b w:val="1"/>
                <w:bCs w:val="1"/>
                <w:color w:val="auto"/>
              </w:rPr>
              <w:t>Fair Value</w:t>
            </w:r>
          </w:p>
        </w:tc>
      </w:tr>
      <w:tr>
        <w:trPr>
          <w:trHeight w:val="24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75,293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38,365</w:t>
            </w:r>
          </w:p>
        </w:tc>
      </w:tr>
      <w:tr>
        <w:trPr>
          <w:trHeight w:val="239"/>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Gain (loss) recognized in OCI For the Three Months</w:t>
            </w:r>
          </w:p>
        </w:tc>
        <w:tc>
          <w:tcPr>
            <w:tcW w:w="10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Location of amounts</w:t>
            </w:r>
          </w:p>
        </w:tc>
        <w:tc>
          <w:tcPr>
            <w:tcW w:w="180" w:type="dxa"/>
            <w:vAlign w:val="bottom"/>
          </w:tcPr>
          <w:p>
            <w:pPr>
              <w:spacing w:after="0"/>
              <w:rPr>
                <w:sz w:val="14"/>
                <w:szCs w:val="14"/>
                <w:color w:val="auto"/>
              </w:rPr>
            </w:pPr>
          </w:p>
        </w:tc>
        <w:tc>
          <w:tcPr>
            <w:tcW w:w="3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Gain (loss) reclassified from OCI For the Three</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3"/>
          </w:tcPr>
          <w:p>
            <w:pPr>
              <w:jc w:val="center"/>
              <w:ind w:left="784"/>
              <w:spacing w:after="0" w:line="143" w:lineRule="exact"/>
              <w:rPr>
                <w:sz w:val="20"/>
                <w:szCs w:val="20"/>
                <w:color w:val="auto"/>
              </w:rPr>
            </w:pPr>
            <w:r>
              <w:rPr>
                <w:rFonts w:ascii="Arial" w:cs="Arial" w:eastAsia="Arial" w:hAnsi="Arial"/>
                <w:sz w:val="14"/>
                <w:szCs w:val="14"/>
                <w:b w:val="1"/>
                <w:bCs w:val="1"/>
                <w:color w:val="auto"/>
                <w:w w:val="91"/>
              </w:rPr>
              <w:t>Ended September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4"/>
          </w:tcPr>
          <w:p>
            <w:pPr>
              <w:jc w:val="center"/>
              <w:ind w:right="60"/>
              <w:spacing w:after="0" w:line="143" w:lineRule="exact"/>
              <w:rPr>
                <w:sz w:val="20"/>
                <w:szCs w:val="20"/>
                <w:color w:val="auto"/>
              </w:rPr>
            </w:pPr>
            <w:r>
              <w:rPr>
                <w:rFonts w:ascii="Arial" w:cs="Arial" w:eastAsia="Arial" w:hAnsi="Arial"/>
                <w:sz w:val="14"/>
                <w:szCs w:val="14"/>
                <w:b w:val="1"/>
                <w:bCs w:val="1"/>
                <w:color w:val="auto"/>
                <w:w w:val="92"/>
              </w:rPr>
              <w:t>Months Ended September 30,</w:t>
            </w:r>
          </w:p>
        </w:tc>
        <w:tc>
          <w:tcPr>
            <w:tcW w:w="0" w:type="dxa"/>
            <w:vAlign w:val="bottom"/>
          </w:tcPr>
          <w:p>
            <w:pPr>
              <w:spacing w:after="0"/>
              <w:rPr>
                <w:sz w:val="1"/>
                <w:szCs w:val="1"/>
                <w:color w:val="auto"/>
              </w:rPr>
            </w:pPr>
          </w:p>
        </w:tc>
      </w:tr>
      <w:tr>
        <w:trPr>
          <w:trHeight w:val="54"/>
        </w:trPr>
        <w:tc>
          <w:tcPr>
            <w:tcW w:w="2880" w:type="dxa"/>
            <w:vAlign w:val="bottom"/>
            <w:vMerge w:val="restart"/>
          </w:tcPr>
          <w:p>
            <w:pPr>
              <w:ind w:left="40"/>
              <w:spacing w:after="0"/>
              <w:rPr>
                <w:sz w:val="20"/>
                <w:szCs w:val="20"/>
                <w:color w:val="auto"/>
              </w:rPr>
            </w:pPr>
            <w:r>
              <w:rPr>
                <w:rFonts w:ascii="Arial" w:cs="Arial" w:eastAsia="Arial" w:hAnsi="Arial"/>
                <w:sz w:val="18"/>
                <w:szCs w:val="18"/>
                <w:color w:val="auto"/>
              </w:rPr>
              <w:t>Type</w:t>
            </w: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reclassified from OCI into</w:t>
            </w: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1"/>
        </w:trPr>
        <w:tc>
          <w:tcPr>
            <w:tcW w:w="28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 Agreements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8,325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Gain (loss) recognized in OCI For the Nine Months</w:t>
            </w:r>
          </w:p>
        </w:tc>
        <w:tc>
          <w:tcPr>
            <w:tcW w:w="100" w:type="dxa"/>
            <w:vAlign w:val="bottom"/>
          </w:tcPr>
          <w:p>
            <w:pPr>
              <w:spacing w:after="0"/>
              <w:rPr>
                <w:sz w:val="24"/>
                <w:szCs w:val="2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Location of amounts</w:t>
            </w:r>
          </w:p>
        </w:tc>
        <w:tc>
          <w:tcPr>
            <w:tcW w:w="180" w:type="dxa"/>
            <w:vAlign w:val="bottom"/>
          </w:tcPr>
          <w:p>
            <w:pPr>
              <w:spacing w:after="0"/>
              <w:rPr>
                <w:sz w:val="24"/>
                <w:szCs w:val="24"/>
                <w:color w:val="auto"/>
              </w:rPr>
            </w:pPr>
          </w:p>
        </w:tc>
        <w:tc>
          <w:tcPr>
            <w:tcW w:w="3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Gain (loss) reclassified from OCI For the Nine</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3"/>
          </w:tcPr>
          <w:p>
            <w:pPr>
              <w:jc w:val="center"/>
              <w:ind w:left="784"/>
              <w:spacing w:after="0" w:line="143" w:lineRule="exact"/>
              <w:rPr>
                <w:sz w:val="20"/>
                <w:szCs w:val="20"/>
                <w:color w:val="auto"/>
              </w:rPr>
            </w:pPr>
            <w:r>
              <w:rPr>
                <w:rFonts w:ascii="Arial" w:cs="Arial" w:eastAsia="Arial" w:hAnsi="Arial"/>
                <w:sz w:val="14"/>
                <w:szCs w:val="14"/>
                <w:b w:val="1"/>
                <w:bCs w:val="1"/>
                <w:color w:val="auto"/>
                <w:w w:val="91"/>
              </w:rPr>
              <w:t>Ended September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4"/>
          </w:tcPr>
          <w:p>
            <w:pPr>
              <w:jc w:val="center"/>
              <w:ind w:right="60"/>
              <w:spacing w:after="0" w:line="143" w:lineRule="exact"/>
              <w:rPr>
                <w:sz w:val="20"/>
                <w:szCs w:val="20"/>
                <w:color w:val="auto"/>
              </w:rPr>
            </w:pPr>
            <w:r>
              <w:rPr>
                <w:rFonts w:ascii="Arial" w:cs="Arial" w:eastAsia="Arial" w:hAnsi="Arial"/>
                <w:sz w:val="14"/>
                <w:szCs w:val="14"/>
                <w:b w:val="1"/>
                <w:bCs w:val="1"/>
                <w:color w:val="auto"/>
                <w:w w:val="92"/>
              </w:rPr>
              <w:t>Months Ended September 30,</w:t>
            </w:r>
          </w:p>
        </w:tc>
        <w:tc>
          <w:tcPr>
            <w:tcW w:w="0" w:type="dxa"/>
            <w:vAlign w:val="bottom"/>
          </w:tcPr>
          <w:p>
            <w:pPr>
              <w:spacing w:after="0"/>
              <w:rPr>
                <w:sz w:val="1"/>
                <w:szCs w:val="1"/>
                <w:color w:val="auto"/>
              </w:rPr>
            </w:pPr>
          </w:p>
        </w:tc>
      </w:tr>
      <w:tr>
        <w:trPr>
          <w:trHeight w:val="54"/>
        </w:trPr>
        <w:tc>
          <w:tcPr>
            <w:tcW w:w="2880" w:type="dxa"/>
            <w:vAlign w:val="bottom"/>
            <w:vMerge w:val="restart"/>
          </w:tcPr>
          <w:p>
            <w:pPr>
              <w:ind w:left="40"/>
              <w:spacing w:after="0"/>
              <w:rPr>
                <w:sz w:val="20"/>
                <w:szCs w:val="20"/>
                <w:color w:val="auto"/>
              </w:rPr>
            </w:pPr>
            <w:r>
              <w:rPr>
                <w:rFonts w:ascii="Arial" w:cs="Arial" w:eastAsia="Arial" w:hAnsi="Arial"/>
                <w:sz w:val="18"/>
                <w:szCs w:val="18"/>
                <w:color w:val="auto"/>
              </w:rPr>
              <w:t>Type</w:t>
            </w: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reclassified from OCI into</w:t>
            </w: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restart"/>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1"/>
        </w:trPr>
        <w:tc>
          <w:tcPr>
            <w:tcW w:w="28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 Agreements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41,610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2018, the fair value of derivatives in a net liability position, which includes accrued interest but excludes any adjustment for nonperformance risk, related to these agreements was immaterial. As of September 30, 2018, the Company had not posted any collateral related to these agreements. If the Company had breached any of these provisions as of September 30, 2018, it could have been required to cash settle its obligations under the agreements at their termination value.</w:t>
      </w:r>
    </w:p>
    <w:p>
      <w:pPr>
        <w:spacing w:after="0" w:line="294" w:lineRule="exact"/>
        <w:rPr>
          <w:sz w:val="20"/>
          <w:szCs w:val="20"/>
          <w:color w:val="auto"/>
        </w:rPr>
      </w:pPr>
    </w:p>
    <w:p>
      <w:pPr>
        <w:ind w:left="640" w:hanging="633"/>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EXCHANGEABLE SENIOR NOTES</w:t>
      </w:r>
    </w:p>
    <w:p>
      <w:pPr>
        <w:spacing w:after="0" w:line="225" w:lineRule="exact"/>
        <w:rPr>
          <w:sz w:val="20"/>
          <w:szCs w:val="20"/>
          <w:color w:val="auto"/>
        </w:rPr>
      </w:pPr>
    </w:p>
    <w:p>
      <w:pPr>
        <w:ind w:right="180"/>
        <w:spacing w:after="0" w:line="322" w:lineRule="auto"/>
        <w:rPr>
          <w:sz w:val="20"/>
          <w:szCs w:val="20"/>
          <w:color w:val="auto"/>
        </w:rPr>
      </w:pPr>
      <w:r>
        <w:rPr>
          <w:rFonts w:ascii="Arial" w:cs="Arial" w:eastAsia="Arial" w:hAnsi="Arial"/>
          <w:sz w:val="14"/>
          <w:szCs w:val="14"/>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condensed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2015 Notes bear interest at</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September 30, 2018 was approximately 10.75 shares of the Company’s common stock per $1,000 principal amount of the 2015 Notes.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Operating Partnership may redeem the 2015 Notes at any time to preserve the Company’s status as a REIT. In addition, on or after October 5, 2020,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Operating Partnership may redeem the 2015 Notes for cash, in whole or in part, at 100% of the principal amount plus accrued and unpaid interest, upon at least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30 days but not more than 60 days prior written notice to the holders of the 2015 Notes. The holders of the 2015 Notes have the right to require the Operating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Partnership to repurchase the 2015 Notes for cash, in whole or in part, on October 1 of the years 2020, 2025 and 2030 (unless the Operating Partnership has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called the 2015 Notes for redemption), and upon the occurrence of certain designated events, in each case for a repurchase price equal to 100% of the principal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amount of the 2015 Notes plus accrued and unpaid interest. Certain events are considered “Events of Default,” as defined in the indenture governing the 2015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Notes, which may result in the accelerated maturity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2015 Notes.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did not exceed 130% of the exchange price for the required time period for the 2015 Notes during the quarter ended September 30, 2018.</w:t>
      </w:r>
    </w:p>
    <w:p>
      <w:pPr>
        <w:spacing w:after="0" w:line="19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June 21, 2013, the Operating Partnership issued $250,000 of its 2.375% Exchangeable Senior Notes due 2033 at a 1.5% discount, or $3,750, and costs incurred to issue the 2013 Notes were approximately $1,672. These costs were amortized as an adjustment to interest expense over five years, which represented the estimated term based on the first available redemption date. The 2013 Notes bore interest at 2.375% per annum and contained an exchange settlement feature. On or after July 5, 2018, the Operating Partnership could redeem the 2013 Notes for cash, in whole or in part, at 100% of the principal amount plus accrued and unpaid interest, upon at least 30 days but not more than 60 days prior written notice to the holders of the 2013 Notes. The Operating Partnership redeemed all remaining outstanding 2013 Notes on July 5, 2018.</w:t>
      </w:r>
    </w:p>
    <w:p>
      <w:pPr>
        <w:spacing w:after="0" w:line="1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2013 Notes and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are amortized as interest expense over the remaining period of the debt through its first redemption date: July 1, 2018 for the 2013 Notes, and October 1, 2020 for the 2015 Notes. The effective interest rate on the liability components of both the 2013 Notes and the 2015 Notes is 4.0%, which approximated the market rate of interest of similar debt without exchange features (i.e. nonconvertible debt) at the time of issuance.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4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Information about the Company’s 2013 Notes and 2015 Notes, including the total carrying amounts of the equity components, the principal amounts of the liability components, the unamortized discounts and the net carrying amounts was as follows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December 31, 2017</w:t>
            </w:r>
          </w:p>
        </w:tc>
      </w:tr>
      <w:tr>
        <w:trPr>
          <w:trHeight w:val="24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- 2013 Notes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9"/>
        </w:trPr>
        <w:tc>
          <w:tcPr>
            <w:tcW w:w="7660" w:type="dxa"/>
            <w:vAlign w:val="bottom"/>
          </w:tcPr>
          <w:p>
            <w:pPr>
              <w:ind w:left="40"/>
              <w:spacing w:after="0"/>
              <w:rPr>
                <w:sz w:val="20"/>
                <w:szCs w:val="20"/>
                <w:color w:val="auto"/>
              </w:rPr>
            </w:pPr>
            <w:r>
              <w:rPr>
                <w:rFonts w:ascii="Arial" w:cs="Arial" w:eastAsia="Arial" w:hAnsi="Arial"/>
                <w:sz w:val="18"/>
                <w:szCs w:val="18"/>
                <w:color w:val="auto"/>
              </w:rPr>
              <w:t>Carrying amount of equity component - 2015 Notes</w:t>
            </w:r>
          </w:p>
        </w:tc>
        <w:tc>
          <w:tcPr>
            <w:tcW w:w="22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22,597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22,597</w:t>
            </w:r>
          </w:p>
        </w:tc>
      </w:tr>
      <w:tr>
        <w:trPr>
          <w:trHeight w:val="28"/>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7660" w:type="dxa"/>
            <w:vAlign w:val="bottom"/>
          </w:tcPr>
          <w:p>
            <w:pPr>
              <w:ind w:left="40"/>
              <w:spacing w:after="0"/>
              <w:rPr>
                <w:sz w:val="20"/>
                <w:szCs w:val="20"/>
                <w:color w:val="auto"/>
              </w:rPr>
            </w:pPr>
            <w:r>
              <w:rPr>
                <w:rFonts w:ascii="Arial" w:cs="Arial" w:eastAsia="Arial" w:hAnsi="Arial"/>
                <w:sz w:val="18"/>
                <w:szCs w:val="18"/>
                <w:color w:val="auto"/>
              </w:rPr>
              <w:t>Principal amount of liability component - 2013 Notes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49,259</w:t>
            </w:r>
          </w:p>
        </w:tc>
      </w:tr>
      <w:tr>
        <w:trPr>
          <w:trHeight w:val="28"/>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8"/>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liability component - 2015 Notes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r>
      <w:tr>
        <w:trPr>
          <w:trHeight w:val="239"/>
        </w:trPr>
        <w:tc>
          <w:tcPr>
            <w:tcW w:w="7660" w:type="dxa"/>
            <w:vAlign w:val="bottom"/>
          </w:tcPr>
          <w:p>
            <w:pPr>
              <w:ind w:left="40"/>
              <w:spacing w:after="0"/>
              <w:rPr>
                <w:sz w:val="20"/>
                <w:szCs w:val="20"/>
                <w:color w:val="auto"/>
              </w:rPr>
            </w:pPr>
            <w:r>
              <w:rPr>
                <w:rFonts w:ascii="Arial" w:cs="Arial" w:eastAsia="Arial" w:hAnsi="Arial"/>
                <w:sz w:val="18"/>
                <w:szCs w:val="18"/>
                <w:color w:val="auto"/>
              </w:rPr>
              <w:t>Unamortized discount - equity component - 2013 Notes</w:t>
            </w:r>
          </w:p>
        </w:tc>
        <w:tc>
          <w:tcPr>
            <w:tcW w:w="2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8"/>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8"/>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discount - equity component - 2015 Notes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(12,974)</w:t>
            </w:r>
          </w:p>
        </w:tc>
      </w:tr>
      <w:tr>
        <w:trPr>
          <w:trHeight w:val="239"/>
        </w:trPr>
        <w:tc>
          <w:tcPr>
            <w:tcW w:w="7660" w:type="dxa"/>
            <w:vAlign w:val="bottom"/>
          </w:tcPr>
          <w:p>
            <w:pPr>
              <w:ind w:left="40"/>
              <w:spacing w:after="0"/>
              <w:rPr>
                <w:sz w:val="20"/>
                <w:szCs w:val="20"/>
                <w:color w:val="auto"/>
              </w:rPr>
            </w:pPr>
            <w:r>
              <w:rPr>
                <w:rFonts w:ascii="Arial" w:cs="Arial" w:eastAsia="Arial" w:hAnsi="Arial"/>
                <w:sz w:val="18"/>
                <w:szCs w:val="18"/>
                <w:color w:val="auto"/>
              </w:rPr>
              <w:t>Unamortized cash discount - 2013 Notes</w:t>
            </w:r>
          </w:p>
        </w:tc>
        <w:tc>
          <w:tcPr>
            <w:tcW w:w="2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8"/>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r>
      <w:tr>
        <w:trPr>
          <w:trHeight w:val="233"/>
        </w:trPr>
        <w:tc>
          <w:tcPr>
            <w:tcW w:w="7660" w:type="dxa"/>
            <w:vAlign w:val="bottom"/>
          </w:tcPr>
          <w:p>
            <w:pPr>
              <w:ind w:left="40"/>
              <w:spacing w:after="0"/>
              <w:rPr>
                <w:sz w:val="20"/>
                <w:szCs w:val="20"/>
                <w:color w:val="auto"/>
              </w:rPr>
            </w:pPr>
            <w:r>
              <w:rPr>
                <w:rFonts w:ascii="Arial" w:cs="Arial" w:eastAsia="Arial" w:hAnsi="Arial"/>
                <w:sz w:val="18"/>
                <w:szCs w:val="18"/>
                <w:color w:val="auto"/>
              </w:rPr>
              <w:t>Net carrying amount of liability components</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560,613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604,276</w:t>
            </w:r>
          </w:p>
        </w:tc>
      </w:tr>
      <w:tr>
        <w:trPr>
          <w:trHeight w:val="28"/>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amount of interest cost recognized relating to the contractual interest rates and the amortization of the discounts on the liability components of the Notes were as follows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14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91"/>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1"/>
        </w:trPr>
        <w:tc>
          <w:tcPr>
            <w:tcW w:w="64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2017</w:t>
            </w:r>
          </w:p>
        </w:tc>
      </w:tr>
      <w:tr>
        <w:trPr>
          <w:trHeight w:val="24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14,519</w:t>
            </w:r>
          </w:p>
        </w:tc>
      </w:tr>
      <w:tr>
        <w:trPr>
          <w:trHeight w:val="239"/>
        </w:trPr>
        <w:tc>
          <w:tcPr>
            <w:tcW w:w="6400" w:type="dxa"/>
            <w:vAlign w:val="bottom"/>
          </w:tcPr>
          <w:p>
            <w:pPr>
              <w:ind w:left="40"/>
              <w:spacing w:after="0"/>
              <w:rPr>
                <w:sz w:val="20"/>
                <w:szCs w:val="20"/>
                <w:color w:val="auto"/>
              </w:rPr>
            </w:pPr>
            <w:r>
              <w:rPr>
                <w:rFonts w:ascii="Arial" w:cs="Arial" w:eastAsia="Arial" w:hAnsi="Arial"/>
                <w:sz w:val="18"/>
                <w:szCs w:val="18"/>
                <w:color w:val="auto"/>
              </w:rPr>
              <w:t>Amortization of discount</w:t>
            </w:r>
          </w:p>
        </w:tc>
        <w:tc>
          <w:tcPr>
            <w:tcW w:w="2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3,827</w:t>
            </w:r>
          </w:p>
        </w:tc>
      </w:tr>
      <w:tr>
        <w:trPr>
          <w:trHeight w:val="28"/>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recognized</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18,346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2013 Notes</w:t>
      </w:r>
    </w:p>
    <w:p>
      <w:pPr>
        <w:spacing w:after="0" w:line="2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nine months ended September 30, 2018, the Company repurchased a total principal amount of $49,259 of the 2013 Notes, which represented all of the remaining principal amount outstanding. The Company paid cash of $80,270 for the total of the principal amount and the exchange value in excess of the principal amount.</w:t>
      </w:r>
    </w:p>
    <w:p>
      <w:pPr>
        <w:spacing w:after="0" w:line="186"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During the nine months ended September 30, 2017, the Company repurchased a total principal amount of $13,786 of the 2013 Notes. The Company paid cash of $19,853 for the total principal amount and the exchange value in excess of the principal amount.</w:t>
      </w:r>
    </w:p>
    <w:p>
      <w:pPr>
        <w:spacing w:after="0" w:line="175"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The Company allocated the value of the consideration paid to repurchase the 2013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w:t>
      </w:r>
    </w:p>
    <w:p>
      <w:pPr>
        <w:spacing w:after="0" w:line="2" w:lineRule="exact"/>
        <w:rPr>
          <w:sz w:val="20"/>
          <w:szCs w:val="20"/>
          <w:color w:val="auto"/>
        </w:rPr>
      </w:pPr>
    </w:p>
    <w:p>
      <w:pPr>
        <w:ind w:right="660" w:firstLine="7"/>
        <w:spacing w:after="0" w:line="252" w:lineRule="auto"/>
        <w:tabs>
          <w:tab w:leader="none" w:pos="2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recognized as a reduction of stockholders’ equity.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repurchases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3880" w:type="dxa"/>
            <w:vAlign w:val="bottom"/>
            <w:gridSpan w:val="5"/>
          </w:tcPr>
          <w:p>
            <w:pPr>
              <w:jc w:val="right"/>
              <w:ind w:right="373"/>
              <w:spacing w:after="0"/>
              <w:rPr>
                <w:sz w:val="20"/>
                <w:szCs w:val="20"/>
                <w:color w:val="auto"/>
              </w:rPr>
            </w:pPr>
            <w:r>
              <w:rPr>
                <w:rFonts w:ascii="Arial" w:cs="Arial" w:eastAsia="Arial" w:hAnsi="Arial"/>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32"/>
        </w:trPr>
        <w:tc>
          <w:tcPr>
            <w:tcW w:w="75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5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7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2"/>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repurchased</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49,259</w:t>
            </w:r>
          </w:p>
        </w:tc>
        <w:tc>
          <w:tcPr>
            <w:tcW w:w="220" w:type="dxa"/>
            <w:vAlign w:val="bottom"/>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Amount allocated to:</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7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Extinguishment of liability component</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49,019</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39"/>
        </w:trPr>
        <w:tc>
          <w:tcPr>
            <w:tcW w:w="7540" w:type="dxa"/>
            <w:vAlign w:val="bottom"/>
          </w:tcPr>
          <w:p>
            <w:pPr>
              <w:ind w:left="480"/>
              <w:spacing w:after="0"/>
              <w:rPr>
                <w:sz w:val="20"/>
                <w:szCs w:val="20"/>
                <w:color w:val="auto"/>
              </w:rPr>
            </w:pPr>
            <w:r>
              <w:rPr>
                <w:rFonts w:ascii="Arial" w:cs="Arial" w:eastAsia="Arial" w:hAnsi="Arial"/>
                <w:sz w:val="18"/>
                <w:szCs w:val="18"/>
                <w:color w:val="auto"/>
              </w:rPr>
              <w:t>Reacquisition of equity component</w:t>
            </w:r>
          </w:p>
        </w:tc>
        <w:tc>
          <w:tcPr>
            <w:tcW w:w="11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31,251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paid for repurchase</w:t>
            </w:r>
          </w:p>
        </w:tc>
        <w:tc>
          <w:tcPr>
            <w:tcW w:w="1120" w:type="dxa"/>
            <w:vAlign w:val="bottom"/>
            <w:tcBorders>
              <w:top w:val="single" w:sz="8" w:color="auto"/>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80,270</w:t>
            </w:r>
          </w:p>
        </w:tc>
        <w:tc>
          <w:tcPr>
            <w:tcW w:w="220" w:type="dxa"/>
            <w:vAlign w:val="bottom"/>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19,853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40" w:type="dxa"/>
            <w:vAlign w:val="bottom"/>
          </w:tcPr>
          <w:p>
            <w:pPr>
              <w:ind w:left="40"/>
              <w:spacing w:after="0"/>
              <w:rPr>
                <w:sz w:val="20"/>
                <w:szCs w:val="20"/>
                <w:color w:val="auto"/>
              </w:rPr>
            </w:pPr>
            <w:r>
              <w:rPr>
                <w:rFonts w:ascii="Arial" w:cs="Arial" w:eastAsia="Arial" w:hAnsi="Arial"/>
                <w:sz w:val="18"/>
                <w:szCs w:val="18"/>
                <w:color w:val="auto"/>
              </w:rPr>
              <w:t>Exchangeable senior notes repurchased</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49,259</w:t>
            </w:r>
          </w:p>
        </w:tc>
        <w:tc>
          <w:tcPr>
            <w:tcW w:w="66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Extinguishment of liability component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(49,019)</w:t>
            </w:r>
          </w:p>
        </w:tc>
        <w:tc>
          <w:tcPr>
            <w:tcW w:w="22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39"/>
        </w:trPr>
        <w:tc>
          <w:tcPr>
            <w:tcW w:w="7540" w:type="dxa"/>
            <w:vAlign w:val="bottom"/>
          </w:tcPr>
          <w:p>
            <w:pPr>
              <w:ind w:left="40"/>
              <w:spacing w:after="0"/>
              <w:rPr>
                <w:sz w:val="20"/>
                <w:szCs w:val="20"/>
                <w:color w:val="auto"/>
              </w:rPr>
            </w:pPr>
            <w:r>
              <w:rPr>
                <w:rFonts w:ascii="Arial" w:cs="Arial" w:eastAsia="Arial" w:hAnsi="Arial"/>
                <w:sz w:val="18"/>
                <w:szCs w:val="18"/>
                <w:color w:val="auto"/>
              </w:rPr>
              <w:t>Discount on exchangeable senior notes</w:t>
            </w:r>
          </w:p>
        </w:tc>
        <w:tc>
          <w:tcPr>
            <w:tcW w:w="1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debt issuance costs</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3"/>
        </w:trPr>
        <w:tc>
          <w:tcPr>
            <w:tcW w:w="7540" w:type="dxa"/>
            <w:vAlign w:val="bottom"/>
          </w:tcPr>
          <w:p>
            <w:pPr>
              <w:ind w:left="40"/>
              <w:spacing w:after="0"/>
              <w:rPr>
                <w:sz w:val="20"/>
                <w:szCs w:val="20"/>
                <w:color w:val="auto"/>
              </w:rPr>
            </w:pPr>
            <w:r>
              <w:rPr>
                <w:rFonts w:ascii="Arial" w:cs="Arial" w:eastAsia="Arial" w:hAnsi="Arial"/>
                <w:sz w:val="18"/>
                <w:szCs w:val="18"/>
                <w:color w:val="auto"/>
              </w:rPr>
              <w:t>Gain/(loss) on repurchase</w:t>
            </w:r>
          </w:p>
        </w:tc>
        <w:tc>
          <w:tcPr>
            <w:tcW w:w="112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640" w:hanging="633"/>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6, 2016, the Company filed its current $400,000 "at the market" equity program with the Securities and Exchange Commission using a shelf registration statement on Form S-3, and entered into separate equity distribution agreements with five sales agents. Under the terms of the current equity distribution agreements, the Company may from time to time offer and sell shares of common stock, up to the aggregate offering price of $400,000, through its sales agents.</w:t>
      </w:r>
    </w:p>
    <w:p>
      <w:pPr>
        <w:spacing w:after="0" w:line="19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the three and nine months ended September 30, 2018, the Company sold 343,251 shares of common stock under its "at the market" equity program at an average sales price of $99.75 per share, resulting in net proceeds of $33,780. As of September 30, 2018, the Company had $315,135 available for issuance under the current equity distribution agreements.</w:t>
      </w:r>
    </w:p>
    <w:p>
      <w:pPr>
        <w:spacing w:after="0" w:line="289" w:lineRule="exact"/>
        <w:rPr>
          <w:sz w:val="20"/>
          <w:szCs w:val="20"/>
          <w:color w:val="auto"/>
        </w:rPr>
      </w:pPr>
    </w:p>
    <w:p>
      <w:pPr>
        <w:ind w:left="640" w:hanging="633"/>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noncontrolling interests represented by Operating Partnership preferred units consisted of the following:</w:t>
      </w:r>
    </w:p>
    <w:p>
      <w:pPr>
        <w:spacing w:after="0" w:line="155" w:lineRule="exact"/>
        <w:rPr>
          <w:sz w:val="20"/>
          <w:szCs w:val="20"/>
          <w:color w:val="auto"/>
        </w:rPr>
      </w:pPr>
    </w:p>
    <w:tbl>
      <w:tblPr>
        <w:tblLayout w:type="fixed"/>
        <w:tblInd w:w="3500" w:type="dxa"/>
        <w:tblCellMar>
          <w:top w:w="0" w:type="dxa"/>
          <w:left w:w="0" w:type="dxa"/>
          <w:bottom w:w="0" w:type="dxa"/>
          <w:right w:w="0" w:type="dxa"/>
        </w:tblCellMar>
      </w:tblPr>
      <w:tr>
        <w:trPr>
          <w:trHeight w:val="248"/>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Series A Units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875,480</w:t>
            </w:r>
          </w:p>
        </w:tc>
      </w:tr>
      <w:tr>
        <w:trPr>
          <w:trHeight w:val="239"/>
        </w:trPr>
        <w:tc>
          <w:tcPr>
            <w:tcW w:w="2540" w:type="dxa"/>
            <w:vAlign w:val="bottom"/>
          </w:tcPr>
          <w:p>
            <w:pPr>
              <w:ind w:left="340"/>
              <w:spacing w:after="0"/>
              <w:rPr>
                <w:sz w:val="20"/>
                <w:szCs w:val="20"/>
                <w:color w:val="auto"/>
              </w:rPr>
            </w:pPr>
            <w:r>
              <w:rPr>
                <w:rFonts w:ascii="Arial" w:cs="Arial" w:eastAsia="Arial" w:hAnsi="Arial"/>
                <w:sz w:val="18"/>
                <w:szCs w:val="18"/>
                <w:color w:val="auto"/>
              </w:rPr>
              <w:t>Series B Units</w:t>
            </w:r>
          </w:p>
        </w:tc>
        <w:tc>
          <w:tcPr>
            <w:tcW w:w="1900" w:type="dxa"/>
            <w:vAlign w:val="bottom"/>
          </w:tcPr>
          <w:p>
            <w:pPr>
              <w:jc w:val="right"/>
              <w:spacing w:after="0"/>
              <w:rPr>
                <w:sz w:val="20"/>
                <w:szCs w:val="20"/>
                <w:color w:val="auto"/>
              </w:rPr>
            </w:pPr>
            <w:r>
              <w:rPr>
                <w:rFonts w:ascii="Arial" w:cs="Arial" w:eastAsia="Arial" w:hAnsi="Arial"/>
                <w:sz w:val="18"/>
                <w:szCs w:val="18"/>
                <w:color w:val="auto"/>
              </w:rPr>
              <w:t>1,676,087</w:t>
            </w:r>
          </w:p>
        </w:tc>
      </w:tr>
      <w:tr>
        <w:trPr>
          <w:trHeight w:val="28"/>
        </w:trPr>
        <w:tc>
          <w:tcPr>
            <w:tcW w:w="25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8"/>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Series C Units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704,016</w:t>
            </w:r>
          </w:p>
        </w:tc>
      </w:tr>
      <w:tr>
        <w:trPr>
          <w:trHeight w:val="239"/>
        </w:trPr>
        <w:tc>
          <w:tcPr>
            <w:tcW w:w="2540" w:type="dxa"/>
            <w:vAlign w:val="bottom"/>
          </w:tcPr>
          <w:p>
            <w:pPr>
              <w:ind w:left="340"/>
              <w:spacing w:after="0"/>
              <w:rPr>
                <w:sz w:val="20"/>
                <w:szCs w:val="20"/>
                <w:color w:val="auto"/>
              </w:rPr>
            </w:pPr>
            <w:r>
              <w:rPr>
                <w:rFonts w:ascii="Arial" w:cs="Arial" w:eastAsia="Arial" w:hAnsi="Arial"/>
                <w:sz w:val="18"/>
                <w:szCs w:val="18"/>
                <w:color w:val="auto"/>
              </w:rPr>
              <w:t>Series D Units</w:t>
            </w:r>
          </w:p>
        </w:tc>
        <w:tc>
          <w:tcPr>
            <w:tcW w:w="1900" w:type="dxa"/>
            <w:vAlign w:val="bottom"/>
          </w:tcPr>
          <w:p>
            <w:pPr>
              <w:jc w:val="right"/>
              <w:spacing w:after="0"/>
              <w:rPr>
                <w:sz w:val="20"/>
                <w:szCs w:val="20"/>
                <w:color w:val="auto"/>
              </w:rPr>
            </w:pPr>
            <w:r>
              <w:rPr>
                <w:rFonts w:ascii="Arial" w:cs="Arial" w:eastAsia="Arial" w:hAnsi="Arial"/>
                <w:sz w:val="18"/>
                <w:szCs w:val="18"/>
                <w:color w:val="auto"/>
              </w:rPr>
              <w:t>3,682,521</w:t>
            </w:r>
          </w:p>
        </w:tc>
      </w:tr>
    </w:tbl>
    <w:p>
      <w:pPr>
        <w:spacing w:after="0" w:line="200" w:lineRule="exact"/>
        <w:rPr>
          <w:sz w:val="20"/>
          <w:szCs w:val="20"/>
          <w:color w:val="auto"/>
        </w:rPr>
      </w:pPr>
    </w:p>
    <w:p>
      <w:pPr>
        <w:spacing w:after="0" w:line="24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At September 30, 2018 and December 31, 2017, the noncontrolling interests represented by the Preferred Operating Partnership Units qualified for classification as permanent equity on the Company's condensed consolidated balance sheets. The partnership agreement of the Operating Partnership (as amended, the "Partnership Agreement") provides for the designation and issuance of the OP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On April 18, 2017, the holder of the Series A Units and the Operating Partnership agreed to reduce the fixed priority return on the Series A Units from 5.0% to 2.3% in exchange for a reduction in the interest rate of the related loan, as more fully described below.</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25, 2007, the Operating Partnership loaned the holder of the Series A Units $100,000. On April 18, 2017, a loan amendment was signed modifying the maturity date of the loan to the later of the death of the Series A Unit holder or his spouse and also lowering the interest rate of the loan from 4.9% to 2.1%. The loan amendment was determined to be a loan modification under GAAP, and therefore no change in value was recognized.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21"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$41,902.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21"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Series C Units were issued in 2013 and 2014 and have a liquidation value of $42.10 per unit for a fixed liquidation value of $29,639. From issuance to the fifth anniversary of issuance, each Series C Unit holder will receive quarterly distributions equal to the quarterly distribution per OP Unit plus $0.18. Beginning on the fifth anniversary of issuance, each Series C Unit holder will receive a fixed quarterly distribution equal to the aggregate quarterly distribution payable in respect of such Series C Unit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during the four quarters immediately preceding the fifth anniversary of issuance, divided by four. These distributions are cumulative. The Series C Units became redeemable at the option of the holder one year from the date of issuance, which redemption obligation may be satisfied at the Company’s option in cash or shares of its common stock. The Series C Units are convertible into OP Units at the option of the holder at a rate of 0.9145 OP Units per Series C Unit converted. This conversion option expires upon the fifth anniversary of the date of issuance.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2014, the Operating Partnership loaned certain holders of the Series C Units $20,230. The notes receivable, which are collateralized by the Series C Units, bear interest at 5.0% per annum and mature on December 15, 2024. The Series C Units are shown on the balance sheet net of the loan balance of $19,735 as of September 30, 2018 and $20,230 as of December 31, 2017, because the borrower under the loan receivable is also the holder of the Series C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21"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2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Series D Units have been issued at various times from 2014 to 2017. The Series D Units have a liquidation value of $25.00 per unit, for a fixed liquidation value of $92,063.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at the option of the holder until the tenth anniversary of the date of issuance, with the number of OP Units to be issued equal to $25.00 per Series D Unit, divided by the value of a share of common stock as of the exchange date.</w:t>
      </w:r>
    </w:p>
    <w:p>
      <w:pPr>
        <w:spacing w:after="0" w:line="282" w:lineRule="exact"/>
        <w:rPr>
          <w:sz w:val="20"/>
          <w:szCs w:val="20"/>
          <w:color w:val="auto"/>
        </w:rPr>
      </w:pPr>
    </w:p>
    <w:p>
      <w:pPr>
        <w:ind w:left="640" w:hanging="633"/>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OPERATING PARTNERSHIP</w:t>
      </w:r>
    </w:p>
    <w:p>
      <w:pPr>
        <w:spacing w:after="0" w:line="225" w:lineRule="exact"/>
        <w:rPr>
          <w:sz w:val="20"/>
          <w:szCs w:val="20"/>
          <w:color w:val="auto"/>
        </w:rPr>
      </w:pPr>
    </w:p>
    <w:p>
      <w:pPr>
        <w:jc w:val="both"/>
        <w:ind w:right="260"/>
        <w:spacing w:after="0" w:line="307" w:lineRule="auto"/>
        <w:rPr>
          <w:sz w:val="20"/>
          <w:szCs w:val="20"/>
          <w:color w:val="auto"/>
        </w:rPr>
      </w:pPr>
      <w:r>
        <w:rPr>
          <w:rFonts w:ascii="Arial" w:cs="Arial" w:eastAsia="Arial" w:hAnsi="Arial"/>
          <w:sz w:val="16"/>
          <w:szCs w:val="16"/>
          <w:color w:val="auto"/>
        </w:rPr>
        <w:t>The Company’s interest in its stores is held through the Operating Partnership. Between its general partner and limited partner interests, the Company held a 91.0% ownership interest in the Operating Partnership as of September 30, 2018. The remaining ownership interests in the Operating Partnership (including Preferred Operating Partnership units) of 9.0% are held by certain former owners of assets acquired by the Operating Partnership.</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2018, the ten-day average closing price of the Company's common stock was $87.17 and there were 5,631,138 OP Units outstanding. Assuming that all of the OP Unit holders exercised their right to redeem all of their OP Units on September 30, 2018 and the Company elected to pay the OP Unit holders cash, the Company would have paid $490,866 in cash consideration to redeem the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400" w:type="dxa"/>
            <w:vAlign w:val="bottom"/>
          </w:tcPr>
          <w:p>
            <w:pPr>
              <w:spacing w:after="0"/>
              <w:rPr>
                <w:sz w:val="18"/>
                <w:szCs w:val="18"/>
                <w:color w:val="auto"/>
              </w:rPr>
            </w:pPr>
          </w:p>
        </w:tc>
        <w:tc>
          <w:tcPr>
            <w:tcW w:w="39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32"/>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ind w:right="732"/>
              <w:spacing w:after="0"/>
              <w:rPr>
                <w:sz w:val="20"/>
                <w:szCs w:val="20"/>
                <w:color w:val="auto"/>
              </w:rPr>
            </w:pPr>
            <w:r>
              <w:rPr>
                <w:rFonts w:ascii="Arial" w:cs="Arial" w:eastAsia="Arial" w:hAnsi="Arial"/>
                <w:sz w:val="16"/>
                <w:szCs w:val="16"/>
                <w:b w:val="1"/>
                <w:bCs w:val="1"/>
                <w:color w:val="auto"/>
              </w:rPr>
              <w:t>2017</w:t>
            </w:r>
          </w:p>
        </w:tc>
      </w:tr>
      <w:tr>
        <w:trPr>
          <w:trHeight w:val="32"/>
        </w:trPr>
        <w:tc>
          <w:tcPr>
            <w:tcW w:w="74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1"/>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 Units redeemed for common stock</w:t>
            </w:r>
          </w:p>
        </w:tc>
        <w:tc>
          <w:tcPr>
            <w:tcW w:w="1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OP Units redeemed for cash</w:t>
            </w:r>
          </w:p>
        </w:tc>
        <w:tc>
          <w:tcPr>
            <w:tcW w:w="1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56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33,896</w:t>
            </w:r>
          </w:p>
        </w:tc>
      </w:tr>
      <w:tr>
        <w:trPr>
          <w:trHeight w:val="28"/>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paid for OP Units redeemed</w:t>
            </w:r>
          </w:p>
        </w:tc>
        <w:tc>
          <w:tcPr>
            <w:tcW w:w="122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2,558</w:t>
            </w:r>
          </w:p>
        </w:tc>
        <w:tc>
          <w:tcPr>
            <w:tcW w:w="5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w:t>
            </w:r>
          </w:p>
        </w:tc>
      </w:t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OP Units issued in conjunction with acquisitions</w:t>
            </w:r>
          </w:p>
        </w:tc>
        <w:tc>
          <w:tcPr>
            <w:tcW w:w="1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21,768</w:t>
            </w:r>
          </w:p>
        </w:tc>
        <w:tc>
          <w:tcPr>
            <w:tcW w:w="56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25,520</w:t>
            </w:r>
          </w:p>
        </w:tc>
      </w:tr>
      <w:tr>
        <w:trPr>
          <w:trHeight w:val="28"/>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Value of OP Units issued in conjunction with acquisitions</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1,877</w:t>
            </w:r>
          </w:p>
        </w:tc>
        <w:tc>
          <w:tcPr>
            <w:tcW w:w="5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r>
      <w:tr>
        <w:trPr>
          <w:trHeight w:val="40"/>
        </w:trPr>
        <w:tc>
          <w:tcPr>
            <w:tcW w:w="74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equity transactions. If noncontrolling interests are determined to be redeemable, they are to be carried at their redemption value as of the balance sheet date and reported as temporary equity.</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92" w:lineRule="exact"/>
        <w:rPr>
          <w:sz w:val="20"/>
          <w:szCs w:val="20"/>
          <w:color w:val="auto"/>
        </w:rPr>
      </w:pPr>
    </w:p>
    <w:p>
      <w:pPr>
        <w:ind w:left="640" w:hanging="633"/>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NONCONTROLLING INTERESTS</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Other noncontrolling interests represent the ownership interests of third parties in two consolidated joint ventures as of September 30, 2018. One joint venture owns two operating stores in Texas and an operating store in Colorado, and the other joint venture owns one operating property in Pennsylvania and one development property in New Jersey. The voting interests of the third-party owners are between 5.0% and 20.0%.</w:t>
      </w:r>
    </w:p>
    <w:p>
      <w:pPr>
        <w:spacing w:after="0" w:line="270" w:lineRule="exact"/>
        <w:rPr>
          <w:sz w:val="20"/>
          <w:szCs w:val="20"/>
          <w:color w:val="auto"/>
        </w:rPr>
      </w:pPr>
    </w:p>
    <w:p>
      <w:pPr>
        <w:ind w:left="640" w:hanging="633"/>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ind w:left="60" w:right="320"/>
        <w:spacing w:after="0" w:line="255" w:lineRule="auto"/>
        <w:rPr>
          <w:sz w:val="20"/>
          <w:szCs w:val="20"/>
          <w:color w:val="auto"/>
        </w:rPr>
      </w:pPr>
      <w:r>
        <w:rPr>
          <w:rFonts w:ascii="Arial" w:cs="Arial" w:eastAsia="Arial" w:hAnsi="Arial"/>
          <w:sz w:val="18"/>
          <w:szCs w:val="18"/>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as income when earned. Tenant reinsurance premiums are recognized as revenue when received.</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management fees are earned subject to the terms of the related management services agreements ("MSAs"). These MSAs provide that the Company will perform management services, which include leasing and operating the property and providing accounting, marketing, banking and maintenance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w:t>
      </w:r>
    </w:p>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accounts for the management services provided to a customer as a single performance obligation which are rendered over time each month. The total amount of consideration from the contract is variable as it is based on monthly revenues each month. The variable amount of management fees earned is dependent on the revenue and cash collected at the managed stores. Revenue is influenced by multiple factors, including tenant behavior, economic conditions in the markets in which the stores are located, the effect of competition, and other factors outside of the Company's control. Since the management fee is dependent on revenue levels, the MSAs have a large number and broad range of possible consideration amounts that are difficult to estimate.</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total consideration for each contract cannot be estimated as it is dependent on factors outside of the Company's control. The uncertainty about the amount of consideration to be received under each MSA cannot be resolved until the actual revenues and cash collected by the related managed stores is known. The total consideration for each MSA is not known until the end of that MSA's term. One month of uncertainty regarding the consideration amount is resolved as each month passes and the actual revenues for that month can be determined. Therefore, at the end of each month, the Company allocates the actual management fee earned to the distinct services provided during that month and recognizes it as revenue as the uncertainty regarding the amount of revenues for that month has been resolved.</w:t>
      </w:r>
    </w:p>
    <w:p>
      <w:pPr>
        <w:spacing w:after="0" w:line="19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Due to the standardized terms of the MSAs, the Company accounts for all MSAs in a similar, consistent manner. Therefore, no disaggregated information relating to MSAs is presented.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3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400" w:hanging="393"/>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our self-storage operations represents total property revenue less direct property operating expenses. NOI for our tenant reinsurance segment represents tenant reinsurance revenues less tenant reinsurance expense.</w:t>
      </w:r>
    </w:p>
    <w:p>
      <w:pPr>
        <w:spacing w:after="0" w:line="1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segments were historically comprised of three reportable segments: (1) rental operations; (2) tenant reinsurance; and (3) property management, acquisition and development. Based on how the CODMs review performance and make decisions, the Company realigned its segments as of December 31, 2017 into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all periods presented, substantially all of the Company's real estate assets, intangible assets, other assets, and accrued and other liabilities are associated with the self-storage operations segment. The prior periods have been restated to conform to the current presentation. Financial information for the Company’s business segments is set forth below:</w:t>
      </w:r>
    </w:p>
    <w:p>
      <w:pPr>
        <w:spacing w:after="0" w:line="343"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240" w:type="dxa"/>
            <w:vAlign w:val="bottom"/>
          </w:tcPr>
          <w:p>
            <w:pPr>
              <w:spacing w:after="0"/>
              <w:rPr>
                <w:sz w:val="18"/>
                <w:szCs w:val="18"/>
                <w:color w:val="auto"/>
              </w:rPr>
            </w:pPr>
          </w:p>
        </w:tc>
        <w:tc>
          <w:tcPr>
            <w:tcW w:w="2640" w:type="dxa"/>
            <w:vAlign w:val="bottom"/>
            <w:gridSpan w:val="3"/>
          </w:tcPr>
          <w:p>
            <w:pPr>
              <w:jc w:val="right"/>
              <w:ind w:right="291"/>
              <w:spacing w:after="0"/>
              <w:rPr>
                <w:sz w:val="20"/>
                <w:szCs w:val="20"/>
                <w:color w:val="auto"/>
              </w:rPr>
            </w:pPr>
            <w:r>
              <w:rPr>
                <w:rFonts w:ascii="Arial" w:cs="Arial" w:eastAsia="Arial" w:hAnsi="Arial"/>
                <w:sz w:val="18"/>
                <w:szCs w:val="18"/>
                <w:b w:val="1"/>
                <w:bCs w:val="1"/>
                <w:color w:val="auto"/>
                <w:w w:val="95"/>
              </w:rPr>
              <w:t>For the Nine Months Ended</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640" w:type="dxa"/>
            <w:vAlign w:val="bottom"/>
            <w:gridSpan w:val="3"/>
          </w:tcPr>
          <w:p>
            <w:pPr>
              <w:jc w:val="right"/>
              <w:ind w:right="81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1"/>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8"/>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Self-Storage Operations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266,728</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248,589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772,742</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720,878</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Tenant Reinsurance</w:t>
            </w:r>
          </w:p>
        </w:tc>
        <w:tc>
          <w:tcPr>
            <w:tcW w:w="2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30,105</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25,882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85,660</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73,050</w:t>
            </w:r>
          </w:p>
        </w:tc>
        <w:tc>
          <w:tcPr>
            <w:tcW w:w="0" w:type="dxa"/>
            <w:vAlign w:val="bottom"/>
          </w:tcPr>
          <w:p>
            <w:pPr>
              <w:spacing w:after="0"/>
              <w:rPr>
                <w:sz w:val="1"/>
                <w:szCs w:val="1"/>
                <w:color w:val="auto"/>
              </w:rPr>
            </w:pPr>
          </w:p>
        </w:tc>
      </w:tr>
      <w:tr>
        <w:trPr>
          <w:trHeight w:val="28"/>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296,833</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274,471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858,402</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793,928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Self-Storage Operations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73,652</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70,430</w:t>
            </w:r>
          </w:p>
        </w:tc>
        <w:tc>
          <w:tcPr>
            <w:tcW w:w="2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219,488</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204,370</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Tenant Reinsurance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94"/>
        </w:trPr>
        <w:tc>
          <w:tcPr>
            <w:tcW w:w="5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segment operating expenses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81,372</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76,702</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238,286</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218,366</w:t>
            </w:r>
          </w:p>
        </w:tc>
        <w:tc>
          <w:tcPr>
            <w:tcW w:w="0" w:type="dxa"/>
            <w:vAlign w:val="bottom"/>
          </w:tcPr>
          <w:p>
            <w:pPr>
              <w:spacing w:after="0"/>
              <w:rPr>
                <w:sz w:val="1"/>
                <w:szCs w:val="1"/>
                <w:color w:val="auto"/>
              </w:rPr>
            </w:pPr>
          </w:p>
        </w:tc>
      </w:tr>
      <w:tr>
        <w:trPr>
          <w:trHeight w:val="254"/>
        </w:trPr>
        <w:tc>
          <w:tcPr>
            <w:tcW w:w="5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Self-Storage Operations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193,076</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553,254</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516,508</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Tenant Reinsurance</w:t>
            </w:r>
          </w:p>
        </w:tc>
        <w:tc>
          <w:tcPr>
            <w:tcW w:w="2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22,385</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19,610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66,862</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59,054</w:t>
            </w:r>
          </w:p>
        </w:tc>
        <w:tc>
          <w:tcPr>
            <w:tcW w:w="0" w:type="dxa"/>
            <w:vAlign w:val="bottom"/>
          </w:tcPr>
          <w:p>
            <w:pPr>
              <w:spacing w:after="0"/>
              <w:rPr>
                <w:sz w:val="1"/>
                <w:szCs w:val="1"/>
                <w:color w:val="auto"/>
              </w:rPr>
            </w:pPr>
          </w:p>
        </w:tc>
      </w:tr>
      <w:tr>
        <w:trPr>
          <w:trHeight w:val="28"/>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segment net operating income: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215,461</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197,769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620,116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575,562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components of 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60"/>
              <w:spacing w:after="0"/>
              <w:rPr>
                <w:sz w:val="20"/>
                <w:szCs w:val="20"/>
                <w:color w:val="auto"/>
              </w:rPr>
            </w:pPr>
            <w:r>
              <w:rPr>
                <w:rFonts w:ascii="Arial" w:cs="Arial" w:eastAsia="Arial" w:hAnsi="Arial"/>
                <w:sz w:val="18"/>
                <w:szCs w:val="18"/>
                <w:color w:val="auto"/>
              </w:rPr>
              <w:t>Property management fees and other income</w:t>
            </w:r>
          </w:p>
        </w:tc>
        <w:tc>
          <w:tcPr>
            <w:tcW w:w="2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10,120</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30,849</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(60,171)</w:t>
            </w:r>
          </w:p>
        </w:tc>
        <w:tc>
          <w:tcPr>
            <w:tcW w:w="0" w:type="dxa"/>
            <w:vAlign w:val="bottom"/>
          </w:tcPr>
          <w:p>
            <w:pPr>
              <w:spacing w:after="0"/>
              <w:rPr>
                <w:sz w:val="1"/>
                <w:szCs w:val="1"/>
                <w:color w:val="auto"/>
              </w:rPr>
            </w:pPr>
          </w:p>
        </w:tc>
      </w:tr>
      <w:tr>
        <w:trPr>
          <w:trHeight w:val="239"/>
        </w:trPr>
        <w:tc>
          <w:tcPr>
            <w:tcW w:w="50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(52,283)</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(155,924)</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(144,139)</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Gain/(loss) on real estate transactions and impairment of real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estate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30,807</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30,807</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(45,926)</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(130,239)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(113,192)</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Non-cash interest expense related to the amortization of discount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on equity component of exchangeable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3,997</w:t>
            </w: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8"/>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earnings of unconsolidated real estate ventures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(2,638)</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(6,077)</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8"/>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139,687</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101,075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337,830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284,907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35" w:right="27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335" w:right="2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EXTRA SPACE STORAGE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2" w:lineRule="exact"/>
        <w:rPr>
          <w:sz w:val="20"/>
          <w:szCs w:val="20"/>
          <w:color w:val="auto"/>
        </w:rPr>
      </w:pPr>
    </w:p>
    <w:p>
      <w:pPr>
        <w:ind w:left="640" w:hanging="633"/>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of September 30, 2018,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September 30, 2018, the Company was under agreement to acquire 13 stores at a total purchase price of $161,356. Of these stores, seven are scheduled to close in 2018 at a purchase price of $91,433, five are scheduled to close in 2019 at a purchase price of $59,395, and one is scheduled to close thereafter at a purchase price of $10,528. Additionally, the Company is under agreement to acquire 18 stores with joint venture partners, for a total investment of $62,490. Twelve of these stores are scheduled to close in 2018 and the remaining six stores are expected to close thereafter.</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78"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Subsequent to September 30, 2018, the Company purchased three stores located in California and Georgia for a total purchase price of $31,900. These acquisitions are included in the amounts shown in the commitments and contingencies footnote.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35" w:right="259" w:bottom="1440" w:gutter="0" w:footer="0" w:header="0"/>
        </w:sectPr>
      </w:pPr>
    </w:p>
    <w:bookmarkStart w:id="29" w:name="page30"/>
    <w:bookmarkEnd w:id="2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The following discussion and analysis should be read in conjunction with our unaudited </w:t>
      </w:r>
      <w:r>
        <w:rPr>
          <w:rFonts w:ascii="Arial" w:cs="Arial" w:eastAsia="Arial" w:hAnsi="Arial"/>
          <w:sz w:val="18"/>
          <w:szCs w:val="18"/>
          <w:i w:val="1"/>
          <w:iCs w:val="1"/>
          <w:color w:val="auto"/>
        </w:rPr>
        <w:t>“Condensed Consolidated Financial Statements”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(unaudited)” </w:t>
      </w:r>
      <w:r>
        <w:rPr>
          <w:rFonts w:ascii="Arial" w:cs="Arial" w:eastAsia="Arial" w:hAnsi="Arial"/>
          <w:sz w:val="18"/>
          <w:szCs w:val="18"/>
          <w:color w:val="auto"/>
        </w:rPr>
        <w:t>appearing elsewhere in this report and the</w:t>
      </w:r>
      <w:r>
        <w:rPr>
          <w:rFonts w:ascii="Arial" w:cs="Arial" w:eastAsia="Arial" w:hAnsi="Arial"/>
          <w:sz w:val="18"/>
          <w:szCs w:val="18"/>
          <w:i w:val="1"/>
          <w:iCs w:val="1"/>
          <w:color w:val="auto"/>
        </w:rPr>
        <w:t xml:space="preserve"> “Consolidated Financial Statements,” “Notes to 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2017.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2017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the Company's stores. Our segment presentation has changed from the prior year, and all applicable information has been reclassified to conform to the current year's segment presentation.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stores are generally situated in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use an internally developed revenue management system that enables us to analyze, set and adjust rental rates in real time across our portfolio in order to respond to changing market conditions. We believe our systems and processes allow us to more proactively manage revenues.</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6" w:right="259" w:bottom="1440" w:gutter="0" w:footer="0" w:header="0"/>
        </w:sectPr>
      </w:pPr>
    </w:p>
    <w:bookmarkStart w:id="30" w:name="page31"/>
    <w:bookmarkEnd w:id="30"/>
    <w:p>
      <w:pPr>
        <w:ind w:right="80"/>
        <w:spacing w:after="0" w:line="282" w:lineRule="auto"/>
        <w:rPr>
          <w:sz w:val="20"/>
          <w:szCs w:val="20"/>
          <w:color w:val="auto"/>
        </w:rPr>
      </w:pPr>
      <w:r>
        <w:rPr>
          <w:rFonts w:ascii="Arial" w:cs="Arial" w:eastAsia="Arial" w:hAnsi="Arial"/>
          <w:sz w:val="17"/>
          <w:szCs w:val="17"/>
          <w:color w:val="auto"/>
        </w:rPr>
        <w:t>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2018, we owned or had ownership interests in 1,099 operating stores. Of these stores, 872 are wholly-owned, four are in consolidated joint ventures, and 223 are in unconsolidated joint ventures. In addition, we managed an additional 507 stores for third parties bringing the total number of stores which we own and/or manage to 1,606. These stores are located in 39 states, Washington, D.C. and Puerto Rico. The majority of our stores are clustered around large population centers. Our acquisitions have given us an increased scale in many core markets as well as a foothold in many markets where we had no previous presence.</w:t>
      </w:r>
    </w:p>
    <w:p>
      <w:pPr>
        <w:spacing w:after="0" w:line="189"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As of September 30, 2018, approximately 915,000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2018, the average length of stay was approximately 15.0 months.</w:t>
      </w:r>
    </w:p>
    <w:p>
      <w:pPr>
        <w:spacing w:after="0" w:line="16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$16.21 for the three months ended September 30, 2018, compared to $15.75 for the three months ended September 30, 2017. Average annual rent per square foot for new leases was $17.77 for the three months ended September 30, 2018, compared to $16.87 for the three months ended September 30, 2017. The average discount, as a percentage of rental revenues, at all stabilized properties during these periods was 4.5% and 3.8%, respectively.</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store portfolio is made up of different types of construction and building configurations depending on the site and the municipality where it is located. Most often sites are what we consider “hybrid” stores, a mix of drive-up and multi-floor buildings. We have a number of multi-floor buildings with elevator access only, and a number of stores featuring ground-floor access only.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9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396" w:lineRule="exact"/>
        <w:rPr>
          <w:sz w:val="20"/>
          <w:szCs w:val="20"/>
          <w:color w:val="auto"/>
        </w:rPr>
      </w:pPr>
    </w:p>
    <w:tbl>
      <w:tblPr>
        <w:tblLayout w:type="fixed"/>
        <w:tblInd w:w="10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September 30, 2018</w:t>
            </w: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2"/>
        </w:trPr>
        <w:tc>
          <w:tcPr>
            <w:tcW w:w="238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r>
      <w:tr>
        <w:trPr>
          <w:trHeight w:val="215"/>
        </w:trPr>
        <w:tc>
          <w:tcPr>
            <w:tcW w:w="2380" w:type="dxa"/>
            <w:vAlign w:val="bottom"/>
          </w:tcPr>
          <w:p>
            <w:pPr>
              <w:spacing w:after="0"/>
              <w:rPr>
                <w:sz w:val="18"/>
                <w:szCs w:val="18"/>
                <w:color w:val="auto"/>
              </w:rPr>
            </w:pPr>
          </w:p>
        </w:tc>
        <w:tc>
          <w:tcPr>
            <w:tcW w:w="2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REIT Owned</w:t>
            </w:r>
          </w:p>
        </w:tc>
        <w:tc>
          <w:tcPr>
            <w:tcW w:w="2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Joint Venture Owned</w:t>
            </w:r>
          </w:p>
        </w:tc>
        <w:tc>
          <w:tcPr>
            <w:tcW w:w="20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Managed</w:t>
            </w:r>
          </w:p>
        </w:tc>
        <w:tc>
          <w:tcPr>
            <w:tcW w:w="250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rPr>
              <w:t>Total</w:t>
            </w:r>
          </w:p>
        </w:tc>
      </w:tr>
      <w:tr>
        <w:trPr>
          <w:trHeight w:val="32"/>
        </w:trPr>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238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b w:val="1"/>
                <w:bCs w:val="1"/>
                <w:color w:val="auto"/>
              </w:rPr>
              <w:t>Property</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Net Rentable</w:t>
            </w:r>
          </w:p>
        </w:tc>
        <w:tc>
          <w:tcPr>
            <w:tcW w:w="1000" w:type="dxa"/>
            <w:vAlign w:val="bottom"/>
          </w:tcPr>
          <w:p>
            <w:pPr>
              <w:jc w:val="right"/>
              <w:ind w:right="140"/>
              <w:spacing w:after="0"/>
              <w:rPr>
                <w:sz w:val="20"/>
                <w:szCs w:val="20"/>
                <w:color w:val="auto"/>
              </w:rPr>
            </w:pPr>
            <w:r>
              <w:rPr>
                <w:rFonts w:ascii="Arial" w:cs="Arial" w:eastAsia="Arial" w:hAnsi="Arial"/>
                <w:sz w:val="16"/>
                <w:szCs w:val="16"/>
                <w:b w:val="1"/>
                <w:bCs w:val="1"/>
                <w:color w:val="auto"/>
              </w:rPr>
              <w:t>Property</w:t>
            </w: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20"/>
              <w:spacing w:after="0"/>
              <w:rPr>
                <w:sz w:val="20"/>
                <w:szCs w:val="20"/>
                <w:color w:val="auto"/>
              </w:rPr>
            </w:pPr>
            <w:r>
              <w:rPr>
                <w:rFonts w:ascii="Arial" w:cs="Arial" w:eastAsia="Arial" w:hAnsi="Arial"/>
                <w:sz w:val="16"/>
                <w:szCs w:val="16"/>
                <w:b w:val="1"/>
                <w:bCs w:val="1"/>
                <w:color w:val="auto"/>
              </w:rPr>
              <w:t>Property</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Net Rentable</w:t>
            </w:r>
          </w:p>
        </w:tc>
        <w:tc>
          <w:tcPr>
            <w:tcW w:w="1300" w:type="dxa"/>
            <w:vAlign w:val="bottom"/>
          </w:tcPr>
          <w:p>
            <w:pPr>
              <w:spacing w:after="0"/>
              <w:rPr>
                <w:sz w:val="17"/>
                <w:szCs w:val="17"/>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b w:val="1"/>
                <w:bCs w:val="1"/>
                <w:color w:val="auto"/>
              </w:rPr>
              <w:t>Net Rentable</w:t>
            </w:r>
          </w:p>
        </w:tc>
      </w:tr>
      <w:tr>
        <w:trPr>
          <w:trHeight w:val="209"/>
        </w:trPr>
        <w:tc>
          <w:tcPr>
            <w:tcW w:w="2380" w:type="dxa"/>
            <w:vAlign w:val="bottom"/>
          </w:tcPr>
          <w:p>
            <w:pPr>
              <w:ind w:left="880"/>
              <w:spacing w:after="0"/>
              <w:rPr>
                <w:sz w:val="20"/>
                <w:szCs w:val="20"/>
                <w:color w:val="auto"/>
              </w:rPr>
            </w:pPr>
            <w:r>
              <w:rPr>
                <w:rFonts w:ascii="Arial" w:cs="Arial" w:eastAsia="Arial" w:hAnsi="Arial"/>
                <w:sz w:val="16"/>
                <w:szCs w:val="16"/>
                <w:b w:val="1"/>
                <w:bCs w:val="1"/>
                <w:color w:val="auto"/>
              </w:rPr>
              <w:t>Location</w:t>
            </w: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Count</w:t>
            </w:r>
          </w:p>
        </w:tc>
        <w:tc>
          <w:tcPr>
            <w:tcW w:w="1180" w:type="dxa"/>
            <w:vAlign w:val="bottom"/>
          </w:tcPr>
          <w:p>
            <w:pPr>
              <w:jc w:val="right"/>
              <w:ind w:right="120"/>
              <w:spacing w:after="0"/>
              <w:rPr>
                <w:sz w:val="20"/>
                <w:szCs w:val="20"/>
                <w:color w:val="auto"/>
              </w:rPr>
            </w:pPr>
            <w:r>
              <w:rPr>
                <w:rFonts w:ascii="Arial" w:cs="Arial" w:eastAsia="Arial" w:hAnsi="Arial"/>
                <w:sz w:val="16"/>
                <w:szCs w:val="16"/>
                <w:b w:val="1"/>
                <w:bCs w:val="1"/>
                <w:color w:val="auto"/>
              </w:rPr>
              <w:t>Square Feet</w:t>
            </w:r>
          </w:p>
        </w:tc>
        <w:tc>
          <w:tcPr>
            <w:tcW w:w="1000" w:type="dxa"/>
            <w:vAlign w:val="bottom"/>
          </w:tcPr>
          <w:p>
            <w:pPr>
              <w:jc w:val="right"/>
              <w:ind w:right="220"/>
              <w:spacing w:after="0"/>
              <w:rPr>
                <w:sz w:val="20"/>
                <w:szCs w:val="20"/>
                <w:color w:val="auto"/>
              </w:rPr>
            </w:pPr>
            <w:r>
              <w:rPr>
                <w:rFonts w:ascii="Arial" w:cs="Arial" w:eastAsia="Arial" w:hAnsi="Arial"/>
                <w:sz w:val="16"/>
                <w:szCs w:val="16"/>
                <w:b w:val="1"/>
                <w:bCs w:val="1"/>
                <w:color w:val="auto"/>
              </w:rPr>
              <w:t>Count</w:t>
            </w: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Pr>
          <w:p>
            <w:pPr>
              <w:jc w:val="right"/>
              <w:ind w:right="220"/>
              <w:spacing w:after="0"/>
              <w:rPr>
                <w:sz w:val="20"/>
                <w:szCs w:val="20"/>
                <w:color w:val="auto"/>
              </w:rPr>
            </w:pPr>
            <w:r>
              <w:rPr>
                <w:rFonts w:ascii="Arial" w:cs="Arial" w:eastAsia="Arial" w:hAnsi="Arial"/>
                <w:sz w:val="16"/>
                <w:szCs w:val="16"/>
                <w:b w:val="1"/>
                <w:bCs w:val="1"/>
                <w:color w:val="auto"/>
              </w:rPr>
              <w:t>Count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Square Feet</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auto"/>
                <w:w w:val="99"/>
              </w:rPr>
              <w:t>Property Count</w:t>
            </w: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Square Feet</w:t>
            </w:r>
          </w:p>
        </w:tc>
      </w:tr>
      <w:tr>
        <w:trPr>
          <w:trHeight w:val="32"/>
        </w:trPr>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557,518</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75,526</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795,719</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1,428,763</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Arizona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1,622,847</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466,936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80" w:type="dxa"/>
            <w:vAlign w:val="bottom"/>
          </w:tcPr>
          <w:p>
            <w:pPr>
              <w:jc w:val="right"/>
              <w:spacing w:after="0"/>
              <w:rPr>
                <w:sz w:val="20"/>
                <w:szCs w:val="20"/>
                <w:color w:val="auto"/>
              </w:rPr>
            </w:pPr>
            <w:r>
              <w:rPr>
                <w:rFonts w:ascii="Arial" w:cs="Arial" w:eastAsia="Arial" w:hAnsi="Arial"/>
                <w:sz w:val="16"/>
                <w:szCs w:val="16"/>
                <w:color w:val="auto"/>
              </w:rPr>
              <w:t>670,316</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2,760,099</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11,343,815</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3,752,994</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5,660,581</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257</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20,757,390</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1,004,050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186,253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80" w:type="dxa"/>
            <w:vAlign w:val="bottom"/>
          </w:tcPr>
          <w:p>
            <w:pPr>
              <w:jc w:val="right"/>
              <w:spacing w:after="0"/>
              <w:rPr>
                <w:sz w:val="20"/>
                <w:szCs w:val="20"/>
                <w:color w:val="auto"/>
              </w:rPr>
            </w:pPr>
            <w:r>
              <w:rPr>
                <w:rFonts w:ascii="Arial" w:cs="Arial" w:eastAsia="Arial" w:hAnsi="Arial"/>
                <w:sz w:val="16"/>
                <w:szCs w:val="16"/>
                <w:color w:val="auto"/>
              </w:rPr>
              <w:t>1,746,498</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2,936,801</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526,028</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596,366</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135,514</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1,257,908</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76,765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69,269</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146,034</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6,599,179</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1,557,318</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4,921,766</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13,078,263</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Georgia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4,362,220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275,245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80" w:type="dxa"/>
            <w:vAlign w:val="bottom"/>
          </w:tcPr>
          <w:p>
            <w:pPr>
              <w:jc w:val="right"/>
              <w:spacing w:after="0"/>
              <w:rPr>
                <w:sz w:val="20"/>
                <w:szCs w:val="20"/>
                <w:color w:val="auto"/>
              </w:rPr>
            </w:pPr>
            <w:r>
              <w:rPr>
                <w:rFonts w:ascii="Arial" w:cs="Arial" w:eastAsia="Arial" w:hAnsi="Arial"/>
                <w:sz w:val="16"/>
                <w:szCs w:val="16"/>
                <w:color w:val="auto"/>
              </w:rPr>
              <w:t>1,130,576</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75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5,768,041</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603,185</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404,404</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1,007,589</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Illinois</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2,397,176</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371,836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80" w:type="dxa"/>
            <w:vAlign w:val="bottom"/>
          </w:tcPr>
          <w:p>
            <w:pPr>
              <w:jc w:val="right"/>
              <w:spacing w:after="0"/>
              <w:rPr>
                <w:sz w:val="20"/>
                <w:szCs w:val="20"/>
                <w:color w:val="auto"/>
              </w:rPr>
            </w:pPr>
            <w:r>
              <w:rPr>
                <w:rFonts w:ascii="Arial" w:cs="Arial" w:eastAsia="Arial" w:hAnsi="Arial"/>
                <w:sz w:val="16"/>
                <w:szCs w:val="16"/>
                <w:color w:val="auto"/>
              </w:rPr>
              <w:t>1,665,538</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4,434,550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Indiana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948,611</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56,926</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649,526</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1,655,063</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Kansas</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50,199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108,770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70,420</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229,389</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Kentucky</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834,088</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51,048</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312,556</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1,197,692</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Louisiana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150,555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132,745</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283,300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Maryland</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2,561,257</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530,418</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1,575,660</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4,667,335</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Massachusetts</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2,716,881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560,218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304,991</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3,582,090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561,999</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314,069</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102,291</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978,359</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Minnesota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154,203</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303,989</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458,192</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Mississippi</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215,912</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255,730</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471,642</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Missouri</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332,141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119,575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451,411</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903,127</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Nebraska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128,103</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128,103</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Nevada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1,042,087</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472,751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772,832</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2,287,670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Hampshire</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135,810</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84,005</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46,301</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266,116</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New Jersey</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4,709,713</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1,244,535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547,312</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6,501,560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720,655</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163,410</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335,585</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1,219,650</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New York</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1,732,868</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857,293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80" w:type="dxa"/>
            <w:vAlign w:val="bottom"/>
          </w:tcPr>
          <w:p>
            <w:pPr>
              <w:jc w:val="right"/>
              <w:spacing w:after="0"/>
              <w:rPr>
                <w:sz w:val="20"/>
                <w:szCs w:val="20"/>
                <w:color w:val="auto"/>
              </w:rPr>
            </w:pPr>
            <w:r>
              <w:rPr>
                <w:rFonts w:ascii="Arial" w:cs="Arial" w:eastAsia="Arial" w:hAnsi="Arial"/>
                <w:sz w:val="16"/>
                <w:szCs w:val="16"/>
                <w:color w:val="auto"/>
              </w:rPr>
              <w:t>737,484</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3,327,645</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Carolina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1,319,001</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214,795</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1,326,600</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2,860,396</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Ohio</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1,305,110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325,327</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253,354</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1,883,791</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Oklahoma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1,497,876</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1,497,876</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Oregon</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399,442</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281,393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302,255</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983,090</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1,285,395</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508,266</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1,296,018</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3,089,679</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Rhode Island</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130,846</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84,665</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215,511</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1,752,120</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415,793</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1,205,343</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3,373,256</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Tennessee</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1,421,136</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802,125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80" w:type="dxa"/>
            <w:vAlign w:val="bottom"/>
          </w:tcPr>
          <w:p>
            <w:pPr>
              <w:jc w:val="right"/>
              <w:spacing w:after="0"/>
              <w:rPr>
                <w:sz w:val="20"/>
                <w:szCs w:val="20"/>
                <w:color w:val="auto"/>
              </w:rPr>
            </w:pPr>
            <w:r>
              <w:rPr>
                <w:rFonts w:ascii="Arial" w:cs="Arial" w:eastAsia="Arial" w:hAnsi="Arial"/>
                <w:sz w:val="16"/>
                <w:szCs w:val="16"/>
                <w:color w:val="auto"/>
              </w:rPr>
              <w:t>910,827</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3,134,088</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8,539,134</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705,556</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4,909,889</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14,154,579</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Utah</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707,771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713,894</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1,421,665</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Virginia</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3,669,884</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563,763</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914,953</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5,148,600</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591,359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57,170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80" w:type="dxa"/>
            <w:vAlign w:val="bottom"/>
          </w:tcPr>
          <w:p>
            <w:pPr>
              <w:jc w:val="right"/>
              <w:spacing w:after="0"/>
              <w:rPr>
                <w:sz w:val="20"/>
                <w:szCs w:val="20"/>
                <w:color w:val="auto"/>
              </w:rPr>
            </w:pPr>
            <w:r>
              <w:rPr>
                <w:rFonts w:ascii="Arial" w:cs="Arial" w:eastAsia="Arial" w:hAnsi="Arial"/>
                <w:sz w:val="16"/>
                <w:szCs w:val="16"/>
                <w:color w:val="auto"/>
              </w:rPr>
              <w:t>209,002</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857,531</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Washington, DC</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99,664</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104,382</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73,237</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277,283</w:t>
            </w:r>
          </w:p>
        </w:tc>
      </w:tr>
      <w:tr>
        <w:trPr>
          <w:trHeight w:val="222"/>
        </w:trPr>
        <w:tc>
          <w:tcPr>
            <w:tcW w:w="2380" w:type="dxa"/>
            <w:vAlign w:val="bottom"/>
          </w:tcPr>
          <w:p>
            <w:pPr>
              <w:ind w:left="20"/>
              <w:spacing w:after="0"/>
              <w:rPr>
                <w:sz w:val="20"/>
                <w:szCs w:val="20"/>
                <w:color w:val="auto"/>
              </w:rPr>
            </w:pPr>
            <w:r>
              <w:rPr>
                <w:rFonts w:ascii="Arial" w:cs="Arial" w:eastAsia="Arial" w:hAnsi="Arial"/>
                <w:sz w:val="16"/>
                <w:szCs w:val="16"/>
                <w:color w:val="auto"/>
              </w:rPr>
              <w:t>Wisconsin</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494,596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80" w:type="dxa"/>
            <w:vAlign w:val="bottom"/>
          </w:tcPr>
          <w:p>
            <w:pPr>
              <w:jc w:val="right"/>
              <w:spacing w:after="0"/>
              <w:rPr>
                <w:sz w:val="20"/>
                <w:szCs w:val="20"/>
                <w:color w:val="auto"/>
              </w:rPr>
            </w:pPr>
            <w:r>
              <w:rPr>
                <w:rFonts w:ascii="Arial" w:cs="Arial" w:eastAsia="Arial" w:hAnsi="Arial"/>
                <w:sz w:val="16"/>
                <w:szCs w:val="16"/>
                <w:color w:val="auto"/>
              </w:rPr>
              <w:t>242,407</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737,003</w:t>
            </w:r>
          </w:p>
        </w:tc>
      </w:tr>
      <w:tr>
        <w:trPr>
          <w:trHeight w:val="32"/>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914,108</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914,108</w:t>
            </w:r>
          </w:p>
        </w:tc>
      </w:tr>
      <w:tr>
        <w:trPr>
          <w:trHeight w:val="215"/>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Totals</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876</w:t>
            </w:r>
          </w:p>
        </w:tc>
        <w:tc>
          <w:tcPr>
            <w:tcW w:w="11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67,103,859</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16,395,423</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38,781,545</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1,606</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122,280,827</w:t>
            </w:r>
          </w:p>
        </w:tc>
      </w:tr>
      <w:tr>
        <w:trPr>
          <w:trHeight w:val="32"/>
        </w:trPr>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580" w:right="2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Results for the three and nine months ended September 30, 2018 included the operations of 1,099 stores (872 wholly-owned, four in consolidated joint ventures, and 223 in joint ventures accounted for using the equity method) compared to the results for the three and nine months ended September 30, 2017, which included the operations of 1,028 stores (844 wholly-owned, two in a consolidated joint venture, and 182 in joint ventures accounted for using the equity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For the Nine Months Ended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1"/>
        </w:trPr>
        <w:tc>
          <w:tcPr>
            <w:tcW w:w="28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14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5"/>
        </w:trPr>
        <w:tc>
          <w:tcPr>
            <w:tcW w:w="2880" w:type="dxa"/>
            <w:vAlign w:val="bottom"/>
          </w:tcPr>
          <w:p>
            <w:pPr>
              <w:ind w:left="380"/>
              <w:spacing w:after="0"/>
              <w:rPr>
                <w:sz w:val="20"/>
                <w:szCs w:val="20"/>
                <w:color w:val="auto"/>
              </w:rPr>
            </w:pPr>
            <w:r>
              <w:rPr>
                <w:rFonts w:ascii="Arial" w:cs="Arial" w:eastAsia="Arial" w:hAnsi="Arial"/>
                <w:sz w:val="16"/>
                <w:szCs w:val="16"/>
                <w:color w:val="auto"/>
              </w:rPr>
              <w:t>Property rental</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266,728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248,589</w:t>
            </w:r>
          </w:p>
        </w:tc>
        <w:tc>
          <w:tcPr>
            <w:tcW w:w="12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18,139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772,742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720,878</w:t>
            </w:r>
          </w:p>
        </w:tc>
        <w:tc>
          <w:tcPr>
            <w:tcW w:w="100" w:type="dxa"/>
            <w:vAlign w:val="bottom"/>
          </w:tcPr>
          <w:p>
            <w:pPr>
              <w:spacing w:after="0"/>
              <w:rPr>
                <w:sz w:val="20"/>
                <w:szCs w:val="20"/>
                <w:color w:val="auto"/>
              </w:rPr>
            </w:pP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51,864</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2"/>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Tenant reinsurance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85,660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5"/>
        </w:trPr>
        <w:tc>
          <w:tcPr>
            <w:tcW w:w="2880" w:type="dxa"/>
            <w:vAlign w:val="bottom"/>
          </w:tcPr>
          <w:p>
            <w:pPr>
              <w:ind w:left="380"/>
              <w:spacing w:after="0"/>
              <w:rPr>
                <w:sz w:val="20"/>
                <w:szCs w:val="20"/>
                <w:color w:val="auto"/>
              </w:rPr>
            </w:pPr>
            <w:r>
              <w:rPr>
                <w:rFonts w:ascii="Arial" w:cs="Arial" w:eastAsia="Arial" w:hAnsi="Arial"/>
                <w:sz w:val="16"/>
                <w:szCs w:val="16"/>
                <w:color w:val="auto"/>
                <w:w w:val="96"/>
              </w:rPr>
              <w:t>Management fees and other income</w:t>
            </w:r>
          </w:p>
        </w:tc>
        <w:tc>
          <w:tcPr>
            <w:tcW w:w="20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10,120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9,685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30,849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29,239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2"/>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3"/>
        </w:trPr>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306,953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284,156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889,251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823,167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66,084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increase in property rental revenues for the three and nine months ended September 30, 2018 was primarily the result of increases in</w:t>
      </w:r>
      <w:r>
        <w:rPr>
          <w:rFonts w:ascii="Arial" w:cs="Arial" w:eastAsia="Arial" w:hAnsi="Arial"/>
          <w:sz w:val="17"/>
          <w:szCs w:val="17"/>
          <w:b w:val="1"/>
          <w:bCs w:val="1"/>
          <w:color w:val="auto"/>
        </w:rPr>
        <w:t xml:space="preserve"> </w:t>
      </w:r>
      <w:r>
        <w:rPr>
          <w:rFonts w:ascii="Arial" w:cs="Arial" w:eastAsia="Arial" w:hAnsi="Arial"/>
          <w:sz w:val="17"/>
          <w:szCs w:val="17"/>
          <w:color w:val="auto"/>
        </w:rPr>
        <w:t>rental rates at our stabilized stores and revenues from newly-acquired stores. Increases of $17,063 and $42,072 for the three and nine months ended September 30, 2018, respectively, were attributable to store acquisitions completed in 2018 and 2017. We acquired 28 stores during the nine months ended September 30, 2018 and 46 stores during the year ended December 31, 2017. Increases of $7,662 and $27,940 for the three and nine months ended September 30, 2018, respectively, were due to rental rate increases for new and existing customers at our stabilized stores. These increases were partially offset by decreases of $7,476 and $21,088 for the three and nine months ended September 30, 2018, respectively, due to property sales. During 2017, 36 stores were sold to a joint venture in which we hold a ten percent interest.</w:t>
      </w:r>
    </w:p>
    <w:p>
      <w:pPr>
        <w:spacing w:after="0" w:line="173" w:lineRule="exact"/>
        <w:rPr>
          <w:sz w:val="20"/>
          <w:szCs w:val="20"/>
          <w:color w:val="auto"/>
        </w:rPr>
      </w:pPr>
    </w:p>
    <w:p>
      <w:pPr>
        <w:ind w:right="340"/>
        <w:spacing w:after="0" w:line="340"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our tenant reinsurance revenues was due primarily to an increase in additional coverages provided to tenants and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number of stores operated. We operated 1,606 stores at September 30, 2018 compared to 1,513 stores at September 30, 2017.</w:t>
      </w:r>
    </w:p>
    <w:p>
      <w:pPr>
        <w:spacing w:after="0" w:line="121"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Nine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1"/>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1"/>
        </w:trPr>
        <w:tc>
          <w:tcPr>
            <w:tcW w:w="27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81"/>
              <w:spacing w:after="0"/>
              <w:rPr>
                <w:sz w:val="20"/>
                <w:szCs w:val="20"/>
                <w:color w:val="auto"/>
              </w:rPr>
            </w:pPr>
            <w:r>
              <w:rPr>
                <w:rFonts w:ascii="Arial" w:cs="Arial" w:eastAsia="Arial" w:hAnsi="Arial"/>
                <w:sz w:val="14"/>
                <w:szCs w:val="14"/>
                <w:b w:val="1"/>
                <w:bCs w:val="1"/>
                <w:color w:val="auto"/>
              </w:rPr>
              <w:t>% Change</w:t>
            </w:r>
          </w:p>
        </w:tc>
      </w:tr>
      <w:tr>
        <w:trPr>
          <w:trHeight w:val="247"/>
        </w:trPr>
        <w:tc>
          <w:tcPr>
            <w:tcW w:w="2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5"/>
        </w:trPr>
        <w:tc>
          <w:tcPr>
            <w:tcW w:w="2760" w:type="dxa"/>
            <w:vAlign w:val="bottom"/>
          </w:tcPr>
          <w:p>
            <w:pPr>
              <w:ind w:left="380"/>
              <w:spacing w:after="0"/>
              <w:rPr>
                <w:sz w:val="20"/>
                <w:szCs w:val="20"/>
                <w:color w:val="auto"/>
              </w:rPr>
            </w:pPr>
            <w:r>
              <w:rPr>
                <w:rFonts w:ascii="Arial" w:cs="Arial" w:eastAsia="Arial" w:hAnsi="Arial"/>
                <w:sz w:val="16"/>
                <w:szCs w:val="16"/>
                <w:color w:val="auto"/>
              </w:rPr>
              <w:t>Property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73,652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70,430</w:t>
            </w:r>
          </w:p>
        </w:tc>
        <w:tc>
          <w:tcPr>
            <w:tcW w:w="10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219,488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204,370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15,118</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2"/>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Tenant reinsurance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35"/>
        </w:trPr>
        <w:tc>
          <w:tcPr>
            <w:tcW w:w="27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19,707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19,498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62,822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60,171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2"/>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8"/>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52,283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48,075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155,924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11,785</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2760" w:type="dxa"/>
            <w:vAlign w:val="bottom"/>
          </w:tcPr>
          <w:p>
            <w:pPr>
              <w:ind w:left="700"/>
              <w:spacing w:after="0"/>
              <w:rPr>
                <w:sz w:val="20"/>
                <w:szCs w:val="20"/>
                <w:color w:val="auto"/>
              </w:rPr>
            </w:pPr>
            <w:r>
              <w:rPr>
                <w:rFonts w:ascii="Arial" w:cs="Arial" w:eastAsia="Arial" w:hAnsi="Arial"/>
                <w:sz w:val="16"/>
                <w:szCs w:val="16"/>
                <w:color w:val="auto"/>
              </w:rPr>
              <w:t>Total expenses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153,362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144,275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9,087</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457,032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422,676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34,356</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32"/>
        </w:trPr>
        <w:tc>
          <w:tcPr>
            <w:tcW w:w="2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increases in property operations expense during the three and nine months ended September 30, 2018 were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of $5,617 and $14,341, respectively, related to store acquisitions completed in 2018 and 2017. We acquired 28 stores during the nine months ended September 30, 2018 and 46 stores during the year ended December 31, 2017. An additional increase of $6,791 was related to increases in expenses at stabilized stores during the nine months ended September 30, 2018. These increases were partially offset by decreases of $2,310 and $6,730 for the three and nine months ended September 30, 2018, respectively, due to property sales.</w:t>
      </w:r>
    </w:p>
    <w:p>
      <w:pPr>
        <w:spacing w:after="0" w:line="18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was due primarily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number of stores we owned and/or managed and an increase in water and pest claims.</w:t>
      </w:r>
    </w:p>
    <w:p>
      <w:pPr>
        <w:spacing w:after="0" w:line="166" w:lineRule="exact"/>
        <w:rPr>
          <w:sz w:val="20"/>
          <w:szCs w:val="20"/>
          <w:color w:val="auto"/>
        </w:rPr>
      </w:pPr>
    </w:p>
    <w:p>
      <w:pPr>
        <w:jc w:val="both"/>
        <w:ind w:right="480"/>
        <w:spacing w:after="0" w:line="262"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travel and professional fees. We did not observe any material trends in specific payroll, travel or other expenses that contributed to the change in general and administrative expenses.</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28 stores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2018 and 46 stores during the year ended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Nine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8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7"/>
        </w:trPr>
        <w:tc>
          <w:tcPr>
            <w:tcW w:w="2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and expenses: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040" w:type="dxa"/>
            <w:vAlign w:val="bottom"/>
            <w:gridSpan w:val="2"/>
          </w:tcPr>
          <w:p>
            <w:pPr>
              <w:ind w:left="380"/>
              <w:spacing w:after="0"/>
              <w:rPr>
                <w:sz w:val="20"/>
                <w:szCs w:val="20"/>
                <w:color w:val="auto"/>
              </w:rPr>
            </w:pPr>
            <w:r>
              <w:rPr>
                <w:rFonts w:ascii="Arial" w:cs="Arial" w:eastAsia="Arial" w:hAnsi="Arial"/>
                <w:sz w:val="16"/>
                <w:szCs w:val="16"/>
                <w:color w:val="auto"/>
                <w:w w:val="93"/>
              </w:rPr>
              <w:t>Gain (loss) on real estate transactions $</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30,807</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30,807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30,807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(6,019)</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36,826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(611.8)%</w:t>
            </w:r>
          </w:p>
        </w:tc>
        <w:tc>
          <w:tcPr>
            <w:tcW w:w="0" w:type="dxa"/>
            <w:vAlign w:val="bottom"/>
          </w:tcPr>
          <w:p>
            <w:pPr>
              <w:spacing w:after="0"/>
              <w:rPr>
                <w:sz w:val="1"/>
                <w:szCs w:val="1"/>
                <w:color w:val="auto"/>
              </w:rPr>
            </w:pPr>
          </w:p>
        </w:tc>
      </w:tr>
      <w:tr>
        <w:trPr>
          <w:trHeight w:val="205"/>
        </w:trPr>
        <w:tc>
          <w:tcPr>
            <w:tcW w:w="2840" w:type="dxa"/>
            <w:vAlign w:val="bottom"/>
          </w:tcPr>
          <w:p>
            <w:pPr>
              <w:ind w:left="540"/>
              <w:spacing w:after="0"/>
              <w:rPr>
                <w:sz w:val="20"/>
                <w:szCs w:val="20"/>
                <w:color w:val="auto"/>
              </w:rPr>
            </w:pPr>
            <w:r>
              <w:rPr>
                <w:rFonts w:ascii="Arial" w:cs="Arial" w:eastAsia="Arial" w:hAnsi="Arial"/>
                <w:sz w:val="16"/>
                <w:szCs w:val="16"/>
                <w:color w:val="auto"/>
              </w:rPr>
              <w:t>and impairment of real estate</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(17,047)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8"/>
        </w:trPr>
        <w:tc>
          <w:tcPr>
            <w:tcW w:w="2840" w:type="dxa"/>
            <w:vAlign w:val="bottom"/>
          </w:tcPr>
          <w:p>
            <w:pPr>
              <w:ind w:left="380"/>
              <w:spacing w:after="0"/>
              <w:rPr>
                <w:sz w:val="20"/>
                <w:szCs w:val="20"/>
                <w:color w:val="auto"/>
              </w:rPr>
            </w:pPr>
            <w:r>
              <w:rPr>
                <w:rFonts w:ascii="Arial" w:cs="Arial" w:eastAsia="Arial" w:hAnsi="Arial"/>
                <w:sz w:val="16"/>
                <w:szCs w:val="16"/>
                <w:color w:val="auto"/>
                <w:w w:val="93"/>
              </w:rPr>
              <w:t>Non-cash interest expense related to</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1"/>
        </w:trPr>
        <w:tc>
          <w:tcPr>
            <w:tcW w:w="2840" w:type="dxa"/>
            <w:vAlign w:val="bottom"/>
          </w:tcPr>
          <w:p>
            <w:pPr>
              <w:ind w:left="540"/>
              <w:spacing w:after="0"/>
              <w:rPr>
                <w:sz w:val="20"/>
                <w:szCs w:val="20"/>
                <w:color w:val="auto"/>
              </w:rPr>
            </w:pPr>
            <w:r>
              <w:rPr>
                <w:rFonts w:ascii="Arial" w:cs="Arial" w:eastAsia="Arial" w:hAnsi="Arial"/>
                <w:sz w:val="16"/>
                <w:szCs w:val="16"/>
                <w:color w:val="auto"/>
                <w:w w:val="95"/>
              </w:rPr>
              <w:t>amortization of discount on equity</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540"/>
              <w:spacing w:after="0"/>
              <w:rPr>
                <w:sz w:val="20"/>
                <w:szCs w:val="20"/>
                <w:color w:val="auto"/>
              </w:rPr>
            </w:pPr>
            <w:r>
              <w:rPr>
                <w:rFonts w:ascii="Arial" w:cs="Arial" w:eastAsia="Arial" w:hAnsi="Arial"/>
                <w:sz w:val="16"/>
                <w:szCs w:val="16"/>
                <w:color w:val="auto"/>
                <w:w w:val="91"/>
              </w:rPr>
              <w:t>component of exchangeable senior</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40" w:type="dxa"/>
            <w:vAlign w:val="bottom"/>
          </w:tcPr>
          <w:p>
            <w:pPr>
              <w:ind w:left="540"/>
              <w:spacing w:after="0"/>
              <w:rPr>
                <w:sz w:val="20"/>
                <w:szCs w:val="20"/>
                <w:color w:val="auto"/>
              </w:rPr>
            </w:pPr>
            <w:r>
              <w:rPr>
                <w:rFonts w:ascii="Arial" w:cs="Arial" w:eastAsia="Arial" w:hAnsi="Arial"/>
                <w:sz w:val="16"/>
                <w:szCs w:val="16"/>
                <w:color w:val="auto"/>
              </w:rPr>
              <w:t>notes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8"/>
        </w:trPr>
        <w:tc>
          <w:tcPr>
            <w:tcW w:w="2840" w:type="dxa"/>
            <w:vAlign w:val="bottom"/>
          </w:tcPr>
          <w:p>
            <w:pPr>
              <w:ind w:left="380"/>
              <w:spacing w:after="0"/>
              <w:rPr>
                <w:sz w:val="20"/>
                <w:szCs w:val="20"/>
                <w:color w:val="auto"/>
              </w:rPr>
            </w:pPr>
            <w:r>
              <w:rPr>
                <w:rFonts w:ascii="Arial" w:cs="Arial" w:eastAsia="Arial" w:hAnsi="Arial"/>
                <w:sz w:val="16"/>
                <w:szCs w:val="16"/>
                <w:color w:val="auto"/>
                <w:w w:val="94"/>
              </w:rPr>
              <w:t>Equity in earnings of unconsolidated</w:t>
            </w:r>
          </w:p>
        </w:tc>
        <w:tc>
          <w:tcPr>
            <w:tcW w:w="20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5"/>
        </w:trPr>
        <w:tc>
          <w:tcPr>
            <w:tcW w:w="2840" w:type="dxa"/>
            <w:vAlign w:val="bottom"/>
          </w:tcPr>
          <w:p>
            <w:pPr>
              <w:ind w:left="540"/>
              <w:spacing w:after="0"/>
              <w:rPr>
                <w:sz w:val="20"/>
                <w:szCs w:val="20"/>
                <w:color w:val="auto"/>
              </w:rPr>
            </w:pPr>
            <w:r>
              <w:rPr>
                <w:rFonts w:ascii="Arial" w:cs="Arial" w:eastAsia="Arial" w:hAnsi="Arial"/>
                <w:sz w:val="16"/>
                <w:szCs w:val="16"/>
                <w:color w:val="auto"/>
              </w:rPr>
              <w:t>real estate ventures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8"/>
        </w:trPr>
        <w:tc>
          <w:tcPr>
            <w:tcW w:w="2840" w:type="dxa"/>
            <w:vAlign w:val="bottom"/>
          </w:tcPr>
          <w:p>
            <w:pPr>
              <w:ind w:left="700"/>
              <w:spacing w:after="0"/>
              <w:rPr>
                <w:sz w:val="20"/>
                <w:szCs w:val="20"/>
                <w:color w:val="auto"/>
              </w:rPr>
            </w:pPr>
            <w:r>
              <w:rPr>
                <w:rFonts w:ascii="Arial" w:cs="Arial" w:eastAsia="Arial" w:hAnsi="Arial"/>
                <w:sz w:val="16"/>
                <w:szCs w:val="16"/>
                <w:color w:val="auto"/>
                <w:w w:val="99"/>
              </w:rPr>
              <w:t>Total other income (expense),</w:t>
            </w:r>
          </w:p>
        </w:tc>
        <w:tc>
          <w:tcPr>
            <w:tcW w:w="2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(13,904)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(38,806)</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24,902</w:t>
            </w:r>
          </w:p>
        </w:tc>
        <w:tc>
          <w:tcPr>
            <w:tcW w:w="100" w:type="dxa"/>
            <w:vAlign w:val="bottom"/>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(94,389)</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(115,584)</w:t>
            </w:r>
          </w:p>
        </w:tc>
        <w:tc>
          <w:tcPr>
            <w:tcW w:w="12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21,195</w:t>
            </w:r>
          </w:p>
        </w:tc>
        <w:tc>
          <w:tcPr>
            <w:tcW w:w="120" w:type="dxa"/>
            <w:vAlign w:val="bottom"/>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2"/>
        </w:trPr>
        <w:tc>
          <w:tcPr>
            <w:tcW w:w="2840" w:type="dxa"/>
            <w:vAlign w:val="bottom"/>
          </w:tcPr>
          <w:p>
            <w:pPr>
              <w:ind w:left="700"/>
              <w:spacing w:after="0"/>
              <w:rPr>
                <w:sz w:val="20"/>
                <w:szCs w:val="20"/>
                <w:color w:val="auto"/>
              </w:rPr>
            </w:pPr>
            <w:r>
              <w:rPr>
                <w:rFonts w:ascii="Arial" w:cs="Arial" w:eastAsia="Arial" w:hAnsi="Arial"/>
                <w:sz w:val="16"/>
                <w:szCs w:val="16"/>
                <w:color w:val="auto"/>
              </w:rPr>
              <w:t>net</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(Loss) on Real Estate Transactions and Impairment of Real Estate—</w:t>
      </w:r>
      <w:r>
        <w:rPr>
          <w:rFonts w:ascii="Arial" w:cs="Arial" w:eastAsia="Arial" w:hAnsi="Arial"/>
          <w:sz w:val="16"/>
          <w:szCs w:val="16"/>
          <w:color w:val="auto"/>
        </w:rPr>
        <w:t>During the three and nine months ended September 30, 2018, we recorded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$30,671 related to a gain on the sale of one property in California. During the nine months ended September 30, 2017, we recorded an impairment loss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$6,019 relating to one parcel of land held for sale and an additional two parcels of undeveloped land where the carrying value was greater than the fair value.</w:t>
      </w: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The increases in interest expense during the three and nine months ended September 30, 2018 were primarily the result of an overall</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interest rate and total debt during each period when compared to the same periods in the prior year. The average interest rate on our total fixed- and variable-rate debt at September 30, 2018 was 3.5%, compared to 3.3% as of September 30, 2017. Additionally, the total face value of our debt, including our lines of credit, was $4,803,360 at September 30, 2018 compared to $4,362,400 at September 30, 2017.</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discounts related to the equity components of the exchangeable senior notes issued by our Operating Partnership. The 2013 Notes and 2015 Notes both had an effective interest rate of 4.0% relative to the carrying amount of the liability.</w:t>
      </w:r>
    </w:p>
    <w:p>
      <w:pPr>
        <w:spacing w:after="0" w:line="179"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interest earned 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and income earned on note receivable from Preferred Operating Partnership unit holders.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In these joint ventures, we and our joint venture partners generally receive a preferred return on our invested capital. To the extent that cash/profits in excess of these preferred returns are generated, we receive a higher percentage of the excess cash/profits.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and nine months ended September 30, 2018, the decrease in income tax expense relates primarily to a lower tax rate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35% to 21% due to the Tax Cuts and Jobs Act of 2017.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FUNDS FROM OPERATIONS</w:t>
      </w:r>
    </w:p>
    <w:p>
      <w:pPr>
        <w:spacing w:after="0" w:line="22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an indicator of our ability to make cash distributions.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5520" w:type="dxa"/>
            <w:vAlign w:val="bottom"/>
          </w:tcPr>
          <w:p>
            <w:pPr>
              <w:spacing w:after="0"/>
              <w:rPr>
                <w:sz w:val="16"/>
                <w:szCs w:val="16"/>
                <w:color w:val="auto"/>
              </w:rPr>
            </w:pPr>
          </w:p>
        </w:tc>
        <w:tc>
          <w:tcPr>
            <w:tcW w:w="292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1"/>
        </w:trPr>
        <w:tc>
          <w:tcPr>
            <w:tcW w:w="55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263,052</w:t>
            </w:r>
          </w:p>
        </w:tc>
      </w:tr>
      <w:tr>
        <w:trPr>
          <w:trHeight w:val="294"/>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Arial" w:cs="Arial" w:eastAsia="Arial" w:hAnsi="Arial"/>
                <w:sz w:val="16"/>
                <w:szCs w:val="16"/>
                <w:color w:val="auto"/>
              </w:rPr>
              <w:t>Real estate depreciation</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48,673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43,303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144,018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127,729</w:t>
            </w:r>
          </w:p>
        </w:tc>
      </w:tr>
      <w:tr>
        <w:trPr>
          <w:trHeight w:val="28"/>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11,164</w:t>
            </w:r>
          </w:p>
        </w:tc>
      </w:tr>
      <w:tr>
        <w:trPr>
          <w:trHeight w:val="239"/>
        </w:trPr>
        <w:tc>
          <w:tcPr>
            <w:tcW w:w="5520" w:type="dxa"/>
            <w:vAlign w:val="bottom"/>
          </w:tcPr>
          <w:p>
            <w:pPr>
              <w:ind w:left="20"/>
              <w:spacing w:after="0"/>
              <w:rPr>
                <w:sz w:val="20"/>
                <w:szCs w:val="20"/>
                <w:color w:val="auto"/>
              </w:rPr>
            </w:pPr>
            <w:r>
              <w:rPr>
                <w:rFonts w:ascii="Arial" w:cs="Arial" w:eastAsia="Arial" w:hAnsi="Arial"/>
                <w:sz w:val="16"/>
                <w:szCs w:val="16"/>
                <w:color w:val="auto"/>
              </w:rPr>
              <w:t>(Gain)/loss on real estate transactions and impairment of real estate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6,019</w:t>
            </w:r>
          </w:p>
        </w:tc>
      </w:tr>
      <w:tr>
        <w:trPr>
          <w:trHeight w:val="28"/>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Unconsolidated joint venture real estate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w:t>
            </w:r>
          </w:p>
        </w:tc>
      </w:tr>
      <w:tr>
        <w:trPr>
          <w:trHeight w:val="239"/>
        </w:trPr>
        <w:tc>
          <w:tcPr>
            <w:tcW w:w="5520" w:type="dxa"/>
            <w:vAlign w:val="bottom"/>
          </w:tcPr>
          <w:p>
            <w:pPr>
              <w:ind w:left="20"/>
              <w:spacing w:after="0"/>
              <w:rPr>
                <w:sz w:val="20"/>
                <w:szCs w:val="20"/>
                <w:color w:val="auto"/>
              </w:rPr>
            </w:pPr>
            <w:r>
              <w:rPr>
                <w:rFonts w:ascii="Arial" w:cs="Arial" w:eastAsia="Arial" w:hAnsi="Arial"/>
                <w:sz w:val="16"/>
                <w:szCs w:val="16"/>
                <w:color w:val="auto"/>
              </w:rPr>
              <w:t>Distributions paid on Series A Preferred Operating Partnership units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8"/>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Operating Partnership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21,928</w:t>
            </w:r>
          </w:p>
        </w:tc>
      </w:tr>
      <w:tr>
        <w:trPr>
          <w:trHeight w:val="254"/>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w w:val="92"/>
              </w:rPr>
              <w:t>Funds from operations attributable to common stockholders and unit holders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160,597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147,603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460,683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431,612</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same-store pool for the periods presented consists of 783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11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0" w:type="dxa"/>
            <w:vAlign w:val="bottom"/>
            <w:gridSpan w:val="6"/>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rental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244,051</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236,408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715,970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687,418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9"/>
        </w:trPr>
        <w:tc>
          <w:tcPr>
            <w:tcW w:w="3520" w:type="dxa"/>
            <w:vAlign w:val="bottom"/>
          </w:tcPr>
          <w:p>
            <w:pPr>
              <w:ind w:left="40"/>
              <w:spacing w:after="0"/>
              <w:rPr>
                <w:sz w:val="20"/>
                <w:szCs w:val="20"/>
                <w:color w:val="auto"/>
              </w:rPr>
            </w:pPr>
            <w:r>
              <w:rPr>
                <w:rFonts w:ascii="Arial" w:cs="Arial" w:eastAsia="Arial" w:hAnsi="Arial"/>
                <w:sz w:val="18"/>
                <w:szCs w:val="18"/>
                <w:color w:val="auto"/>
              </w:rPr>
              <w:t>Same-store operating expenses</w:t>
            </w:r>
          </w:p>
        </w:tc>
        <w:tc>
          <w:tcPr>
            <w:tcW w:w="120" w:type="dxa"/>
            <w:vAlign w:val="bottom"/>
          </w:tcPr>
          <w:p>
            <w:pPr>
              <w:spacing w:after="0"/>
              <w:rPr>
                <w:sz w:val="20"/>
                <w:szCs w:val="20"/>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65,799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63,911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198,199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188,888</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178,252</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172,497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517,771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498,530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9"/>
              </w:rPr>
              <w:t>Same-store square foot occupancy as of quarter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520" w:type="dxa"/>
            <w:vAlign w:val="bottom"/>
          </w:tcPr>
          <w:p>
            <w:pPr>
              <w:ind w:left="200"/>
              <w:spacing w:after="0"/>
              <w:rPr>
                <w:sz w:val="20"/>
                <w:szCs w:val="20"/>
                <w:color w:val="auto"/>
              </w:rPr>
            </w:pPr>
            <w:r>
              <w:rPr>
                <w:rFonts w:ascii="Arial" w:cs="Arial" w:eastAsia="Arial" w:hAnsi="Arial"/>
                <w:sz w:val="18"/>
                <w:szCs w:val="18"/>
                <w:color w:val="auto"/>
              </w:rPr>
              <w:t>end</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Same-store revenues for the three and nine months ended September 30, 2018 increased due to higher rental rates for both new and existing customers and were partially offset by increased discounts. Expenses were higher for the three months ended September 30, 2018, primarily due to increases in property taxes, marketing and insurance. Expenses were higher for the nine months ended September 30, 2018, primarily due to increases in property taxes, payroll and benefits and marketing. Four stores were removed from the same-store pool during the three months ended September 30, 2018, due to one disposition and three redevelopment/expansion projects of sufficient scale to require removal from the same-store pool per our same-store pool definition.</w:t>
      </w:r>
    </w:p>
    <w:p>
      <w:pPr>
        <w:spacing w:after="0" w:line="16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For the Nine Months Ended September</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86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139,687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337,830</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284,907</w:t>
            </w:r>
          </w:p>
        </w:tc>
        <w:tc>
          <w:tcPr>
            <w:tcW w:w="0" w:type="dxa"/>
            <w:vAlign w:val="bottom"/>
          </w:tcPr>
          <w:p>
            <w:pPr>
              <w:spacing w:after="0"/>
              <w:rPr>
                <w:sz w:val="1"/>
                <w:szCs w:val="1"/>
                <w:color w:val="auto"/>
              </w:rPr>
            </w:pPr>
          </w:p>
        </w:tc>
      </w:tr>
      <w:tr>
        <w:trPr>
          <w:trHeight w:val="239"/>
        </w:trPr>
        <w:tc>
          <w:tcPr>
            <w:tcW w:w="6060" w:type="dxa"/>
            <w:vAlign w:val="bottom"/>
          </w:tcPr>
          <w:p>
            <w:pPr>
              <w:ind w:left="160"/>
              <w:spacing w:after="0"/>
              <w:rPr>
                <w:sz w:val="20"/>
                <w:szCs w:val="20"/>
                <w:color w:val="auto"/>
              </w:rPr>
            </w:pPr>
            <w:r>
              <w:rPr>
                <w:rFonts w:ascii="Arial" w:cs="Arial" w:eastAsia="Arial" w:hAnsi="Arial"/>
                <w:sz w:val="18"/>
                <w:szCs w:val="18"/>
                <w:color w:val="auto"/>
              </w:rPr>
              <w:t>Adjusted to exclude:</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real estate transactions and impairment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9"/>
        </w:trPr>
        <w:tc>
          <w:tcPr>
            <w:tcW w:w="6060" w:type="dxa"/>
            <w:vAlign w:val="bottom"/>
          </w:tcPr>
          <w:p>
            <w:pPr>
              <w:ind w:left="280"/>
              <w:spacing w:after="0"/>
              <w:rPr>
                <w:sz w:val="20"/>
                <w:szCs w:val="20"/>
                <w:color w:val="auto"/>
              </w:rPr>
            </w:pPr>
            <w:r>
              <w:rPr>
                <w:rFonts w:ascii="Arial" w:cs="Arial" w:eastAsia="Arial" w:hAnsi="Arial"/>
                <w:sz w:val="18"/>
                <w:szCs w:val="18"/>
                <w:color w:val="auto"/>
              </w:rPr>
              <w:t>Equity in earnings of unconsolidated joint ventures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133,764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117,019</w:t>
            </w:r>
          </w:p>
        </w:tc>
        <w:tc>
          <w:tcPr>
            <w:tcW w:w="0" w:type="dxa"/>
            <w:vAlign w:val="bottom"/>
          </w:tcPr>
          <w:p>
            <w:pPr>
              <w:spacing w:after="0"/>
              <w:rPr>
                <w:sz w:val="1"/>
                <w:szCs w:val="1"/>
                <w:color w:val="auto"/>
              </w:rPr>
            </w:pPr>
          </w:p>
        </w:tc>
      </w:tr>
      <w:tr>
        <w:trPr>
          <w:trHeight w:val="239"/>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52,283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48,075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155,924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144,139</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39"/>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 (includes stock compensation)</w:t>
            </w:r>
          </w:p>
        </w:tc>
        <w:tc>
          <w:tcPr>
            <w:tcW w:w="3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19,707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19,498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62,822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60,171</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fees, other income and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39"/>
        </w:trPr>
        <w:tc>
          <w:tcPr>
            <w:tcW w:w="6060" w:type="dxa"/>
            <w:vAlign w:val="bottom"/>
          </w:tcPr>
          <w:p>
            <w:pPr>
              <w:ind w:left="280"/>
              <w:spacing w:after="0"/>
              <w:rPr>
                <w:sz w:val="20"/>
                <w:szCs w:val="20"/>
                <w:color w:val="auto"/>
              </w:rPr>
            </w:pPr>
            <w:r>
              <w:rPr>
                <w:rFonts w:ascii="Arial" w:cs="Arial" w:eastAsia="Arial" w:hAnsi="Arial"/>
                <w:sz w:val="18"/>
                <w:szCs w:val="18"/>
                <w:color w:val="auto"/>
              </w:rPr>
              <w:t>Net tenant reinsurance</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(22,385)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(66,862)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(59,054)</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 same store revenue</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(56,772)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(33,460)</w:t>
            </w:r>
          </w:p>
        </w:tc>
        <w:tc>
          <w:tcPr>
            <w:tcW w:w="0" w:type="dxa"/>
            <w:vAlign w:val="bottom"/>
          </w:tcPr>
          <w:p>
            <w:pPr>
              <w:spacing w:after="0"/>
              <w:rPr>
                <w:sz w:val="1"/>
                <w:szCs w:val="1"/>
                <w:color w:val="auto"/>
              </w:rPr>
            </w:pPr>
          </w:p>
        </w:tc>
      </w:tr>
      <w:tr>
        <w:trPr>
          <w:trHeight w:val="259"/>
        </w:trPr>
        <w:tc>
          <w:tcPr>
            <w:tcW w:w="6060" w:type="dxa"/>
            <w:vAlign w:val="bottom"/>
          </w:tcPr>
          <w:p>
            <w:pPr>
              <w:ind w:left="280"/>
              <w:spacing w:after="0"/>
              <w:rPr>
                <w:sz w:val="20"/>
                <w:szCs w:val="20"/>
                <w:color w:val="auto"/>
              </w:rPr>
            </w:pPr>
            <w:r>
              <w:rPr>
                <w:rFonts w:ascii="Arial" w:cs="Arial" w:eastAsia="Arial" w:hAnsi="Arial"/>
                <w:sz w:val="18"/>
                <w:szCs w:val="18"/>
                <w:color w:val="auto"/>
              </w:rPr>
              <w:t>Non same store expense</w:t>
            </w:r>
          </w:p>
        </w:tc>
        <w:tc>
          <w:tcPr>
            <w:tcW w:w="3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7,853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20"/>
                <w:szCs w:val="20"/>
                <w:color w:val="auto"/>
              </w:rPr>
              <w:t>21,289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20"/>
                <w:szCs w:val="20"/>
                <w:color w:val="auto"/>
              </w:rPr>
              <w:t>15,482</w:t>
            </w:r>
          </w:p>
        </w:tc>
        <w:tc>
          <w:tcPr>
            <w:tcW w:w="0" w:type="dxa"/>
            <w:vAlign w:val="bottom"/>
          </w:tcPr>
          <w:p>
            <w:pPr>
              <w:spacing w:after="0"/>
              <w:rPr>
                <w:sz w:val="1"/>
                <w:szCs w:val="1"/>
                <w:color w:val="auto"/>
              </w:rPr>
            </w:pP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same store NOI</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178,252</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172,497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517,771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498,530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Same-store rental revenues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244,051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715,970</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687,418</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8"/>
                <w:szCs w:val="18"/>
                <w:color w:val="auto"/>
              </w:rPr>
              <w:t>Same-store operating expenses</w:t>
            </w:r>
          </w:p>
        </w:tc>
        <w:tc>
          <w:tcPr>
            <w:tcW w:w="3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65,799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63,911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198,199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188,888</w:t>
            </w:r>
          </w:p>
        </w:tc>
        <w:tc>
          <w:tcPr>
            <w:tcW w:w="0" w:type="dxa"/>
            <w:vAlign w:val="bottom"/>
          </w:tcPr>
          <w:p>
            <w:pPr>
              <w:spacing w:after="0"/>
              <w:rPr>
                <w:sz w:val="1"/>
                <w:szCs w:val="1"/>
                <w:color w:val="auto"/>
              </w:rPr>
            </w:pPr>
          </w:p>
        </w:tc>
      </w:tr>
      <w:tr>
        <w:trPr>
          <w:trHeight w:val="28"/>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Same-store net operating income</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178,252</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172,497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517,771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498,530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September 30, 2018, we had $45,378 available in cash and cash equivalents. Our cash and cash equivalents are held in accounts managed by third party financial institutions and consist of invested cash and cash in our operating accounts. During 2018 and 2017, we experienced no loss or lack of access to our cash or cash equivalents; however, there can be no assurance that access to our cash and cash equivalents will not be impacted by adverse conditions in the financial markets.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8" w:right="239" w:bottom="1440" w:gutter="0" w:footer="0" w:header="0"/>
        </w:sectPr>
      </w:pPr>
    </w:p>
    <w:bookmarkStart w:id="37" w:name="page38"/>
    <w:bookmarkEnd w:id="37"/>
    <w:p>
      <w:pPr>
        <w:ind w:right="80"/>
        <w:spacing w:after="0" w:line="254" w:lineRule="auto"/>
        <w:rPr>
          <w:sz w:val="20"/>
          <w:szCs w:val="20"/>
          <w:color w:val="auto"/>
        </w:rPr>
      </w:pPr>
      <w:r>
        <w:rPr>
          <w:rFonts w:ascii="Arial" w:cs="Arial" w:eastAsia="Arial" w:hAnsi="Arial"/>
          <w:sz w:val="18"/>
          <w:szCs w:val="18"/>
          <w:color w:val="auto"/>
        </w:rPr>
        <w:t>As of September 30, 2018, we had $4,803,360 face value of debt, resulting in a debt to total enterprise value ratio of 29.1%. As of September 30, 2018, the ratio of total fixed-rate debt and other instruments to total debt was 74.4% (including $2,168,575 on which we have interest rate swaps that have been included as fixed-rate debt). The weighted average interest rate of the total of fixed- and variable-rate debt at September 30, 2018 was 3.5%. Certain of our real estate assets are pledged as collateral for our debt. We are subject to certain restrictive covenants relating to our outstanding debt. We were in compliance with all financial covenants at September 30, 2018.</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including undrawn portions of our unsecured facility. In addition, we are pursuing additional sources of financing based on anticipated funding needs.</w:t>
      </w:r>
    </w:p>
    <w:p>
      <w:pPr>
        <w:spacing w:after="0" w:line="19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liquidity needs consist primarily of cash distributions to stockholders, store acquisitions, principal payments under our borrowings and non-recurring capital expenditures.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flows provided by operating activities were $529,027 and $449,629 for the nine months ended September 30, 2018 and 2017, respectively. Cash flows from operating activities were higher primarily due to an increase of $52,923 in net income during the nine months ended September 30, 2018, which was partially offset by the add back of a non-cash gain on real estate transactions and impairment of real estate of $36,826. There were also increases of $21,252 in the change in accounts payable and accrued expenses and $14,664 in the change in other assets when compared with the nine months ended September 30, 2017.</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in investing activities was $317,029 and $84,351, for the nine months ended September 30, 2018 and 2017, respectively. The increase was primarily due to an increase in cash paid for the acquisition of real estate assets of $207,971 during the nine months ended September 30, 2018 when compared to the prior year. We purchased 28 stores during the nine months ended September 30, 2018, compared to 9 stores purchased during the nine months ended September 30, 2017.</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used in financing activities was $231,459 and $342,011 for the nine months ended September 30, 2018 and 2017, respectively. The change related primarily to a decrease in principal payments on notes payable and revolving lines of credit of $232,205 when compared to the same period in the prior year. This decrease was partially offset by an increase in cash paid for the repurchase of our 2013 exchangeable senior notes of $60,544, a decrease of $49,784 in proceeds from notes payable and revolving lines of credit, and an increase of $21,650 for principal payments on notes payable to trusts during the nine months ended September 30, 2018 when compared to the prior year.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1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September 30, 2018, we had $4.8 billion in total face value of debt, of which $1.2 billion was subject to variable interest rates (excluding debt with interest rate swaps). If LIBOR were to increase or decrease by 100 basis points, the increase or decrease in interest expense on the variable-rate debt would increase or decrease future earnings and cash flows by $12.3 million annually.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1" w:lineRule="exact"/>
        <w:rPr>
          <w:sz w:val="20"/>
          <w:szCs w:val="20"/>
          <w:color w:val="auto"/>
        </w:rPr>
      </w:pPr>
    </w:p>
    <w:p>
      <w:pPr>
        <w:ind w:left="640" w:hanging="633"/>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or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our disclosure obligations on a timely basis.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committee meets quarterly and reports directly to our Chief Executive Officer and Chief Financial Officer.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76" w:right="259" w:bottom="1440" w:gutter="0" w:footer="0" w:header="0"/>
        </w:sectPr>
      </w:pPr>
    </w:p>
    <w:bookmarkStart w:id="39" w:name="page40"/>
    <w:bookmarkEnd w:id="39"/>
    <w:p>
      <w:pPr>
        <w:ind w:left="640" w:hanging="633"/>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576" w:right="379" w:bottom="1440" w:gutter="0" w:footer="0" w:header="0"/>
        </w:sectPr>
      </w:pPr>
    </w:p>
    <w:bookmarkStart w:id="40" w:name="page41"/>
    <w:bookmarkEnd w:id="40"/>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2017, which could materially affect our business, financial condition and results of operations. There have been no material changes to the risk factors described in the “Risk Factors” section in our Annual Report on Form 10-K for the year ended December 31, 2017.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576" w:right="339" w:bottom="1440" w:gutter="0" w:footer="0" w:header="0"/>
        </w:sectPr>
      </w:pPr>
    </w:p>
    <w:bookmarkStart w:id="41" w:name="page42"/>
    <w:bookmarkEnd w:id="41"/>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2" w:lineRule="exact"/>
        <w:rPr>
          <w:sz w:val="20"/>
          <w:szCs w:val="20"/>
          <w:color w:val="auto"/>
        </w:rPr>
      </w:pPr>
    </w:p>
    <w:p>
      <w:pPr>
        <w:ind w:left="16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4">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68" w:lineRule="exact"/>
        <w:rPr>
          <w:sz w:val="20"/>
          <w:szCs w:val="20"/>
          <w:color w:val="auto"/>
        </w:rPr>
      </w:pPr>
    </w:p>
    <w:p>
      <w:pPr>
        <w:ind w:left="16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5">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68" w:lineRule="exact"/>
        <w:rPr>
          <w:sz w:val="20"/>
          <w:szCs w:val="20"/>
          <w:color w:val="auto"/>
        </w:rPr>
      </w:pPr>
    </w:p>
    <w:p>
      <w:pPr>
        <w:ind w:left="720" w:right="60" w:hanging="561"/>
        <w:spacing w:after="0" w:line="271"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6">
        <w:r>
          <w:rPr>
            <w:rFonts w:ascii="Arial" w:cs="Arial" w:eastAsia="Arial" w:hAnsi="Arial"/>
            <w:sz w:val="18"/>
            <w:szCs w:val="18"/>
            <w:u w:val="single" w:color="auto"/>
            <w:color w:val="0000FF"/>
          </w:rPr>
          <w:t>Certifications of the Chief Executive Officer and Chief Financial Officer pursuant to 18 U.S.C. Section 1350, as adopted pursuant to Section 906 of</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the Sarbanes-Oxley Act of 2002.</w:t>
        </w:r>
      </w:hyperlink>
    </w:p>
    <w:p>
      <w:pPr>
        <w:spacing w:after="0" w:line="121" w:lineRule="exact"/>
        <w:rPr>
          <w:sz w:val="20"/>
          <w:szCs w:val="20"/>
          <w:color w:val="auto"/>
        </w:rPr>
      </w:pPr>
    </w:p>
    <w:p>
      <w:pPr>
        <w:ind w:left="720" w:hanging="552"/>
        <w:spacing w:after="0" w:line="297"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September 30, 2018,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576" w:right="339" w:bottom="1440" w:gutter="0" w:footer="0" w:header="0"/>
        </w:sectPr>
      </w:pPr>
    </w:p>
    <w:bookmarkStart w:id="42" w:name="page43"/>
    <w:bookmarkEnd w:id="4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EXTRA SPACE STORAGE INC.</w:t>
      </w:r>
    </w:p>
    <w:p>
      <w:pPr>
        <w:spacing w:after="0" w:line="61"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Registrant</w:t>
      </w:r>
    </w:p>
    <w:p>
      <w:pPr>
        <w:spacing w:after="0" w:line="382" w:lineRule="exact"/>
        <w:rPr>
          <w:sz w:val="20"/>
          <w:szCs w:val="20"/>
          <w:color w:val="auto"/>
        </w:rPr>
      </w:pPr>
    </w:p>
    <w:p>
      <w:pPr>
        <w:ind w:left="40"/>
        <w:spacing w:after="0"/>
        <w:tabs>
          <w:tab w:leader="none" w:pos="64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30480</wp:posOffset>
            </wp:positionV>
            <wp:extent cx="3075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75940" cy="8255"/>
                    </a:xfrm>
                    <a:prstGeom prst="rect">
                      <a:avLst/>
                    </a:prstGeom>
                    <a:noFill/>
                  </pic:spPr>
                </pic:pic>
              </a:graphicData>
            </a:graphic>
          </wp:anchor>
        </w:drawing>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Joseph D. Margolis</w:t>
      </w:r>
    </w:p>
    <w:p>
      <w:pPr>
        <w:spacing w:after="0" w:line="61"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Executive Officer)</w:t>
      </w:r>
    </w:p>
    <w:p>
      <w:pPr>
        <w:spacing w:after="0" w:line="369" w:lineRule="exact"/>
        <w:rPr>
          <w:sz w:val="20"/>
          <w:szCs w:val="20"/>
          <w:color w:val="auto"/>
        </w:rPr>
      </w:pPr>
    </w:p>
    <w:p>
      <w:pPr>
        <w:ind w:left="40"/>
        <w:spacing w:after="0"/>
        <w:tabs>
          <w:tab w:leader="none" w:pos="64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4"/>
          <w:szCs w:val="14"/>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30480</wp:posOffset>
            </wp:positionV>
            <wp:extent cx="3075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75940" cy="8255"/>
                    </a:xfrm>
                    <a:prstGeom prst="rect">
                      <a:avLst/>
                    </a:prstGeom>
                    <a:noFill/>
                  </pic:spPr>
                </pic:pic>
              </a:graphicData>
            </a:graphic>
          </wp:anchor>
        </w:drawing>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 Scott Stubbs</w:t>
      </w:r>
    </w:p>
    <w:p>
      <w:pPr>
        <w:spacing w:after="0" w:line="61"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1"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240" w:top="576" w:right="5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1" w:lineRule="exact"/>
        <w:rPr>
          <w:sz w:val="20"/>
          <w:szCs w:val="20"/>
          <w:color w:val="auto"/>
        </w:rPr>
      </w:pPr>
    </w:p>
    <w:p>
      <w:pPr>
        <w:ind w:left="640" w:hanging="63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1" w:lineRule="exact"/>
        <w:rPr>
          <w:rFonts w:ascii="Arial" w:cs="Arial" w:eastAsia="Arial" w:hAnsi="Arial"/>
          <w:sz w:val="18"/>
          <w:szCs w:val="18"/>
          <w:color w:val="auto"/>
        </w:rPr>
      </w:pPr>
    </w:p>
    <w:p>
      <w:pPr>
        <w:jc w:val="both"/>
        <w:ind w:left="640" w:right="400" w:hanging="633"/>
        <w:spacing w:after="0" w:line="259"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right="360" w:hanging="633"/>
        <w:spacing w:after="0" w:line="301"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640" w:right="400" w:hanging="633"/>
        <w:spacing w:after="0" w:line="259"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300" w:right="40" w:hanging="651"/>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320" w:hanging="651"/>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right="480" w:hanging="651"/>
        <w:spacing w:after="0" w:line="417" w:lineRule="auto"/>
        <w:tabs>
          <w:tab w:leader="none" w:pos="13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300" w:right="40" w:hanging="651"/>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right="280" w:hanging="633"/>
        <w:spacing w:after="0" w:line="301"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300" w:right="780" w:hanging="651"/>
        <w:spacing w:after="0" w:line="335"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00" w:right="480" w:hanging="651"/>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Date: November 6, 2018</w:t>
            </w:r>
          </w:p>
        </w:tc>
        <w:tc>
          <w:tcPr>
            <w:tcW w:w="2360" w:type="dxa"/>
            <w:vAlign w:val="bottom"/>
          </w:tcPr>
          <w:p>
            <w:pPr>
              <w:ind w:left="1700"/>
              <w:spacing w:after="0"/>
              <w:rPr>
                <w:sz w:val="20"/>
                <w:szCs w:val="20"/>
                <w:color w:val="auto"/>
              </w:rPr>
            </w:pPr>
            <w:r>
              <w:rPr>
                <w:rFonts w:ascii="Arial" w:cs="Arial" w:eastAsia="Arial" w:hAnsi="Arial"/>
                <w:sz w:val="18"/>
                <w:szCs w:val="18"/>
                <w:color w:val="auto"/>
              </w:rPr>
              <w:t>By:</w:t>
            </w:r>
          </w:p>
        </w:tc>
        <w:tc>
          <w:tcPr>
            <w:tcW w:w="5580" w:type="dxa"/>
            <w:vAlign w:val="bottom"/>
          </w:tcPr>
          <w:p>
            <w:pPr>
              <w:ind w:left="20"/>
              <w:spacing w:after="0"/>
              <w:rPr>
                <w:sz w:val="20"/>
                <w:szCs w:val="20"/>
                <w:color w:val="auto"/>
              </w:rPr>
            </w:pPr>
            <w:r>
              <w:rPr>
                <w:rFonts w:ascii="Arial" w:cs="Arial" w:eastAsia="Arial" w:hAnsi="Arial"/>
                <w:sz w:val="18"/>
                <w:szCs w:val="18"/>
                <w:color w:val="auto"/>
              </w:rPr>
              <w:t>/s/ Joseph D. Margolis</w:t>
            </w:r>
          </w:p>
        </w:tc>
      </w:tr>
      <w:tr>
        <w:trPr>
          <w:trHeight w:val="28"/>
        </w:trPr>
        <w:tc>
          <w:tcPr>
            <w:tcW w:w="3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3"/>
        </w:trPr>
        <w:tc>
          <w:tcPr>
            <w:tcW w:w="3440" w:type="dxa"/>
            <w:vAlign w:val="bottom"/>
          </w:tcPr>
          <w:p>
            <w:pPr>
              <w:spacing w:after="0"/>
              <w:rPr>
                <w:sz w:val="20"/>
                <w:szCs w:val="20"/>
                <w:color w:val="auto"/>
              </w:rPr>
            </w:pPr>
          </w:p>
        </w:tc>
        <w:tc>
          <w:tcPr>
            <w:tcW w:w="2360" w:type="dxa"/>
            <w:vAlign w:val="bottom"/>
          </w:tcPr>
          <w:p>
            <w:pPr>
              <w:ind w:left="1700"/>
              <w:spacing w:after="0"/>
              <w:rPr>
                <w:sz w:val="20"/>
                <w:szCs w:val="20"/>
                <w:color w:val="auto"/>
              </w:rPr>
            </w:pPr>
            <w:r>
              <w:rPr>
                <w:rFonts w:ascii="Arial" w:cs="Arial" w:eastAsia="Arial" w:hAnsi="Arial"/>
                <w:sz w:val="18"/>
                <w:szCs w:val="18"/>
                <w:color w:val="auto"/>
              </w:rPr>
              <w:t>Name:</w:t>
            </w:r>
          </w:p>
        </w:tc>
        <w:tc>
          <w:tcPr>
            <w:tcW w:w="558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68"/>
        </w:trPr>
        <w:tc>
          <w:tcPr>
            <w:tcW w:w="3440" w:type="dxa"/>
            <w:vAlign w:val="bottom"/>
          </w:tcPr>
          <w:p>
            <w:pPr>
              <w:spacing w:after="0"/>
              <w:rPr>
                <w:sz w:val="23"/>
                <w:szCs w:val="23"/>
                <w:color w:val="auto"/>
              </w:rPr>
            </w:pPr>
          </w:p>
        </w:tc>
        <w:tc>
          <w:tcPr>
            <w:tcW w:w="2360" w:type="dxa"/>
            <w:vAlign w:val="bottom"/>
          </w:tcPr>
          <w:p>
            <w:pPr>
              <w:ind w:left="1700"/>
              <w:spacing w:after="0"/>
              <w:rPr>
                <w:sz w:val="20"/>
                <w:szCs w:val="20"/>
                <w:color w:val="auto"/>
              </w:rPr>
            </w:pPr>
            <w:r>
              <w:rPr>
                <w:rFonts w:ascii="Arial" w:cs="Arial" w:eastAsia="Arial" w:hAnsi="Arial"/>
                <w:sz w:val="18"/>
                <w:szCs w:val="18"/>
                <w:color w:val="auto"/>
              </w:rPr>
              <w:t>Title:</w:t>
            </w:r>
          </w:p>
        </w:tc>
        <w:tc>
          <w:tcPr>
            <w:tcW w:w="5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1" w:lineRule="exact"/>
        <w:rPr>
          <w:sz w:val="20"/>
          <w:szCs w:val="20"/>
          <w:color w:val="auto"/>
        </w:rPr>
      </w:pPr>
    </w:p>
    <w:p>
      <w:pPr>
        <w:ind w:left="640" w:hanging="63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1" w:lineRule="exact"/>
        <w:rPr>
          <w:rFonts w:ascii="Arial" w:cs="Arial" w:eastAsia="Arial" w:hAnsi="Arial"/>
          <w:sz w:val="18"/>
          <w:szCs w:val="18"/>
          <w:color w:val="auto"/>
        </w:rPr>
      </w:pPr>
    </w:p>
    <w:p>
      <w:pPr>
        <w:jc w:val="both"/>
        <w:ind w:left="640" w:right="400" w:hanging="633"/>
        <w:spacing w:after="0" w:line="259"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right="360" w:hanging="633"/>
        <w:spacing w:after="0" w:line="301"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640" w:right="400" w:hanging="633"/>
        <w:spacing w:after="0" w:line="259"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300" w:right="40" w:hanging="651"/>
        <w:spacing w:after="0" w:line="25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320" w:hanging="651"/>
        <w:spacing w:after="0" w:line="25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right="480" w:hanging="651"/>
        <w:spacing w:after="0" w:line="417" w:lineRule="auto"/>
        <w:tabs>
          <w:tab w:leader="none" w:pos="13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300" w:right="40" w:hanging="651"/>
        <w:spacing w:after="0" w:line="25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right="280" w:hanging="633"/>
        <w:spacing w:after="0" w:line="301"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300" w:right="780" w:hanging="651"/>
        <w:spacing w:after="0" w:line="335"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00" w:right="480" w:hanging="651"/>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tabs>
          <w:tab w:leader="none" w:pos="5160" w:val="left"/>
          <w:tab w:leader="none" w:pos="584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30480</wp:posOffset>
            </wp:positionV>
            <wp:extent cx="3543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54"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Name:</w:t>
        <w:tab/>
        <w:t>P. Scott Stubbs</w:t>
      </w:r>
    </w:p>
    <w:p>
      <w:pPr>
        <w:spacing w:after="0" w:line="61"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6" w:lineRule="exact"/>
        <w:rPr>
          <w:sz w:val="20"/>
          <w:szCs w:val="20"/>
          <w:color w:val="auto"/>
        </w:rPr>
      </w:pPr>
    </w:p>
    <w:tbl>
      <w:tblPr>
        <w:tblLayout w:type="fixed"/>
        <w:tblInd w:w="5180" w:type="dxa"/>
        <w:tblCellMar>
          <w:top w:w="0" w:type="dxa"/>
          <w:left w:w="0" w:type="dxa"/>
          <w:bottom w:w="0" w:type="dxa"/>
          <w:right w:w="0" w:type="dxa"/>
        </w:tblCellMar>
      </w:tblP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20"/>
              <w:spacing w:after="0"/>
              <w:rPr>
                <w:sz w:val="20"/>
                <w:szCs w:val="20"/>
                <w:color w:val="auto"/>
              </w:rPr>
            </w:pPr>
            <w:r>
              <w:rPr>
                <w:rFonts w:ascii="Arial" w:cs="Arial" w:eastAsia="Arial" w:hAnsi="Arial"/>
                <w:sz w:val="18"/>
                <w:szCs w:val="18"/>
                <w:color w:val="auto"/>
              </w:rPr>
              <w:t>/s/ Joseph D. Margolis</w:t>
            </w:r>
          </w:p>
        </w:tc>
        <w:tc>
          <w:tcPr>
            <w:tcW w:w="0" w:type="dxa"/>
            <w:vAlign w:val="bottom"/>
          </w:tcPr>
          <w:p>
            <w:pPr>
              <w:spacing w:after="0"/>
              <w:rPr>
                <w:sz w:val="1"/>
                <w:szCs w:val="1"/>
                <w:color w:val="auto"/>
              </w:rPr>
            </w:pPr>
          </w:p>
        </w:tc>
      </w:tr>
      <w:tr>
        <w:trPr>
          <w:trHeight w:val="28"/>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60" w:type="dxa"/>
            <w:vAlign w:val="bottom"/>
            <w:vMerge w:val="continue"/>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Joseph D. Margolis</w:t>
            </w:r>
          </w:p>
        </w:tc>
        <w:tc>
          <w:tcPr>
            <w:tcW w:w="0" w:type="dxa"/>
            <w:vAlign w:val="bottom"/>
          </w:tcPr>
          <w:p>
            <w:pPr>
              <w:spacing w:after="0"/>
              <w:rPr>
                <w:sz w:val="1"/>
                <w:szCs w:val="1"/>
                <w:color w:val="auto"/>
              </w:rPr>
            </w:pPr>
          </w:p>
        </w:tc>
      </w:tr>
      <w:tr>
        <w:trPr>
          <w:trHeight w:val="268"/>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68"/>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580" w:type="dxa"/>
            <w:vAlign w:val="bottom"/>
          </w:tcPr>
          <w:p>
            <w:pPr>
              <w:ind w:left="20"/>
              <w:spacing w:after="0"/>
              <w:rPr>
                <w:sz w:val="20"/>
                <w:szCs w:val="20"/>
                <w:color w:val="auto"/>
              </w:rPr>
            </w:pPr>
            <w:r>
              <w:rPr>
                <w:rFonts w:ascii="Arial" w:cs="Arial" w:eastAsia="Arial" w:hAnsi="Arial"/>
                <w:sz w:val="18"/>
                <w:szCs w:val="18"/>
                <w:color w:val="auto"/>
              </w:rPr>
              <w:t>November 6, 2018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2018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6" w:lineRule="exact"/>
        <w:rPr>
          <w:sz w:val="20"/>
          <w:szCs w:val="20"/>
          <w:color w:val="auto"/>
        </w:rPr>
      </w:pPr>
    </w:p>
    <w:tbl>
      <w:tblPr>
        <w:tblLayout w:type="fixed"/>
        <w:tblInd w:w="5180" w:type="dxa"/>
        <w:tblCellMar>
          <w:top w:w="0" w:type="dxa"/>
          <w:left w:w="0" w:type="dxa"/>
          <w:bottom w:w="0" w:type="dxa"/>
          <w:right w:w="0" w:type="dxa"/>
        </w:tblCellMar>
      </w:tblP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20"/>
              <w:spacing w:after="0"/>
              <w:rPr>
                <w:sz w:val="20"/>
                <w:szCs w:val="20"/>
                <w:color w:val="auto"/>
              </w:rPr>
            </w:pPr>
            <w:r>
              <w:rPr>
                <w:rFonts w:ascii="Arial" w:cs="Arial" w:eastAsia="Arial" w:hAnsi="Arial"/>
                <w:sz w:val="18"/>
                <w:szCs w:val="18"/>
                <w:color w:val="auto"/>
              </w:rPr>
              <w:t>/s/ P. Scott Stubbs</w:t>
            </w:r>
          </w:p>
        </w:tc>
        <w:tc>
          <w:tcPr>
            <w:tcW w:w="0" w:type="dxa"/>
            <w:vAlign w:val="bottom"/>
          </w:tcPr>
          <w:p>
            <w:pPr>
              <w:spacing w:after="0"/>
              <w:rPr>
                <w:sz w:val="1"/>
                <w:szCs w:val="1"/>
                <w:color w:val="auto"/>
              </w:rPr>
            </w:pPr>
          </w:p>
        </w:tc>
      </w:tr>
      <w:tr>
        <w:trPr>
          <w:trHeight w:val="28"/>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60" w:type="dxa"/>
            <w:vAlign w:val="bottom"/>
            <w:vMerge w:val="continue"/>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 Scott Stubbs</w:t>
            </w:r>
          </w:p>
        </w:tc>
        <w:tc>
          <w:tcPr>
            <w:tcW w:w="0" w:type="dxa"/>
            <w:vAlign w:val="bottom"/>
          </w:tcPr>
          <w:p>
            <w:pPr>
              <w:spacing w:after="0"/>
              <w:rPr>
                <w:sz w:val="1"/>
                <w:szCs w:val="1"/>
                <w:color w:val="auto"/>
              </w:rPr>
            </w:pPr>
          </w:p>
        </w:tc>
      </w:tr>
      <w:tr>
        <w:trPr>
          <w:trHeight w:val="268"/>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5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68"/>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580" w:type="dxa"/>
            <w:vAlign w:val="bottom"/>
          </w:tcPr>
          <w:p>
            <w:pPr>
              <w:ind w:left="20"/>
              <w:spacing w:after="0"/>
              <w:rPr>
                <w:sz w:val="20"/>
                <w:szCs w:val="20"/>
                <w:color w:val="auto"/>
              </w:rPr>
            </w:pPr>
            <w:r>
              <w:rPr>
                <w:rFonts w:ascii="Arial" w:cs="Arial" w:eastAsia="Arial" w:hAnsi="Arial"/>
                <w:sz w:val="18"/>
                <w:szCs w:val="18"/>
                <w:color w:val="auto"/>
              </w:rPr>
              <w:t>November 6, 2018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1."/>
      <w:numFmt w:val="decimal"/>
      <w:start w:val="15"/>
    </w:lvl>
  </w:abstractNum>
  <w:abstractNum w:abstractNumId="20">
    <w:nsid w:val="75A2A8D4"/>
    <w:multiLevelType w:val="hybridMultilevel"/>
    <w:lvl w:ilvl="0">
      <w:lvlJc w:val="left"/>
      <w:lvlText w:val="%1."/>
      <w:numFmt w:val="decimal"/>
      <w:start w:val="16"/>
    </w:lvl>
  </w:abstractNum>
  <w:abstractNum w:abstractNumId="21">
    <w:nsid w:val="8EDBDAB"/>
    <w:multiLevelType w:val="hybridMultilevel"/>
    <w:lvl w:ilvl="0">
      <w:lvlJc w:val="left"/>
      <w:lvlText w:val="%1."/>
      <w:numFmt w:val="decimal"/>
      <w:start w:val="17"/>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2"/>
    </w:lvl>
  </w:abstractNum>
  <w:abstractNum w:abstractNumId="24">
    <w:nsid w:val="B03E0C6"/>
    <w:multiLevelType w:val="hybridMultilevel"/>
    <w:lvl w:ilvl="0">
      <w:lvlJc w:val="left"/>
      <w:lvlText w:val="%1"/>
      <w:numFmt w:val="decimal"/>
      <w:start w:val="10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2019-12-28T18:24:48Z</dcterms:created>
  <dcterms:modified xsi:type="dcterms:W3CDTF">2019-12-28T18:24:48Z</dcterms:modified>
</cp:coreProperties>
</file>