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r>
        <w:rPr>
          <w:rFonts w:ascii="Times New Roman;serif" w:hAnsi="Times New Roman;serif"/>
          <w:b/>
          <w:color w:val="000000"/>
          <w:sz w:val="20"/>
        </w:rPr>
        <w: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001-32269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EXTRA SPACE STORAGE INC. </w:t>
      </w:r>
    </w:p>
    <w:p>
      <w:pPr>
        <w:pStyle w:val="TextBody"/>
        <w:bidi w:val="0"/>
        <w:spacing w:lineRule="auto" w:line="288" w:before="0" w:after="0"/>
        <w:jc w:val="center"/>
        <w:rPr/>
      </w:pPr>
      <w:r>
        <w:rPr>
          <w:rFonts w:ascii="Times New Roman;serif" w:hAnsi="Times New Roman;serif"/>
          <w:b/>
          <w:color w:val="000000"/>
          <w:sz w:val="20"/>
        </w:rPr>
        <w:t>(Exact name of registrant as specified in its charter)</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81" w:type="dxa"/>
        <w:jc w:val="left"/>
        <w:tblInd w:w="0" w:type="dxa"/>
        <w:tblLayout w:type="fixed"/>
        <w:tblCellMar>
          <w:top w:w="28" w:type="dxa"/>
          <w:left w:w="28" w:type="dxa"/>
          <w:bottom w:w="28" w:type="dxa"/>
          <w:right w:w="28" w:type="dxa"/>
        </w:tblCellMar>
      </w:tblPr>
      <w:tblGrid>
        <w:gridCol w:w="857"/>
        <w:gridCol w:w="753"/>
        <w:gridCol w:w="760"/>
        <w:gridCol w:w="109"/>
        <w:gridCol w:w="109"/>
        <w:gridCol w:w="109"/>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20-1076777</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2795 East Cottonwood Parkway, Suite 300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Salt Lake City, Utah 84121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(801) 365-4600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Securities Exchange Act of 1934</w:t>
      </w:r>
    </w:p>
    <w:tbl>
      <w:tblPr>
        <w:tblW w:w="8024" w:type="dxa"/>
        <w:jc w:val="center"/>
        <w:tblInd w:w="0" w:type="dxa"/>
        <w:tblLayout w:type="fixed"/>
        <w:tblCellMar>
          <w:top w:w="28" w:type="dxa"/>
          <w:left w:w="28" w:type="dxa"/>
          <w:bottom w:w="28" w:type="dxa"/>
          <w:right w:w="28" w:type="dxa"/>
        </w:tblCellMar>
      </w:tblPr>
      <w:tblGrid>
        <w:gridCol w:w="986"/>
        <w:gridCol w:w="867"/>
        <w:gridCol w:w="877"/>
        <w:gridCol w:w="489"/>
        <w:gridCol w:w="489"/>
        <w:gridCol w:w="491"/>
        <w:gridCol w:w="1118"/>
        <w:gridCol w:w="1118"/>
        <w:gridCol w:w="1589"/>
      </w:tblGrid>
      <w:tr>
        <w:trPr/>
        <w:tc>
          <w:tcPr>
            <w:tcW w:w="98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EXR</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w:t>
      </w:r>
      <w:r>
        <w:rPr>
          <w:rFonts w:ascii="Times New Roman;serif" w:hAnsi="Times New Roman;serif"/>
          <w:b w:val="false"/>
          <w:color w:val="000000"/>
          <w:sz w:val="20"/>
        </w:rPr>
        <w:t>No  ☐</w:t>
      </w:r>
    </w:p>
    <w:p>
      <w:pPr>
        <w:pStyle w:val="TextBody"/>
        <w:bidi w:val="0"/>
        <w:spacing w:before="0" w:after="0"/>
        <w:ind w:left="0" w:right="0" w:firstLine="495"/>
        <w:jc w:val="left"/>
        <w:rPr/>
      </w:pPr>
      <w:r>
        <w:rPr/>
      </w:r>
    </w:p>
    <w:p>
      <w:pPr>
        <w:pStyle w:val="TextBody"/>
        <w:bidi w:val="0"/>
        <w:spacing w:lineRule="auto" w:line="288" w:before="0" w:after="0"/>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w:t>
      </w:r>
      <w:r>
        <w:rPr>
          <w:rFonts w:ascii="Times New Roman;serif" w:hAnsi="Times New Roman;serif"/>
          <w:b w:val="false"/>
          <w:color w:val="000000"/>
          <w:sz w:val="20"/>
        </w:rPr>
        <w:t>No  ☐</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910"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1945"/>
                <wp:effectExtent l="0" t="0" r="0" b="0"/>
                <wp:wrapNone/>
                <wp:docPr id="1" name="Frame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Indicate by check mark whether the registrant is a shell company (as defined in Rule 12b-2 of the Exchange Act).    Yes  ☐    No  </w:t>
      </w:r>
      <w:r>
        <w:rPr>
          <w:rFonts w:ascii="Wingdings;sans-serif" w:hAnsi="Wingdings;sans-serif"/>
          <w:b w:val="false"/>
          <w:color w:val="000000"/>
          <w:sz w:val="18"/>
        </w:rPr>
        <w:t>x</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number of shares outstanding of the registrant’s common stock, par value $0.01 per share, as of July 24, 2026, was 211,269,558.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1945"/>
                <wp:effectExtent l="0" t="0" r="0" b="0"/>
                <wp:wrapNone/>
                <wp:docPr id="2" name="Frame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b6bab744c8f14213a6b5fc3608000976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EXTRA SPACE STORAGE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562"/>
        <w:gridCol w:w="3132"/>
        <w:gridCol w:w="3137"/>
        <w:gridCol w:w="109"/>
        <w:gridCol w:w="109"/>
        <w:gridCol w:w="156"/>
      </w:tblGrid>
      <w:tr>
        <w:trPr/>
        <w:tc>
          <w:tcPr>
            <w:tcW w:w="3562" w:type="dxa"/>
            <w:tcBorders/>
            <w:vAlign w:val="center"/>
          </w:tcPr>
          <w:p>
            <w:pPr>
              <w:pStyle w:val="TableContents"/>
              <w:bidi w:val="0"/>
              <w:spacing w:before="0" w:after="283"/>
              <w:jc w:val="left"/>
              <w:rPr>
                <w:sz w:val="4"/>
                <w:szCs w:val="4"/>
              </w:rPr>
            </w:pPr>
            <w:r>
              <w:rPr>
                <w:sz w:val="4"/>
                <w:szCs w:val="4"/>
              </w:rPr>
            </w:r>
          </w:p>
        </w:tc>
        <w:tc>
          <w:tcPr>
            <w:tcW w:w="3132" w:type="dxa"/>
            <w:tcBorders/>
            <w:vAlign w:val="center"/>
          </w:tcPr>
          <w:p>
            <w:pPr>
              <w:pStyle w:val="TableContents"/>
              <w:bidi w:val="0"/>
              <w:spacing w:before="0" w:after="283"/>
              <w:jc w:val="left"/>
              <w:rPr>
                <w:sz w:val="4"/>
                <w:szCs w:val="4"/>
              </w:rPr>
            </w:pPr>
            <w:r>
              <w:rPr>
                <w:sz w:val="4"/>
                <w:szCs w:val="4"/>
              </w:rPr>
            </w:r>
          </w:p>
        </w:tc>
        <w:tc>
          <w:tcPr>
            <w:tcW w:w="3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bab744c8f14213a6b5fc3608000976_10">
              <w:r>
                <w:rPr>
                  <w:rStyle w:val="InternetLink"/>
                  <w:rFonts w:ascii="Times New Roman;serif" w:hAnsi="Times New Roman;serif"/>
                  <w:b/>
                  <w:color w:val="0000FF"/>
                  <w:sz w:val="20"/>
                  <w:u w:val="single"/>
                </w:rPr>
                <w:t>STATEMENT ON FORWARD-LOOKING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bab744c8f14213a6b5fc3608000976_10">
              <w:r>
                <w:rPr>
                  <w:rStyle w:val="InternetLink"/>
                  <w:rFonts w:ascii="Times New Roman;serif" w:hAnsi="Times New Roman;serif"/>
                  <w:b w:val="false"/>
                  <w:color w:val="0000FF"/>
                  <w:sz w:val="20"/>
                  <w:u w:val="single"/>
                </w:rPr>
                <w:t>4</w:t>
              </w:r>
            </w:hyperlink>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bab744c8f14213a6b5fc3608000976_13">
              <w:r>
                <w:rPr>
                  <w:rStyle w:val="InternetLink"/>
                  <w:rFonts w:ascii="Times New Roman;serif" w:hAnsi="Times New Roman;serif"/>
                  <w:b/>
                  <w:color w:val="0000FF"/>
                  <w:sz w:val="20"/>
                  <w:u w:val="single"/>
                </w:rPr>
                <w:t>PART I. FINANCIAL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bab744c8f14213a6b5fc3608000976_13">
              <w:r>
                <w:rPr>
                  <w:rStyle w:val="InternetLink"/>
                  <w:rFonts w:ascii="Times New Roman;serif" w:hAnsi="Times New Roman;serif"/>
                  <w:b w:val="false"/>
                  <w:color w:val="0000FF"/>
                  <w:sz w:val="20"/>
                  <w:u w:val="single"/>
                </w:rPr>
                <w:t>5</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bab744c8f14213a6b5fc3608000976_16">
              <w:r>
                <w:rPr>
                  <w:rStyle w:val="InternetLink"/>
                  <w:rFonts w:ascii="Times New Roman;serif" w:hAnsi="Times New Roman;serif"/>
                  <w:b/>
                  <w:color w:val="0000FF"/>
                  <w:sz w:val="20"/>
                  <w:u w:val="single"/>
                </w:rPr>
                <w:t>ITEM 1. FINANCIAL STATEMENTS (unaudited)</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bab744c8f14213a6b5fc3608000976_16">
              <w:r>
                <w:rPr>
                  <w:rStyle w:val="InternetLink"/>
                  <w:rFonts w:ascii="Times New Roman;serif" w:hAnsi="Times New Roman;serif"/>
                  <w:b w:val="false"/>
                  <w:color w:val="0000FF"/>
                  <w:sz w:val="20"/>
                  <w:u w:val="single"/>
                </w:rPr>
                <w:t>5</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bab744c8f14213a6b5fc3608000976_34">
              <w:r>
                <w:rPr>
                  <w:rStyle w:val="InternetLink"/>
                  <w:rFonts w:ascii="Times New Roman;serif" w:hAnsi="Times New Roman;serif"/>
                  <w:b/>
                  <w:color w:val="0000FF"/>
                  <w:sz w:val="20"/>
                  <w:u w:val="single"/>
                </w:rPr>
                <w:t>NOTES TO CONDENSED CONSOLIDATED FINANCIAL STATEMENTS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bab744c8f14213a6b5fc3608000976_34">
              <w:r>
                <w:rPr>
                  <w:rStyle w:val="InternetLink"/>
                  <w:rFonts w:ascii="Times New Roman;serif" w:hAnsi="Times New Roman;serif"/>
                  <w:b w:val="false"/>
                  <w:color w:val="0000FF"/>
                  <w:sz w:val="20"/>
                  <w:u w:val="single"/>
                </w:rPr>
                <w:t>12</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88" w:before="0" w:after="0"/>
              <w:ind w:left="0" w:right="0" w:hanging="810"/>
              <w:jc w:val="left"/>
              <w:rPr/>
            </w:pPr>
            <w:hyperlink w:anchor="ib6bab744c8f14213a6b5fc3608000976_85">
              <w:r>
                <w:rPr>
                  <w:rStyle w:val="InternetLink"/>
                  <w:rFonts w:ascii="Times New Roman;serif" w:hAnsi="Times New Roman;serif"/>
                  <w:b/>
                  <w:color w:val="0000FF"/>
                  <w:sz w:val="20"/>
                  <w:u w:val="single"/>
                </w:rPr>
                <w:t>ITEM 2. MANAGEMENT’S DISCUSSION AND ANALYSIS OF FINANCIAL CONDITION AND RESULTS OF OPERATIONS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bab744c8f14213a6b5fc3608000976_85">
              <w:r>
                <w:rPr>
                  <w:rStyle w:val="InternetLink"/>
                  <w:rFonts w:ascii="Times New Roman;serif" w:hAnsi="Times New Roman;serif"/>
                  <w:b w:val="false"/>
                  <w:color w:val="0000FF"/>
                  <w:sz w:val="20"/>
                  <w:u w:val="single"/>
                </w:rPr>
                <w:t>27</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bab744c8f14213a6b5fc3608000976_118">
              <w:r>
                <w:rPr>
                  <w:rStyle w:val="InternetLink"/>
                  <w:rFonts w:ascii="Times New Roman;serif" w:hAnsi="Times New Roman;serif"/>
                  <w:b/>
                  <w:color w:val="0000FF"/>
                  <w:sz w:val="20"/>
                  <w:u w:val="single"/>
                </w:rPr>
                <w:t>ITEM 3. QUANTITATIVE AND QUALITATIVE DISCLOSURES ABOUT MARKET RISK</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bab744c8f14213a6b5fc3608000976_118">
              <w:r>
                <w:rPr>
                  <w:rStyle w:val="InternetLink"/>
                  <w:rFonts w:ascii="Times New Roman;serif" w:hAnsi="Times New Roman;serif"/>
                  <w:b w:val="false"/>
                  <w:color w:val="0000FF"/>
                  <w:sz w:val="20"/>
                  <w:u w:val="single"/>
                </w:rPr>
                <w:t>38</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bab744c8f14213a6b5fc3608000976_121">
              <w:r>
                <w:rPr>
                  <w:rStyle w:val="InternetLink"/>
                  <w:rFonts w:ascii="Times New Roman;serif" w:hAnsi="Times New Roman;serif"/>
                  <w:b/>
                  <w:color w:val="0000FF"/>
                  <w:sz w:val="20"/>
                  <w:u w:val="single"/>
                </w:rPr>
                <w:t>ITEM 4. CONTROLS AND PROCEDURES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bab744c8f14213a6b5fc3608000976_121">
              <w:r>
                <w:rPr>
                  <w:rStyle w:val="InternetLink"/>
                  <w:rFonts w:ascii="Times New Roman;serif" w:hAnsi="Times New Roman;serif"/>
                  <w:b w:val="false"/>
                  <w:color w:val="0000FF"/>
                  <w:sz w:val="20"/>
                  <w:u w:val="single"/>
                </w:rPr>
                <w:t>38</w:t>
              </w:r>
            </w:hyperlink>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bab744c8f14213a6b5fc3608000976_124">
              <w:r>
                <w:rPr>
                  <w:rStyle w:val="InternetLink"/>
                  <w:rFonts w:ascii="Times New Roman;serif" w:hAnsi="Times New Roman;serif"/>
                  <w:b/>
                  <w:color w:val="0000FF"/>
                  <w:sz w:val="20"/>
                  <w:u w:val="single"/>
                </w:rPr>
                <w:t>PART II. OTHER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bab744c8f14213a6b5fc3608000976_124">
              <w:r>
                <w:rPr>
                  <w:rStyle w:val="InternetLink"/>
                  <w:rFonts w:ascii="Times New Roman;serif" w:hAnsi="Times New Roman;serif"/>
                  <w:b w:val="false"/>
                  <w:color w:val="0000FF"/>
                  <w:sz w:val="20"/>
                  <w:u w:val="single"/>
                </w:rPr>
                <w:t>39</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bab744c8f14213a6b5fc3608000976_127">
              <w:r>
                <w:rPr>
                  <w:rStyle w:val="InternetLink"/>
                  <w:rFonts w:ascii="Times New Roman;serif" w:hAnsi="Times New Roman;serif"/>
                  <w:b/>
                  <w:color w:val="0000FF"/>
                  <w:sz w:val="20"/>
                  <w:u w:val="single"/>
                </w:rPr>
                <w:t>ITEM 1. LEGAL PROCEEDINGS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bab744c8f14213a6b5fc3608000976_127">
              <w:r>
                <w:rPr>
                  <w:rStyle w:val="InternetLink"/>
                  <w:rFonts w:ascii="Times New Roman;serif" w:hAnsi="Times New Roman;serif"/>
                  <w:b w:val="false"/>
                  <w:color w:val="0000FF"/>
                  <w:sz w:val="20"/>
                  <w:u w:val="single"/>
                </w:rPr>
                <w:t>39</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bab744c8f14213a6b5fc3608000976_130">
              <w:r>
                <w:rPr>
                  <w:rStyle w:val="InternetLink"/>
                  <w:rFonts w:ascii="Times New Roman;serif" w:hAnsi="Times New Roman;serif"/>
                  <w:b/>
                  <w:color w:val="0000FF"/>
                  <w:sz w:val="20"/>
                  <w:u w:val="single"/>
                </w:rPr>
                <w:t>ITEM 1A. RISK FACTORS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bab744c8f14213a6b5fc3608000976_130">
              <w:r>
                <w:rPr>
                  <w:rStyle w:val="InternetLink"/>
                  <w:rFonts w:ascii="Times New Roman;serif" w:hAnsi="Times New Roman;serif"/>
                  <w:b w:val="false"/>
                  <w:color w:val="0000FF"/>
                  <w:sz w:val="20"/>
                  <w:u w:val="single"/>
                </w:rPr>
                <w:t>39</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bab744c8f14213a6b5fc3608000976_133">
              <w:r>
                <w:rPr>
                  <w:rStyle w:val="InternetLink"/>
                  <w:rFonts w:ascii="Times New Roman;serif" w:hAnsi="Times New Roman;serif"/>
                  <w:b/>
                  <w:color w:val="0000FF"/>
                  <w:sz w:val="20"/>
                  <w:u w:val="single"/>
                </w:rPr>
                <w:t>ITEM 2. UNREGISTERED SALES OF EQUITY SECURITIES AND USE OF PROCEEDS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bab744c8f14213a6b5fc3608000976_133">
              <w:r>
                <w:rPr>
                  <w:rStyle w:val="InternetLink"/>
                  <w:rFonts w:ascii="Times New Roman;serif" w:hAnsi="Times New Roman;serif"/>
                  <w:b w:val="false"/>
                  <w:color w:val="0000FF"/>
                  <w:sz w:val="20"/>
                  <w:u w:val="single"/>
                </w:rPr>
                <w:t>39</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bab744c8f14213a6b5fc3608000976_136">
              <w:r>
                <w:rPr>
                  <w:rStyle w:val="InternetLink"/>
                  <w:rFonts w:ascii="Times New Roman;serif" w:hAnsi="Times New Roman;serif"/>
                  <w:b/>
                  <w:color w:val="0000FF"/>
                  <w:sz w:val="20"/>
                  <w:u w:val="single"/>
                </w:rPr>
                <w:t>ITEM 3. DEFAULTS UPON SENIOR SECURITIES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bab744c8f14213a6b5fc3608000976_136">
              <w:r>
                <w:rPr>
                  <w:rStyle w:val="InternetLink"/>
                  <w:rFonts w:ascii="Times New Roman;serif" w:hAnsi="Times New Roman;serif"/>
                  <w:b w:val="false"/>
                  <w:color w:val="0000FF"/>
                  <w:sz w:val="20"/>
                  <w:u w:val="single"/>
                </w:rPr>
                <w:t>39</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bab744c8f14213a6b5fc3608000976_139">
              <w:r>
                <w:rPr>
                  <w:rStyle w:val="InternetLink"/>
                  <w:rFonts w:ascii="Times New Roman;serif" w:hAnsi="Times New Roman;serif"/>
                  <w:b/>
                  <w:color w:val="0000FF"/>
                  <w:sz w:val="20"/>
                  <w:u w:val="single"/>
                </w:rPr>
                <w:t>ITEM 4. MINE SAFETY DISCLOSURES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bab744c8f14213a6b5fc3608000976_139">
              <w:r>
                <w:rPr>
                  <w:rStyle w:val="InternetLink"/>
                  <w:rFonts w:ascii="Times New Roman;serif" w:hAnsi="Times New Roman;serif"/>
                  <w:b w:val="false"/>
                  <w:color w:val="0000FF"/>
                  <w:sz w:val="20"/>
                  <w:u w:val="single"/>
                </w:rPr>
                <w:t>39</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bab744c8f14213a6b5fc3608000976_142">
              <w:r>
                <w:rPr>
                  <w:rStyle w:val="InternetLink"/>
                  <w:rFonts w:ascii="Times New Roman;serif" w:hAnsi="Times New Roman;serif"/>
                  <w:b/>
                  <w:color w:val="0000FF"/>
                  <w:sz w:val="20"/>
                  <w:u w:val="single"/>
                </w:rPr>
                <w:t>ITEM 5. OTHER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bab744c8f14213a6b5fc3608000976_142">
              <w:r>
                <w:rPr>
                  <w:rStyle w:val="InternetLink"/>
                  <w:rFonts w:ascii="Times New Roman;serif" w:hAnsi="Times New Roman;serif"/>
                  <w:b w:val="false"/>
                  <w:color w:val="0000FF"/>
                  <w:sz w:val="20"/>
                  <w:u w:val="single"/>
                </w:rPr>
                <w:t>39</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bab744c8f14213a6b5fc3608000976_145">
              <w:r>
                <w:rPr>
                  <w:rStyle w:val="InternetLink"/>
                  <w:rFonts w:ascii="Times New Roman;serif" w:hAnsi="Times New Roman;serif"/>
                  <w:b/>
                  <w:color w:val="0000FF"/>
                  <w:sz w:val="20"/>
                  <w:u w:val="single"/>
                </w:rPr>
                <w:t>ITEM 6. EXHIBITS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bab744c8f14213a6b5fc3608000976_145">
              <w:r>
                <w:rPr>
                  <w:rStyle w:val="InternetLink"/>
                  <w:rFonts w:ascii="Times New Roman;serif" w:hAnsi="Times New Roman;serif"/>
                  <w:b w:val="false"/>
                  <w:color w:val="0000FF"/>
                  <w:sz w:val="20"/>
                  <w:u w:val="single"/>
                </w:rPr>
                <w:t>40</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bab744c8f14213a6b5fc3608000976_148">
              <w:r>
                <w:rPr>
                  <w:rStyle w:val="InternetLink"/>
                  <w:rFonts w:ascii="Times New Roman;serif" w:hAnsi="Times New Roman;serif"/>
                  <w:b/>
                  <w:color w:val="0000FF"/>
                  <w:sz w:val="20"/>
                  <w:u w:val="single"/>
                </w:rPr>
                <w:t>SIGNATURES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bab744c8f14213a6b5fc3608000976_148">
              <w:r>
                <w:rPr>
                  <w:rStyle w:val="InternetLink"/>
                  <w:rFonts w:ascii="Times New Roman;serif" w:hAnsi="Times New Roman;serif"/>
                  <w:b w:val="false"/>
                  <w:color w:val="0000FF"/>
                  <w:sz w:val="20"/>
                  <w:u w:val="single"/>
                </w:rPr>
                <w:t>43</w:t>
              </w:r>
            </w:hyperlink>
          </w:p>
        </w:tc>
      </w:tr>
    </w:tbl>
    <w:p>
      <w:pPr>
        <w:pStyle w:val="TextBody"/>
        <w:bidi w:val="0"/>
        <w:spacing w:before="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STATEMENT ON FORWARD-LOOKING INFORMATION</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Certain information set forth in this report contains “forward-looking statements” within the meaning of the federal securities laws. Forward-looking statements include statements concerning our plans, objectives, goals, strategies, future events, future revenues or performance, capital expenditures, financing needs, intentions relating to acquisitions and developments, and other information that is not historical information. In some cases, forward-looking statements can be identified by terminology such as “believes,” “estimates,” “expects,” “may,” “will,” “should,” “anticipates,” or “intends,” or the negative of such terms or other comparable terminology, or by discussions of strategy. We may also make additional forward-looking statements from time to time. All such subsequent forward-looking statements, whether written or oral, by us or on our behalf, are also expressly qualified by these cautionary statements.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All forward-looking statements, including without limitation, management’s examination of historical operating trends and estimates of future earnings, are based upon our current expectations and various assumptions. Our expectations, beliefs and projections are expressed in good faith and we believe there is a reasonable basis for them, but there can be no assurance that management’s expectations, beliefs and projections will result or be achieved. All forward-looking statements apply only as of the date made. </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There are a number of risks and uncertainties that could cause our actual results to differ materially from the forward-looking statements contained in or contemplated by this report. Any forward-looking statements should be considered in light of the risks referenced in “Part II. Item 1A. Risk Factors” below and in “Part I. Item 1A. Risk Factors” included in our most recent Annual Report on Form 10-K. Such factors include, but are not limited to:</w:t>
      </w:r>
    </w:p>
    <w:p>
      <w:pPr>
        <w:pStyle w:val="TextBody"/>
        <w:bidi w:val="0"/>
        <w:spacing w:lineRule="auto" w:line="288" w:before="120" w:after="60"/>
        <w:ind w:left="0" w:right="0" w:hanging="360"/>
        <w:jc w:val="left"/>
        <w:rPr/>
      </w:pPr>
      <w:r>
        <w:rPr>
          <w:color w:val="000000"/>
        </w:rPr>
        <w:t>•</w:t>
      </w:r>
      <w:r>
        <w:rPr>
          <w:rFonts w:ascii="Times New Roman;serif" w:hAnsi="Times New Roman;serif"/>
          <w:b w:val="false"/>
          <w:color w:val="000000"/>
          <w:sz w:val="20"/>
        </w:rPr>
        <w:t>adverse changes in general economic conditions, the real estate industry and the markets in which we operate;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potential liability for uninsured losses and environmental contamination;</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ability to recover losses under our insurance policies;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impact of the regulatory environment as well as national, state, and local laws and regulations including, without limitation, those governing real estate investment trusts (“REITs”), tenant reinsurance and other aspects of our business, which could adversely affect our results;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effect of competition from new and existing stores or other storage alternatives, including increased or unanticipated competition for our properties, which could cause rents and occupancy rates to decline;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failure to close pending acquisitions and developments on expected terms, or at all;</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risks associated with acquisitions, dispositions and development of properties, including increased development costs due to additional regulatory requirements related to climate change and other factors;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reductions in asset valuations and related impairment charges;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reliance on information technologies, which are vulnerable to, among other things, attack from computer viruses and malware, hacking, cyberattacks and other unauthorized access or misuse, any of which could adversely affect our business and results;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impacts from any outbreak of highly infectious or contagious diseases, including reduced demand for self-storage space and ancillary products and services such as tenant reinsurance, and potential decreases in occupancy and rental rates and staffing levels, which could adversely affect our results;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economic uncertainty due to the impact of natural disasters, war or terrorism, which could adversely affect our business plan;</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lack of sole decision-making authority with respect to our joint venture investments;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disruptions in credit and financial markets and resulting difficulties in raising capital or obtaining credit at reasonable rates or at all, which could impede our ability to grow;</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availability of financing and capital, the levels of debt that we maintain and our credit ratings;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changes in global financial markets, increases in interest rates and the impact of enacted and proposed U.S. tariffs on global economic conditions;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effect of recent or future changes to U.S. tax laws; and</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failure to maintain our REIT status for U.S. federal income tax purposes.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All forward-looking statements are based upon our beliefs, assumptions and expectations of our future performance, taking into account all information currently available to us. These beliefs, assumptions and expectations are subject to risks and uncertainties and can change as a result of many possible events or factors, not all of which are known to us. If a change occurs, our business, financial condition, liquidity and results of operations may vary materially from those expressed in our forward-looking statements. You should carefully consider these risks before you make an investment decision with respect to our securities. We undertake no obligation to publicly update or revise forward-looking statements which may be made to reflect events or circumstances after the date made or to reflect the occurrence of unanticipated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Extra Space Storage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share data)</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812"/>
        <w:gridCol w:w="2084"/>
        <w:gridCol w:w="2093"/>
        <w:gridCol w:w="211"/>
        <w:gridCol w:w="1081"/>
        <w:gridCol w:w="109"/>
        <w:gridCol w:w="109"/>
        <w:gridCol w:w="109"/>
        <w:gridCol w:w="109"/>
        <w:gridCol w:w="216"/>
        <w:gridCol w:w="1112"/>
        <w:gridCol w:w="160"/>
      </w:tblGrid>
      <w:tr>
        <w:trPr/>
        <w:tc>
          <w:tcPr>
            <w:tcW w:w="2812"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Assets: </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assets,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24,938,444 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25,004,350 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assets - operating lease right-of-use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732,176 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real estate entities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1,066,783 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debt securities and notes receivable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1,806,526 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138,920 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515,291 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29,660,493 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29,264,046 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Noncontrolling Interests and Equity:</w:t>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notes payable,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1,079,565 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term loans,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1,494,659 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senior notes,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9,460,928 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9,432,427 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lines of credit and commercial paper</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1,224,000 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761,106 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distributions in unconsolidated real estate ventures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73,701 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357,583 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516,969 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15,483,159 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14,940,010 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Noncontrolling Interests and Equity:</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Extra Space Storage Inc. stockholders’ equity:</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$0.01 par value, 50,000,000 shares authorized, no shares issued or outstanding</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500,000,000 shares authorized, 211,273,076 and 211,155,322 shares issued and outstanding at June 30, 2026 and December 31, 2025, respectively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14,886,836 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14,880,646 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(1,630,873)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(1,449,172)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Extra Space Storage Inc. stockholders’ equity</w:t>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13,257,895 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13,433,166 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 represented by Preferred Operating Partnership units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53,827 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 in Operating Partnership, net and other noncontrolling interests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837,043 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noncontrolling interests and equity</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14,177,334 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14,324,036 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noncontrolling interests and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29,660,493 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29,264,046 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Extra Space Storage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363"/>
        <w:gridCol w:w="874"/>
        <w:gridCol w:w="877"/>
        <w:gridCol w:w="241"/>
        <w:gridCol w:w="945"/>
        <w:gridCol w:w="110"/>
        <w:gridCol w:w="110"/>
        <w:gridCol w:w="110"/>
        <w:gridCol w:w="110"/>
        <w:gridCol w:w="241"/>
        <w:gridCol w:w="945"/>
        <w:gridCol w:w="110"/>
        <w:gridCol w:w="109"/>
        <w:gridCol w:w="109"/>
        <w:gridCol w:w="109"/>
        <w:gridCol w:w="211"/>
        <w:gridCol w:w="976"/>
        <w:gridCol w:w="109"/>
        <w:gridCol w:w="109"/>
        <w:gridCol w:w="109"/>
        <w:gridCol w:w="109"/>
        <w:gridCol w:w="211"/>
        <w:gridCol w:w="976"/>
        <w:gridCol w:w="109"/>
        <w:gridCol w:w="109"/>
        <w:gridCol w:w="109"/>
        <w:gridCol w:w="109"/>
        <w:gridCol w:w="109"/>
        <w:gridCol w:w="109"/>
        <w:gridCol w:w="109"/>
        <w:gridCol w:w="109"/>
        <w:gridCol w:w="160"/>
      </w:tblGrid>
      <w:tr>
        <w:trPr/>
        <w:tc>
          <w:tcPr>
            <w:tcW w:w="136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3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rental</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746,164 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721,004 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Tenant reinsurance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88,572 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fees and other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874,152 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841,618 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1,730,179 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1,661,615 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operations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231,718 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227,621 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Tenant reinsurance </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177,266 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481,968 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466,784 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970,442 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933,812 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real estate assets held for sale and sold,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392,184 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373,970 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759,737 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762,700 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(146,720)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(146,128)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related to amortization of discount on unsecured senior notes,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38,777 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equity in earnings and dividend income from unconsolidated real estate entities and income tax expense</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271,506 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258,070 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532,055 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and dividend income from unconsolidated real estate entities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real estate ventures - gain on sale of a joint venture interest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275,879 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262,716 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528,299 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allocated to Preferred Operating Partnership noncontrolling interests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allocated to Operating Partnership and other noncontrolling interests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common stockholders</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263,471 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249,731 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504,448 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520,606 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1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1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210,962,128 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211,940,903 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210,929,737 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211,895,586 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220,362,955 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211,940,903 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220,343,045 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211,895,586 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paid per common share</w:t>
            </w:r>
          </w:p>
        </w:tc>
        <w:tc>
          <w:tcPr>
            <w:tcW w:w="2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Extra Space Storage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456"/>
        <w:gridCol w:w="1264"/>
        <w:gridCol w:w="1281"/>
        <w:gridCol w:w="221"/>
        <w:gridCol w:w="870"/>
        <w:gridCol w:w="114"/>
        <w:gridCol w:w="114"/>
        <w:gridCol w:w="114"/>
        <w:gridCol w:w="114"/>
        <w:gridCol w:w="221"/>
        <w:gridCol w:w="870"/>
        <w:gridCol w:w="114"/>
        <w:gridCol w:w="109"/>
        <w:gridCol w:w="109"/>
        <w:gridCol w:w="109"/>
        <w:gridCol w:w="212"/>
        <w:gridCol w:w="832"/>
        <w:gridCol w:w="109"/>
        <w:gridCol w:w="109"/>
        <w:gridCol w:w="109"/>
        <w:gridCol w:w="109"/>
        <w:gridCol w:w="212"/>
        <w:gridCol w:w="832"/>
        <w:gridCol w:w="109"/>
        <w:gridCol w:w="109"/>
        <w:gridCol w:w="109"/>
        <w:gridCol w:w="109"/>
        <w:gridCol w:w="165"/>
      </w:tblGrid>
      <w:tr>
        <w:trPr/>
        <w:tc>
          <w:tcPr>
            <w:tcW w:w="1456"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gridSpan w:val="2"/>
            <w:tcBorders/>
          </w:tcPr>
          <w:p>
            <w:pPr>
              <w:pStyle w:val="TableContents"/>
              <w:bidi w:val="0"/>
              <w:spacing w:before="0" w:after="283"/>
              <w:jc w:val="left"/>
              <w:rPr>
                <w:sz w:val="4"/>
                <w:szCs w:val="4"/>
              </w:rPr>
            </w:pPr>
            <w:r>
              <w:rPr>
                <w:sz w:val="4"/>
                <w:szCs w:val="4"/>
              </w:rPr>
            </w:r>
          </w:p>
        </w:tc>
      </w:tr>
      <w:tr>
        <w:trPr/>
        <w:tc>
          <w:tcPr>
            <w:tcW w:w="4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275,879 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262,716 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528,299 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Change in fair value of interest rate swaps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10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275,359 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259,567 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528,543 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537,555 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attributable to noncontrolling interests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attributable to common stockholders</w:t>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262,976 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246,730 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504,687 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511,003 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Extra Space Storage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Noncontrolling Interests and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amounts in thousands, except share data)</w:t>
      </w:r>
    </w:p>
    <w:tbl>
      <w:tblPr>
        <w:tblW w:w="14284" w:type="dxa"/>
        <w:jc w:val="center"/>
        <w:tblInd w:w="0" w:type="dxa"/>
        <w:tblLayout w:type="fixed"/>
        <w:tblCellMar>
          <w:top w:w="28" w:type="dxa"/>
          <w:left w:w="28" w:type="dxa"/>
          <w:bottom w:w="28" w:type="dxa"/>
          <w:right w:w="28" w:type="dxa"/>
        </w:tblCellMar>
      </w:tblPr>
      <w:tblGrid>
        <w:gridCol w:w="693"/>
        <w:gridCol w:w="253"/>
        <w:gridCol w:w="255"/>
        <w:gridCol w:w="109"/>
        <w:gridCol w:w="109"/>
        <w:gridCol w:w="109"/>
        <w:gridCol w:w="196"/>
        <w:gridCol w:w="661"/>
        <w:gridCol w:w="109"/>
        <w:gridCol w:w="109"/>
        <w:gridCol w:w="109"/>
        <w:gridCol w:w="109"/>
        <w:gridCol w:w="196"/>
        <w:gridCol w:w="751"/>
        <w:gridCol w:w="109"/>
        <w:gridCol w:w="109"/>
        <w:gridCol w:w="109"/>
        <w:gridCol w:w="109"/>
        <w:gridCol w:w="196"/>
        <w:gridCol w:w="661"/>
        <w:gridCol w:w="109"/>
        <w:gridCol w:w="109"/>
        <w:gridCol w:w="109"/>
        <w:gridCol w:w="109"/>
        <w:gridCol w:w="533"/>
        <w:gridCol w:w="533"/>
        <w:gridCol w:w="196"/>
        <w:gridCol w:w="109"/>
        <w:gridCol w:w="109"/>
        <w:gridCol w:w="109"/>
        <w:gridCol w:w="196"/>
        <w:gridCol w:w="571"/>
        <w:gridCol w:w="109"/>
        <w:gridCol w:w="109"/>
        <w:gridCol w:w="109"/>
        <w:gridCol w:w="109"/>
        <w:gridCol w:w="196"/>
        <w:gridCol w:w="976"/>
        <w:gridCol w:w="109"/>
        <w:gridCol w:w="109"/>
        <w:gridCol w:w="109"/>
        <w:gridCol w:w="109"/>
        <w:gridCol w:w="321"/>
        <w:gridCol w:w="715"/>
        <w:gridCol w:w="180"/>
        <w:gridCol w:w="109"/>
        <w:gridCol w:w="109"/>
        <w:gridCol w:w="109"/>
        <w:gridCol w:w="196"/>
        <w:gridCol w:w="886"/>
        <w:gridCol w:w="109"/>
        <w:gridCol w:w="109"/>
        <w:gridCol w:w="109"/>
        <w:gridCol w:w="109"/>
        <w:gridCol w:w="196"/>
        <w:gridCol w:w="976"/>
        <w:gridCol w:w="154"/>
      </w:tblGrid>
      <w:tr>
        <w:trPr/>
        <w:tc>
          <w:tcPr>
            <w:tcW w:w="69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Extra Space Storage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Operating Partnership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Partnership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Noncontrolling Interests and Equity</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47,827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817,296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14,899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211,197,111</w:t>
            </w: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2,112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14,882,445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314</w:t>
            </w:r>
            <w:r>
              <w:rPr>
                <w:color w:val="000000"/>
              </w:rPr>
              <w:t>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(1,552,391)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14,212,502</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share based compensation and taxes paid upon net settlement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75,965 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Redemption of Operating Partnership units for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receivable with Operating Partnership units pledged as collateral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remaining equity interest in existing consolidated joint venture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 in consolidated 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275,879 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Operating Partnership units and other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paid on common stock at $1.62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(341,953)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47,827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859,864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11,748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211,273,076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2,113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14,886,836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(181)</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(1,630,873)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14,177,334</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53,827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822,869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14,174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211,155,322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14,880,646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(420)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(1,449,172)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14,324,036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share based compensation and taxes paid upon net settlement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128,863 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Redemption of Operating Partnership units for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receivable with Operating Partnership units pledged as collateral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remaining equity interest in existing unconsolidated joint venture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 in consolidated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Operating Partnership units and other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paid on common stock at $3.24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(684,706)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47,827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859,864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11,748</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211,273,076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2,113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14,886,836</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(181)</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(1,630,873)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14,177,334</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Extra Space Storage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Noncontrolling Interests and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amounts in thousands, except share data)</w:t>
      </w:r>
    </w:p>
    <w:tbl>
      <w:tblPr>
        <w:tblW w:w="14284" w:type="dxa"/>
        <w:jc w:val="center"/>
        <w:tblInd w:w="0" w:type="dxa"/>
        <w:tblLayout w:type="fixed"/>
        <w:tblCellMar>
          <w:top w:w="28" w:type="dxa"/>
          <w:left w:w="28" w:type="dxa"/>
          <w:bottom w:w="28" w:type="dxa"/>
          <w:right w:w="28" w:type="dxa"/>
        </w:tblCellMar>
      </w:tblPr>
      <w:tblGrid>
        <w:gridCol w:w="693"/>
        <w:gridCol w:w="253"/>
        <w:gridCol w:w="255"/>
        <w:gridCol w:w="109"/>
        <w:gridCol w:w="109"/>
        <w:gridCol w:w="109"/>
        <w:gridCol w:w="196"/>
        <w:gridCol w:w="661"/>
        <w:gridCol w:w="109"/>
        <w:gridCol w:w="109"/>
        <w:gridCol w:w="109"/>
        <w:gridCol w:w="109"/>
        <w:gridCol w:w="196"/>
        <w:gridCol w:w="751"/>
        <w:gridCol w:w="109"/>
        <w:gridCol w:w="109"/>
        <w:gridCol w:w="109"/>
        <w:gridCol w:w="109"/>
        <w:gridCol w:w="196"/>
        <w:gridCol w:w="661"/>
        <w:gridCol w:w="109"/>
        <w:gridCol w:w="109"/>
        <w:gridCol w:w="109"/>
        <w:gridCol w:w="109"/>
        <w:gridCol w:w="533"/>
        <w:gridCol w:w="533"/>
        <w:gridCol w:w="196"/>
        <w:gridCol w:w="109"/>
        <w:gridCol w:w="109"/>
        <w:gridCol w:w="109"/>
        <w:gridCol w:w="196"/>
        <w:gridCol w:w="571"/>
        <w:gridCol w:w="109"/>
        <w:gridCol w:w="109"/>
        <w:gridCol w:w="109"/>
        <w:gridCol w:w="109"/>
        <w:gridCol w:w="196"/>
        <w:gridCol w:w="976"/>
        <w:gridCol w:w="109"/>
        <w:gridCol w:w="109"/>
        <w:gridCol w:w="109"/>
        <w:gridCol w:w="109"/>
        <w:gridCol w:w="246"/>
        <w:gridCol w:w="832"/>
        <w:gridCol w:w="138"/>
        <w:gridCol w:w="109"/>
        <w:gridCol w:w="109"/>
        <w:gridCol w:w="109"/>
        <w:gridCol w:w="196"/>
        <w:gridCol w:w="886"/>
        <w:gridCol w:w="109"/>
        <w:gridCol w:w="109"/>
        <w:gridCol w:w="109"/>
        <w:gridCol w:w="109"/>
        <w:gridCol w:w="196"/>
        <w:gridCol w:w="976"/>
        <w:gridCol w:w="154"/>
      </w:tblGrid>
      <w:tr>
        <w:trPr/>
        <w:tc>
          <w:tcPr>
            <w:tcW w:w="69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Extra Space Storage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Operating Partnership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Partnership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Noncontrolling Interests and Equity</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53,827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826,352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11,537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212,225,353</w:t>
            </w: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2,122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14,851,126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6,204</w:t>
            </w:r>
            <w:r>
              <w:rPr>
                <w:color w:val="000000"/>
              </w:rPr>
              <w:t>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(972,665)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14,778,503</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share based compensation and taxes paid upon net settlement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Redemption of Operating Partnership units for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30,478 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Redemption of Operating Partnership units for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(68,585)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 in consolidated 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262,716 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Operating Partnership units and other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paid on common stock at $1.62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(343,882)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(343,882)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53,827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820,254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12,166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212,252,547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2,123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14,860,946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3,203</w:t>
            </w:r>
            <w:r>
              <w:rPr>
                <w:color w:val="000000"/>
              </w:rPr>
              <w:t>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(1,075,430)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14,677,089</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76,092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823,898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11,837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211,995,510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14,831,946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12,806</w:t>
            </w: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(899,337)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14,859,362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share based compensation and taxes paid upon net settlement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139,814 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Redemption of Operating Partnership units for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185,808 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Redemption of Operating Partnership units for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Operating Partnership units in conjunction with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(68,585)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remaining equity interest in existing unconsolidated joint venture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 in consolidated 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547,641 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Operating Partnership units and other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paid on common stock at $3.24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(688,085)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53,827</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820,254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12,166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212,252,547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2,123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14,860,946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3,203</w:t>
            </w:r>
            <w:r>
              <w:rPr>
                <w:color w:val="000000"/>
              </w:rPr>
              <w:t> </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(1,075,430)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14,677,089</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Extra Space Storage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996"/>
        <w:gridCol w:w="1591"/>
        <w:gridCol w:w="1604"/>
        <w:gridCol w:w="216"/>
        <w:gridCol w:w="792"/>
        <w:gridCol w:w="115"/>
        <w:gridCol w:w="115"/>
        <w:gridCol w:w="115"/>
        <w:gridCol w:w="115"/>
        <w:gridCol w:w="207"/>
        <w:gridCol w:w="777"/>
        <w:gridCol w:w="115"/>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8"/>
      </w:tblGrid>
      <w:tr>
        <w:trPr/>
        <w:tc>
          <w:tcPr>
            <w:tcW w:w="199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528,299 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547,641 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371,405 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357,622 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 related to amortization of discount on unsecured senior notes, net</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23,083 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expense related to share-based awards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16,443 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Accrual of interest income added to principal of debt securities and notes receivable</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(16,391)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(16,421)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unconsolidated real estate ventures - gain on sale of a joint venture interest</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real estate assets held for sale and sold, net</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(34,897)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in excess of earnings from unconsolidated real estate ventures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17,910 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79,897 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29,054 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1,076,266 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1,025,265 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1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real estate assets and improvements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(233,297)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(464,517)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Return of investment in unconsolidated real estate ventures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Development and redevelopment of real estate assets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(58,175)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(79,560)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real estate assets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13,393 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 unconsolidated real estate entities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(113,285)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notes receivable</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(204,833)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(360,406)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received on notes receivable</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292,382 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46,338 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notes receivable</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32,371 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equipment and fixtures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(175,771)</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(614,255)</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secured and unsecured term loans, senior notes, revolving lines of credit and commercial paper</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10,630,770 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7,290,431 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secured and unsecured term loans, senior notes, revolving lines of credit and commercial paper</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(10,244,782)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(6,974,943)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financing costs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(13,373)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Redemption of Operating Partnership units for cash</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Redemption of Preferred OP units for cash</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 on common stock</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(684,706)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(688,085)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 net of contributions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(29,357)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(30,761)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(343,757)</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(425,625)</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cash equivalents, and restricted cash</w:t>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556,738 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(14,615)</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the period</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end of the period</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699,918 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128,688 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Extra Space Storage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928"/>
        <w:gridCol w:w="1623"/>
        <w:gridCol w:w="1627"/>
        <w:gridCol w:w="210"/>
        <w:gridCol w:w="789"/>
        <w:gridCol w:w="116"/>
        <w:gridCol w:w="116"/>
        <w:gridCol w:w="116"/>
        <w:gridCol w:w="116"/>
        <w:gridCol w:w="210"/>
        <w:gridCol w:w="789"/>
        <w:gridCol w:w="116"/>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60"/>
      </w:tblGrid>
      <w:tr>
        <w:trPr/>
        <w:tc>
          <w:tcPr>
            <w:tcW w:w="1928"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equivalents, including restricted cash at the beginning of the period:</w:t>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equivalents</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138,920 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138,222 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other assets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143,180 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143,303 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equivalents, including restricted cash at the end of the period:</w:t>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equivalents</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695,171 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125,045 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other assets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699,918 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128,688 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schedule of cash flow information</w:t>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286,878 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283,419 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schedule of noncash investing and financing activities:</w:t>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Redemption of Operating Partnership units held by noncontrolling interests for common stock</w:t>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in Operating Partnership</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(26,218)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and paid-in capital</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Remeasurement of lease right of use assets and lease liabilities</w:t>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assets - operating lease right-of-use assets</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assets, net</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of real estate assets</w:t>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assets, net</w:t>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111,984 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Value of OP units issued</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Value of investment in consolidated real estate ventures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(105,471)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debt assumed</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construction costs and capital expenditures</w:t>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real estate assets</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notes to unaudited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EXTRA SPACE STORAGE INC.</w:t>
      </w:r>
    </w:p>
    <w:p>
      <w:pPr>
        <w:pStyle w:val="TextBody"/>
        <w:bidi w:val="0"/>
        <w:spacing w:lineRule="auto" w:line="288" w:before="0" w:after="0"/>
        <w:jc w:val="left"/>
        <w:rPr/>
      </w:pPr>
      <w:r>
        <w:rPr>
          <w:rFonts w:ascii="Times New Roman;serif" w:hAnsi="Times New Roman;serif"/>
          <w:b/>
          <w:color w:val="000000"/>
          <w:sz w:val="20"/>
        </w:rPr>
        <w:t>NOTES TO CONDENSED CONSOLIDATED FINANCIAL STATEMENTS</w:t>
      </w:r>
      <w:r>
        <w:rPr>
          <w:color w:val="000000"/>
        </w:rPr>
        <w:t xml:space="preserve"> </w:t>
      </w:r>
      <w:r>
        <w:rPr>
          <w:rFonts w:ascii="Times New Roman;serif" w:hAnsi="Times New Roman;serif"/>
          <w:b w:val="false"/>
          <w:color w:val="000000"/>
          <w:sz w:val="20"/>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Amounts in thousands, except store and share data, unless otherwise stated</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1.    ORGANIZATION</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Extra Space Storage Inc. (the “Company”) is a fully integrated, self-administered and self-managed real estate investment trust (“REIT”), formed as a Maryland corporation on April 30, 2004, to own, operate, manage, acquire, develop and redevelop self-storage properties (“stores”) and provide lending to owners of stores located throughout the United States. The Company was formed to continue the business of Extra Space Storage LLC and its subsidiaries, which had engaged in the self-storage business since 1977. The Company’s interest in its stores is held through its operating partnership, Extra Space Storage LP (the “Operating Partnership”), which was formed on May 5, 2004. The Company’s primary assets are general partner and limited partner interests in the Operating Partnership, which meets the definition of a variable interest entity and is consolidated. This structure is commonly referred to as an umbrella partnership REIT, or UPREIT.</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invests in stores by acquiring wholly-owned stores or by acquiring an equity interest in real estate entities. At June 30, 2026, the Company had direct and indirect equity interests in 2,446 stores. In addition, the Company managed 1,964 stores for third parties, bringing the total number of stores which it owns and/or manages to 4,410. These stores are located in 42 states and Washington, D.C. The Company offers tenant reinsurance at its owned and managed stores that insures the value of goods in the storage units and also offers bridge loan financing to third-party self-storage owners primarily for whom it manages properties.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2.    BASIS OF PRESENTATION</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of the Company are presented on the accrual basis of accounting in accordance with U.S. generally accepted accounting principles (“GAAP”) for interim financial information, and in accordance with the instructions to Form 10-Q and Article 10 of Regulation S-X. Accordingly, they may not include all of the information and footnotes required by GAAP for complete financial statements. In the opinion of management, all adjustments (including normal recurring accruals) considered necessary for a fair presentation have been included. Operating results for the three and six months ended June 30, 2026 are not necessarily indicative of results that may be expected for the year ending December 31, 2026. The condensed consolidated balance sheet as of December 31, 2025 has been derived from the Company’s audited financial statements as of that date, but does not include all of the information and footnotes required by GAAP for complete financial statements. For further information refer to the consolidated financial statements and footnotes thereto included in the Company’s Annual Report on Form 10-K for the year ended December 31, 2025, as filed with the Securities and Exchange Commission (the “SEC”).</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Recently Issued Accounting Standards</w:t>
      </w:r>
    </w:p>
    <w:p>
      <w:pPr>
        <w:pStyle w:val="TextBody"/>
        <w:bidi w:val="0"/>
        <w:spacing w:lineRule="auto" w:line="288" w:before="240" w:after="283"/>
        <w:ind w:left="0" w:right="0" w:firstLine="495"/>
        <w:jc w:val="left"/>
        <w:rPr/>
      </w:pPr>
      <w:r>
        <w:rPr>
          <w:rFonts w:ascii="Times New Roman;serif" w:hAnsi="Times New Roman;serif"/>
          <w:b w:val="false"/>
          <w:color w:val="000000"/>
          <w:sz w:val="20"/>
        </w:rPr>
        <w:t xml:space="preserve">In November 2024, the Financial Accounting Standards Board (the “FASB”) issued ASU No. 2024-03 – </w:t>
      </w:r>
      <w:r>
        <w:rPr>
          <w:color w:val="000000"/>
        </w:rPr>
        <w:t>“</w:t>
      </w:r>
      <w:r>
        <w:rPr>
          <w:rFonts w:ascii="Times New Roman;serif" w:hAnsi="Times New Roman;serif"/>
          <w:b w:val="false"/>
          <w:i/>
          <w:color w:val="000000"/>
          <w:sz w:val="20"/>
        </w:rPr>
        <w:t>Income Statement—Reporting Comprehensive Income—Expense Disaggregation Disclosures (Subtopic 220-40)”.</w:t>
      </w:r>
      <w:r>
        <w:rPr>
          <w:color w:val="000000"/>
        </w:rPr>
        <w:t xml:space="preserve"> </w:t>
      </w:r>
      <w:r>
        <w:rPr>
          <w:rFonts w:ascii="Times New Roman;serif" w:hAnsi="Times New Roman;serif"/>
          <w:b w:val="false"/>
          <w:color w:val="000000"/>
          <w:sz w:val="20"/>
        </w:rPr>
        <w:t>The guidance requires the disclosure of additional information related to certain costs and expenses, including amounts of inventory purchases, employee compensation, and depreciation and amortization included in each income statement line item. For any remaining items within each relevant expense caption, entities must provide a qualitative description of the nature of those expenses. The guidance also requires disclosure of the total amount of selling expenses and the entity’s definition of selling expenses. The guidance is effective for annual periods beginning after December 15, 2026 and interim periods within fiscal years beginning after December 15, 2027; therefore, compliance with this ASU will be required beginning with the Company’s annual report on Form 10-K for the year ending December 31, 2027. The guidance may be applied prospectively or retrospectively, and early adoption is permitted. Although the adoption is not expected to have a significant impact on the Company's financial statements, it is expected to result in incremental disclosures within the notes to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3.    FAIR VALUE DISCLOSURES</w:t>
      </w:r>
    </w:p>
    <w:p>
      <w:pPr>
        <w:pStyle w:val="TextBody"/>
        <w:bidi w:val="0"/>
        <w:spacing w:lineRule="auto" w:line="288" w:before="240" w:after="283"/>
        <w:ind w:left="0" w:right="0" w:hanging="720"/>
        <w:jc w:val="left"/>
        <w:rPr>
          <w:rFonts w:ascii="Times New Roman;serif" w:hAnsi="Times New Roman;serif"/>
          <w:b w:val="false"/>
          <w:i/>
          <w:color w:val="000000"/>
          <w:sz w:val="20"/>
        </w:rPr>
      </w:pPr>
      <w:r>
        <w:rPr>
          <w:rFonts w:ascii="Times New Roman;serif" w:hAnsi="Times New Roman;serif"/>
          <w:b w:val="false"/>
          <w:i/>
          <w:color w:val="000000"/>
          <w:sz w:val="20"/>
        </w:rPr>
        <w:t>Derivative Financial Instruments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uses interest rate swaps to manage its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EXTRA SPACE STORAGE INC.</w:t>
      </w:r>
    </w:p>
    <w:p>
      <w:pPr>
        <w:pStyle w:val="TextBody"/>
        <w:bidi w:val="0"/>
        <w:spacing w:lineRule="auto" w:line="288" w:before="0" w:after="0"/>
        <w:jc w:val="left"/>
        <w:rPr/>
      </w:pPr>
      <w:r>
        <w:rPr>
          <w:rFonts w:ascii="Times New Roman;serif" w:hAnsi="Times New Roman;serif"/>
          <w:b/>
          <w:color w:val="000000"/>
          <w:sz w:val="20"/>
        </w:rPr>
        <w:t>NOTES TO CONDENSED CONSOLIDATED FINANCIAL STATEMENTS</w:t>
      </w:r>
      <w:r>
        <w:rPr>
          <w:color w:val="000000"/>
        </w:rPr>
        <w:t xml:space="preserve"> </w:t>
      </w:r>
      <w:r>
        <w:rPr>
          <w:rFonts w:ascii="Times New Roman;serif" w:hAnsi="Times New Roman;serif"/>
          <w:b w:val="false"/>
          <w:color w:val="000000"/>
          <w:sz w:val="20"/>
        </w:rPr>
        <w:t>(unaudited)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Amounts in thousands, except store and share data, unless otherwise stated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market-based inputs, including interest rate curves. The fair values of interest rate swaps are determined using the market standard methodology of netting the discounted future fixed cash payments and the discounted expected variable cash receipts. The variable cash receipts are based on an expectation of future interest rates (forward curves) derived from observable market interest rate forward curves.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 In conjunction with the fair value measurement guidance by the FASB, the Company made an accounting policy election to measure the credit risk of its derivative financial instruments that are subject to master netting agreements on a net basis by counterparty portfolio.</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as of June 30, 2026, the Company has assessed the significance of the impact of the credit valuation adjustments on the overall valuation of its derivative positions and has determined that the credit valuation adjustments were not significant to the overall valuation of its derivatives. As a result, the Company has determined that its derivative valuations in their entirety were classified in Level 2 of the fair value hierarchy.</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Company’s assets and liabilities measured at fair value on a recurring basis as of June 30, 2026, aggregated by the level in the fair value hierarchy within which those measurements fall: </w:t>
      </w:r>
    </w:p>
    <w:tbl>
      <w:tblPr>
        <w:tblW w:w="10205" w:type="dxa"/>
        <w:jc w:val="center"/>
        <w:tblInd w:w="0" w:type="dxa"/>
        <w:tblLayout w:type="fixed"/>
        <w:tblCellMar>
          <w:top w:w="28" w:type="dxa"/>
          <w:left w:w="28" w:type="dxa"/>
          <w:bottom w:w="28" w:type="dxa"/>
          <w:right w:w="28" w:type="dxa"/>
        </w:tblCellMar>
      </w:tblPr>
      <w:tblGrid>
        <w:gridCol w:w="914"/>
        <w:gridCol w:w="803"/>
        <w:gridCol w:w="806"/>
        <w:gridCol w:w="109"/>
        <w:gridCol w:w="109"/>
        <w:gridCol w:w="109"/>
        <w:gridCol w:w="109"/>
        <w:gridCol w:w="713"/>
        <w:gridCol w:w="1364"/>
        <w:gridCol w:w="366"/>
        <w:gridCol w:w="120"/>
        <w:gridCol w:w="120"/>
        <w:gridCol w:w="120"/>
        <w:gridCol w:w="459"/>
        <w:gridCol w:w="1344"/>
        <w:gridCol w:w="237"/>
        <w:gridCol w:w="120"/>
        <w:gridCol w:w="120"/>
        <w:gridCol w:w="120"/>
        <w:gridCol w:w="556"/>
        <w:gridCol w:w="1070"/>
        <w:gridCol w:w="417"/>
      </w:tblGrid>
      <w:tr>
        <w:trPr/>
        <w:tc>
          <w:tcPr>
            <w:tcW w:w="9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2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at Reporting Date Using</w:t>
            </w:r>
          </w:p>
        </w:tc>
      </w:tr>
      <w:tr>
        <w:trPr/>
        <w:tc>
          <w:tcPr>
            <w:tcW w:w="25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 (Level 1)</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 (Level 2)</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 (Level 3)</w:t>
            </w:r>
          </w:p>
        </w:tc>
      </w:tr>
      <w:tr>
        <w:trPr/>
        <w:tc>
          <w:tcPr>
            <w:tcW w:w="2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 Cash flow hedge swap agreements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 Cash flow hedge swap agreements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did not have any significant assets or liabilities that are re-measured on a recurring basis using significant unobservable inputs as of June 30, 2026 or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Assets and Liabilities Measured at Fair Value on a Nonrecurring Basis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Long-lived assets held for use are evaluated for impairment when events or circumstances, including the Company’s assumptions about the use of the asset, indicate there may be impairment. The Company reviews each store at least annually to determine if any such events or circumstances have occurred or exist. The Company focuses on stores that do not have positive net operating cash flows. For these stores, the Company determines whether the decrease is temporary or permanent, and whether the store will likely generate positive net operating cash flows in the short term.</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When the Company determines that an event that may indicate impairment has occurred, the Company compares the carrying value of the related long-lived assets to the undiscounted future net operating cash flows attributable to the assets. An impairment loss is recorded if the net carrying value of the assets exceeds the undiscounted future net operating cash flows attributable to the assets. The impairment loss recognized equals the excess of net carrying value over the related fair value of the assets.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When real estate assets are identified by management as held for sale, the Company discontinues depreciating the assets and estimates the fair value of the assets, net of selling costs. The Company compares the carrying value of the related long-lived assets to their estimated fair value, supported by current third-party appraisal or broker market data (categorized within Level 3 of the fair value hierarchy). If the estimated fair value, net of selling costs, is less than the net carrying value of the assets, the Company would recognize a loss on the assets held for sale. The operations of assets held for sale or sold during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EXTRA SPACE STORAGE INC.</w:t>
      </w:r>
    </w:p>
    <w:p>
      <w:pPr>
        <w:pStyle w:val="TextBody"/>
        <w:bidi w:val="0"/>
        <w:spacing w:lineRule="auto" w:line="288" w:before="0" w:after="0"/>
        <w:jc w:val="left"/>
        <w:rPr/>
      </w:pPr>
      <w:r>
        <w:rPr>
          <w:rFonts w:ascii="Times New Roman;serif" w:hAnsi="Times New Roman;serif"/>
          <w:b/>
          <w:color w:val="000000"/>
          <w:sz w:val="20"/>
        </w:rPr>
        <w:t>NOTES TO CONDENSED CONSOLIDATED FINANCIAL STATEMENTS</w:t>
      </w:r>
      <w:r>
        <w:rPr>
          <w:color w:val="000000"/>
        </w:rPr>
        <w:t xml:space="preserve"> </w:t>
      </w:r>
      <w:r>
        <w:rPr>
          <w:rFonts w:ascii="Times New Roman;serif" w:hAnsi="Times New Roman;serif"/>
          <w:b w:val="false"/>
          <w:color w:val="000000"/>
          <w:sz w:val="20"/>
        </w:rPr>
        <w:t>(unaudited)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Amounts in thousands, except store and share data, unless otherwise stated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period are presented as part of normal operations. As of June 30, 2026, the Company had six stores classified as held for sale, which are included in real estate assets, net. Refer to note 4 for additional details on disposition and held for sale activity.</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assesses annually whether there are any indicators that the value of the Company’s investments in unconsolidated real estate entities may be impaired and when events or circumstances indicate that there may be impairment. An investment is impaired if management’s estimate of the fair value of the investment is less than its carrying value. To the extent impairment has occurred, and is considered to be other than temporary, the loss is measured as the excess of the carrying amount of the investment over the fair value of the investment.</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evaluates goodwill for impairment at least annually and whenever events, circumstances, and other related factors indicate that the fair value of the related reporting unit may be less than the carrying value. If the fair value of the reporting unit is determined to exceed the aggregate carrying amount, no impairment charge is recorded. Otherwise, an impairment charge is recorded for the amount in which the carrying value of the reporting unit exceeds the fair value. No impairments of goodwill were recorded for any period presented herein.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Fair Value of Financial Instruments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carrying values of cash and cash equivalents, restricted cash, receivables, investments in debt securities and notes receivable, accounts payable and accrued expenses, variable-rate notes payable, revolving lines of credit and commercial paper and other liabilities reflected in the condensed consolidated balance sheets at June 30, 2026 and December 31, 2025 approximate fair value. Restricted cash is comprised of funds deposited with financial institutions located throughout the United States and the Cayman Islands, primarily relating to operating cash reserve for the Company’s captive insurance subsidiary and earnest money deposits on potential acquisitions.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fair values of the Company’s fixed-rate notes payable were estimated using the discounted estimated future cash payments to be made on such debt (categorized within Level 3 of the fair value hierarchy). The discount rates used approximated current market rates for loans, or groups of loans, with similar maturities and credit quality.</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fair values of the Company’s fixed-rate assets and liabilities were as follows for the periods indicated:</w:t>
      </w:r>
    </w:p>
    <w:tbl>
      <w:tblPr>
        <w:tblW w:w="10205" w:type="dxa"/>
        <w:jc w:val="center"/>
        <w:tblInd w:w="0" w:type="dxa"/>
        <w:tblLayout w:type="fixed"/>
        <w:tblCellMar>
          <w:top w:w="28" w:type="dxa"/>
          <w:left w:w="28" w:type="dxa"/>
          <w:bottom w:w="28" w:type="dxa"/>
          <w:right w:w="28" w:type="dxa"/>
        </w:tblCellMar>
      </w:tblPr>
      <w:tblGrid>
        <w:gridCol w:w="1587"/>
        <w:gridCol w:w="1396"/>
        <w:gridCol w:w="1401"/>
        <w:gridCol w:w="368"/>
        <w:gridCol w:w="713"/>
        <w:gridCol w:w="109"/>
        <w:gridCol w:w="109"/>
        <w:gridCol w:w="109"/>
        <w:gridCol w:w="109"/>
        <w:gridCol w:w="369"/>
        <w:gridCol w:w="712"/>
        <w:gridCol w:w="141"/>
        <w:gridCol w:w="109"/>
        <w:gridCol w:w="109"/>
        <w:gridCol w:w="109"/>
        <w:gridCol w:w="244"/>
        <w:gridCol w:w="837"/>
        <w:gridCol w:w="109"/>
        <w:gridCol w:w="109"/>
        <w:gridCol w:w="109"/>
        <w:gridCol w:w="109"/>
        <w:gridCol w:w="244"/>
        <w:gridCol w:w="837"/>
        <w:gridCol w:w="157"/>
      </w:tblGrid>
      <w:tr>
        <w:trPr/>
        <w:tc>
          <w:tcPr>
            <w:tcW w:w="1587"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Fair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Carrying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Fair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Carrying </w:t>
              <w:br/>
              <w:t>Value</w:t>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receivable from Common Operating Partnership unit holder</w:t>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rate notes receivable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66,735 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rate debt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10,652,080 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10,814,373 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10,967,415 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10,966,511 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EXTRA SPACE STORAGE INC.</w:t>
      </w:r>
    </w:p>
    <w:p>
      <w:pPr>
        <w:pStyle w:val="TextBody"/>
        <w:bidi w:val="0"/>
        <w:spacing w:lineRule="auto" w:line="288" w:before="0" w:after="0"/>
        <w:jc w:val="left"/>
        <w:rPr/>
      </w:pPr>
      <w:r>
        <w:rPr>
          <w:rFonts w:ascii="Times New Roman;serif" w:hAnsi="Times New Roman;serif"/>
          <w:b/>
          <w:color w:val="000000"/>
          <w:sz w:val="20"/>
        </w:rPr>
        <w:t>NOTES TO CONDENSED CONSOLIDATED FINANCIAL STATEMENTS</w:t>
      </w:r>
      <w:r>
        <w:rPr>
          <w:color w:val="000000"/>
        </w:rPr>
        <w:t xml:space="preserve"> </w:t>
      </w:r>
      <w:r>
        <w:rPr>
          <w:rFonts w:ascii="Times New Roman;serif" w:hAnsi="Times New Roman;serif"/>
          <w:b w:val="false"/>
          <w:color w:val="000000"/>
          <w:sz w:val="20"/>
        </w:rPr>
        <w:t>(unaudited)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Amounts in thousands, except store and share data, unless otherwise stated</w:t>
      </w: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4.    ACQUISITIONS AND DISPOSITIONS</w:t>
      </w:r>
    </w:p>
    <w:p>
      <w:pPr>
        <w:pStyle w:val="TextBody"/>
        <w:bidi w:val="0"/>
        <w:spacing w:lineRule="auto" w:line="288" w:before="240" w:after="283"/>
        <w:ind w:left="0" w:right="0" w:firstLine="495"/>
        <w:jc w:val="left"/>
        <w:rPr/>
      </w:pPr>
      <w:r>
        <w:rPr>
          <w:rFonts w:ascii="Times New Roman;serif" w:hAnsi="Times New Roman;serif"/>
          <w:b w:val="false"/>
          <w:color w:val="000000"/>
          <w:sz w:val="20"/>
        </w:rPr>
        <w:t>The following table shows the Company’s acquisitions of stores for the three and six months ended June 30, 2026 and 2025. The table excludes purchases of raw land and improvements made to existing assets. All store acquisitions are considered asset acquisitions under ASU 2017-01, “</w:t>
      </w:r>
      <w:r>
        <w:rPr>
          <w:rFonts w:ascii="Times New Roman;serif" w:hAnsi="Times New Roman;serif"/>
          <w:b w:val="false"/>
          <w:i/>
          <w:color w:val="000000"/>
          <w:sz w:val="20"/>
        </w:rPr>
        <w:t>Business Combinations (Topic 805): Clarifying the Definition of a Business</w:t>
      </w:r>
      <w:r>
        <w:rPr>
          <w:rFonts w:ascii="Times New Roman;serif" w:hAnsi="Times New Roman;serif"/>
          <w:b w:val="false"/>
          <w:color w:val="000000"/>
          <w:sz w:val="20"/>
        </w:rPr>
        <w:t>.”</w:t>
      </w:r>
    </w:p>
    <w:tbl>
      <w:tblPr>
        <w:tblW w:w="10431" w:type="dxa"/>
        <w:jc w:val="center"/>
        <w:tblInd w:w="0" w:type="dxa"/>
        <w:tblLayout w:type="fixed"/>
        <w:tblCellMar>
          <w:top w:w="28" w:type="dxa"/>
          <w:left w:w="28" w:type="dxa"/>
          <w:bottom w:w="28" w:type="dxa"/>
          <w:right w:w="28" w:type="dxa"/>
        </w:tblCellMar>
      </w:tblPr>
      <w:tblGrid>
        <w:gridCol w:w="217"/>
        <w:gridCol w:w="191"/>
        <w:gridCol w:w="193"/>
        <w:gridCol w:w="230"/>
        <w:gridCol w:w="230"/>
        <w:gridCol w:w="231"/>
        <w:gridCol w:w="211"/>
        <w:gridCol w:w="841"/>
        <w:gridCol w:w="109"/>
        <w:gridCol w:w="211"/>
        <w:gridCol w:w="841"/>
        <w:gridCol w:w="109"/>
        <w:gridCol w:w="211"/>
        <w:gridCol w:w="736"/>
        <w:gridCol w:w="109"/>
        <w:gridCol w:w="109"/>
        <w:gridCol w:w="211"/>
        <w:gridCol w:w="736"/>
        <w:gridCol w:w="109"/>
        <w:gridCol w:w="211"/>
        <w:gridCol w:w="841"/>
        <w:gridCol w:w="109"/>
        <w:gridCol w:w="211"/>
        <w:gridCol w:w="631"/>
        <w:gridCol w:w="109"/>
        <w:gridCol w:w="211"/>
        <w:gridCol w:w="631"/>
        <w:gridCol w:w="109"/>
        <w:gridCol w:w="109"/>
        <w:gridCol w:w="211"/>
        <w:gridCol w:w="841"/>
        <w:gridCol w:w="109"/>
        <w:gridCol w:w="109"/>
        <w:gridCol w:w="154"/>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Stores</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Paid</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Loans Assumed</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Bridge Loan Payoff</w:t>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Adjustment of Debt Assumed</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Investments in Real Estate Ventures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Liabilities/ (Assets) Assumed</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Value of Equity Issued</w:t>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Real Estate Assets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Q2 2026</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Q1 2026</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2026</w:t>
            </w:r>
          </w:p>
        </w:tc>
        <w:tc>
          <w:tcPr>
            <w:tcW w:w="6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18</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99,164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99,722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Q2 2025</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Q1 2025</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2025</w:t>
            </w:r>
          </w:p>
        </w:tc>
        <w:tc>
          <w:tcPr>
            <w:tcW w:w="6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278,813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258,000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18,950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(10,049)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140,238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5,319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5,878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697,149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Disposition and Held for Sale Activity</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Company’s disposition and held for sale activity for the periods indicated: </w:t>
      </w:r>
    </w:p>
    <w:tbl>
      <w:tblPr>
        <w:tblW w:w="9638" w:type="dxa"/>
        <w:jc w:val="center"/>
        <w:tblInd w:w="0" w:type="dxa"/>
        <w:tblLayout w:type="fixed"/>
        <w:tblCellMar>
          <w:top w:w="28" w:type="dxa"/>
          <w:left w:w="28" w:type="dxa"/>
          <w:bottom w:w="28" w:type="dxa"/>
          <w:right w:w="28" w:type="dxa"/>
        </w:tblCellMar>
      </w:tblPr>
      <w:tblGrid>
        <w:gridCol w:w="864"/>
        <w:gridCol w:w="758"/>
        <w:gridCol w:w="763"/>
        <w:gridCol w:w="566"/>
        <w:gridCol w:w="2217"/>
        <w:gridCol w:w="292"/>
        <w:gridCol w:w="109"/>
        <w:gridCol w:w="109"/>
        <w:gridCol w:w="109"/>
        <w:gridCol w:w="380"/>
        <w:gridCol w:w="1434"/>
        <w:gridCol w:w="196"/>
        <w:gridCol w:w="109"/>
        <w:gridCol w:w="109"/>
        <w:gridCol w:w="109"/>
        <w:gridCol w:w="443"/>
        <w:gridCol w:w="443"/>
        <w:gridCol w:w="628"/>
      </w:tblGrid>
      <w:tr>
        <w:trPr/>
        <w:tc>
          <w:tcPr>
            <w:tcW w:w="86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 of Assets Held for 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 / Loss 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Stores</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2026 Activity</w:t>
            </w:r>
          </w:p>
        </w:tc>
        <w:tc>
          <w:tcPr>
            <w:tcW w:w="3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Q1 2026 beginning balance</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27,140 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2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Disposals</w:t>
            </w:r>
          </w:p>
        </w:tc>
        <w:tc>
          <w:tcPr>
            <w:tcW w:w="2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(6,421)</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Q1 2026 ending balance</w:t>
            </w:r>
          </w:p>
        </w:tc>
        <w:tc>
          <w:tcPr>
            <w:tcW w:w="5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20,719 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2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7,561 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Disposals</w:t>
            </w:r>
          </w:p>
        </w:tc>
        <w:tc>
          <w:tcPr>
            <w:tcW w:w="2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Q2 2026 ending balance</w:t>
            </w:r>
          </w:p>
        </w:tc>
        <w:tc>
          <w:tcPr>
            <w:tcW w:w="5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28,280 </w:t>
            </w:r>
          </w:p>
        </w:tc>
        <w:tc>
          <w:tcPr>
            <w:tcW w:w="2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2025 Activity</w:t>
            </w:r>
          </w:p>
        </w:tc>
        <w:tc>
          <w:tcPr>
            <w:tcW w:w="3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Q1 2025 beginning balance</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103,756 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2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8,019 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Disposals</w:t>
            </w:r>
          </w:p>
        </w:tc>
        <w:tc>
          <w:tcPr>
            <w:tcW w:w="2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(83,537)</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(39,520)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6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Q1 2025 ending balance</w:t>
            </w:r>
          </w:p>
        </w:tc>
        <w:tc>
          <w:tcPr>
            <w:tcW w:w="5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28,238 </w:t>
            </w:r>
          </w:p>
        </w:tc>
        <w:tc>
          <w:tcPr>
            <w:tcW w:w="2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(35,761)</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w:t>
            </w:r>
          </w:p>
        </w:tc>
        <w:tc>
          <w:tcPr>
            <w:tcW w:w="2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Disposals</w:t>
            </w:r>
          </w:p>
        </w:tc>
        <w:tc>
          <w:tcPr>
            <w:tcW w:w="2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(9,440)</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Q2 2025 ending balance</w:t>
            </w:r>
          </w:p>
        </w:tc>
        <w:tc>
          <w:tcPr>
            <w:tcW w:w="5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18,798 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(34,897)</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pPr>
      <w:r>
        <w:rPr>
          <w:rFonts w:ascii="Times New Roman;serif" w:hAnsi="Times New Roman;serif"/>
          <w:b w:val="false"/>
          <w:color w:val="000000"/>
          <w:sz w:val="20"/>
          <w:shd w:fill="FFFFFF" w:val="clear"/>
        </w:rPr>
        <w:t xml:space="preserve">Assets held for sale are included in </w:t>
      </w:r>
      <w:r>
        <w:rPr>
          <w:rFonts w:ascii="Times New Roman;serif" w:hAnsi="Times New Roman;serif"/>
          <w:b w:val="false"/>
          <w:color w:val="000000"/>
          <w:sz w:val="20"/>
        </w:rPr>
        <w:t>real estate assets, net, as well as</w:t>
      </w:r>
      <w:r>
        <w:rPr>
          <w:color w:val="000000"/>
          <w:shd w:fill="FFFFFF" w:val="clear"/>
        </w:rPr>
        <w:t xml:space="preserve"> </w:t>
      </w:r>
      <w:r>
        <w:rPr>
          <w:rFonts w:ascii="Times New Roman;serif" w:hAnsi="Times New Roman;serif"/>
          <w:b w:val="false"/>
          <w:color w:val="000000"/>
          <w:sz w:val="20"/>
          <w:shd w:fill="FFFFFF" w:val="clear"/>
        </w:rPr>
        <w:t>in the self-storage operations segment of the Company’s segment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EXTRA SPACE STORAGE INC.</w:t>
      </w:r>
    </w:p>
    <w:p>
      <w:pPr>
        <w:pStyle w:val="TextBody"/>
        <w:bidi w:val="0"/>
        <w:spacing w:lineRule="auto" w:line="288" w:before="0" w:after="0"/>
        <w:jc w:val="left"/>
        <w:rPr/>
      </w:pPr>
      <w:r>
        <w:rPr>
          <w:rFonts w:ascii="Times New Roman;serif" w:hAnsi="Times New Roman;serif"/>
          <w:b/>
          <w:color w:val="000000"/>
          <w:sz w:val="20"/>
        </w:rPr>
        <w:t>NOTES TO CONDENSED CONSOLIDATED FINANCIAL STATEMENTS</w:t>
      </w:r>
      <w:r>
        <w:rPr>
          <w:color w:val="000000"/>
        </w:rPr>
        <w:t xml:space="preserve"> </w:t>
      </w:r>
      <w:r>
        <w:rPr>
          <w:rFonts w:ascii="Times New Roman;serif" w:hAnsi="Times New Roman;serif"/>
          <w:b w:val="false"/>
          <w:color w:val="000000"/>
          <w:sz w:val="20"/>
        </w:rPr>
        <w:t>(unaudited)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Amounts in thousands, except store and share data, unless otherwise stated</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5.    REAL ESTATE ASSETS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components of real estate assets are summarized as follows:</w:t>
      </w:r>
    </w:p>
    <w:tbl>
      <w:tblPr>
        <w:tblW w:w="7428" w:type="dxa"/>
        <w:jc w:val="left"/>
        <w:tblInd w:w="0" w:type="dxa"/>
        <w:tblLayout w:type="fixed"/>
        <w:tblCellMar>
          <w:top w:w="28" w:type="dxa"/>
          <w:left w:w="28" w:type="dxa"/>
          <w:bottom w:w="28" w:type="dxa"/>
          <w:right w:w="28" w:type="dxa"/>
        </w:tblCellMar>
      </w:tblPr>
      <w:tblGrid>
        <w:gridCol w:w="1488"/>
        <w:gridCol w:w="1305"/>
        <w:gridCol w:w="1317"/>
        <w:gridCol w:w="211"/>
        <w:gridCol w:w="1081"/>
        <w:gridCol w:w="109"/>
        <w:gridCol w:w="109"/>
        <w:gridCol w:w="109"/>
        <w:gridCol w:w="109"/>
        <w:gridCol w:w="232"/>
        <w:gridCol w:w="1189"/>
        <w:gridCol w:w="169"/>
      </w:tblGrid>
      <w:tr>
        <w:trPr/>
        <w:tc>
          <w:tcPr>
            <w:tcW w:w="1488"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5,153,148 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5,135,719 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improvements and other intangibles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23,479,446 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23,234,033 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assets - finance lease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141,194 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 tenant relationships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334,669 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lease rights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37,771 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29,142,694 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28,883,386 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(3,982,125)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real estate assets</w:t>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24,812,227 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24,901,261 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under development/redevelopment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103,089 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assets,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24,938,444 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25,004,350 </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000000"/>
          <w:sz w:val="20"/>
          <w:shd w:fill="FFFFFF" w:val="clear"/>
        </w:rPr>
        <w:t>6.     OTHER</w:t>
      </w:r>
      <w:r>
        <w:rPr>
          <w:color w:val="000000"/>
        </w:rPr>
        <w:t xml:space="preserve"> </w:t>
      </w:r>
      <w:r>
        <w:rPr>
          <w:rFonts w:ascii="Times New Roman;serif" w:hAnsi="Times New Roman;serif"/>
          <w:b/>
          <w:color w:val="000000"/>
          <w:sz w:val="20"/>
        </w:rPr>
        <w:t>ASSETS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components of other assets are summarized as follows:</w:t>
      </w:r>
    </w:p>
    <w:tbl>
      <w:tblPr>
        <w:tblW w:w="6579" w:type="dxa"/>
        <w:jc w:val="left"/>
        <w:tblInd w:w="0" w:type="dxa"/>
        <w:tblLayout w:type="fixed"/>
        <w:tblCellMar>
          <w:top w:w="28" w:type="dxa"/>
          <w:left w:w="28" w:type="dxa"/>
          <w:bottom w:w="28" w:type="dxa"/>
          <w:right w:w="28" w:type="dxa"/>
        </w:tblCellMar>
      </w:tblPr>
      <w:tblGrid>
        <w:gridCol w:w="1269"/>
        <w:gridCol w:w="1114"/>
        <w:gridCol w:w="1126"/>
        <w:gridCol w:w="212"/>
        <w:gridCol w:w="833"/>
        <w:gridCol w:w="109"/>
        <w:gridCol w:w="109"/>
        <w:gridCol w:w="109"/>
        <w:gridCol w:w="109"/>
        <w:gridCol w:w="281"/>
        <w:gridCol w:w="1103"/>
        <w:gridCol w:w="205"/>
      </w:tblGrid>
      <w:tr>
        <w:trPr/>
        <w:tc>
          <w:tcPr>
            <w:tcW w:w="1269"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170,811 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142,120 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deposits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102,656 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and fixtures, net</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65,154 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line of credit financing costs, net</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interest rate swaps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477,723 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515,291 </w:t>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7.    EARNINGS PER COMMON SHARE</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 is computed using the two-class method by dividing net income attributable to common stockholders by the weighted average number of common shares outstanding during the period. All outstanding unvested restricted stock awards contain rights to non-forfeitable dividends and participate in undistributed earnings with common stockholders; accordingly, they are considered participating securities that are included in the two-class method. Diluted earnings per common share measures the performance of the Company over the reporting period while giving effect to all potential common shares that were dilutive and outstanding during the period. The denominator includes the weighted average number of basic shares and the number of additional common shares that would have been outstanding if the potential common shares that were dilutive had been issued, and is calculated using the two-class, treasury stock or if-converted method, whichever is most dilutive. Potential common shares are securities (such as Series B Redeemable Preferred Units (“Series B Units”), Series D Redeemable Preferred Units (“Series D Units” and, together with the Series B Units, the “Preferred OP Units”) and common Operating Partnership units (“OP Units”)) that do not have a current right to participate in earnings of the Company but could do so in the future by virtue of their redemption right.</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computing the dilutive effect of convertible securities, net income is adjusted to add back any changes in earnings in the period associated with the convertible security. The numerator is also adjusted for the effects of any other non-discretionary changes in income or loss that would result from the assumed conversion of those potential common shares. In computing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EXTRA SPACE STORAGE INC.</w:t>
      </w:r>
    </w:p>
    <w:p>
      <w:pPr>
        <w:pStyle w:val="TextBody"/>
        <w:bidi w:val="0"/>
        <w:spacing w:lineRule="auto" w:line="288" w:before="0" w:after="0"/>
        <w:jc w:val="left"/>
        <w:rPr/>
      </w:pPr>
      <w:r>
        <w:rPr>
          <w:rFonts w:ascii="Times New Roman;serif" w:hAnsi="Times New Roman;serif"/>
          <w:b/>
          <w:color w:val="000000"/>
          <w:sz w:val="20"/>
        </w:rPr>
        <w:t>NOTES TO CONDENSED CONSOLIDATED FINANCIAL STATEMENTS</w:t>
      </w:r>
      <w:r>
        <w:rPr>
          <w:color w:val="000000"/>
        </w:rPr>
        <w:t xml:space="preserve"> </w:t>
      </w:r>
      <w:r>
        <w:rPr>
          <w:rFonts w:ascii="Times New Roman;serif" w:hAnsi="Times New Roman;serif"/>
          <w:b w:val="false"/>
          <w:color w:val="000000"/>
          <w:sz w:val="20"/>
        </w:rPr>
        <w:t>(unaudited)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Amounts in thousands, except store and share data, unless otherwise stated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earnings per common share, only potential common shares that are dilutive (i.e. those that reduce earnings per common share) are included. </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the purposes of computing the diluted impact of the potential exchange of the Preferred OP Units for common shares upon redemption, where the Company has the option to redeem in cash or shares, the Company divided the total liquidation value of the Preferred OP Units by the average share price for the period presented. The average share price for the three months ended June 30, 2026 and 2025 was $142.93 and $145.51, respectively. The average share price for the six months ended June 30, 2026 and 2025 was $141.96 and $148.53, respectively.</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number of weighted OP Units and Preferred OP Units, and the potential common shares, that were excluded from the computation of earnings per share as their effect would have been anti-dilutive:</w:t>
      </w:r>
    </w:p>
    <w:tbl>
      <w:tblPr>
        <w:tblW w:w="10100" w:type="dxa"/>
        <w:jc w:val="center"/>
        <w:tblInd w:w="0" w:type="dxa"/>
        <w:tblLayout w:type="fixed"/>
        <w:tblCellMar>
          <w:top w:w="28" w:type="dxa"/>
          <w:left w:w="28" w:type="dxa"/>
          <w:bottom w:w="28" w:type="dxa"/>
          <w:right w:w="28" w:type="dxa"/>
        </w:tblCellMar>
      </w:tblPr>
      <w:tblGrid>
        <w:gridCol w:w="591"/>
        <w:gridCol w:w="520"/>
        <w:gridCol w:w="524"/>
        <w:gridCol w:w="485"/>
        <w:gridCol w:w="485"/>
        <w:gridCol w:w="485"/>
        <w:gridCol w:w="316"/>
        <w:gridCol w:w="316"/>
        <w:gridCol w:w="316"/>
        <w:gridCol w:w="488"/>
        <w:gridCol w:w="488"/>
        <w:gridCol w:w="485"/>
        <w:gridCol w:w="109"/>
        <w:gridCol w:w="109"/>
        <w:gridCol w:w="109"/>
        <w:gridCol w:w="646"/>
        <w:gridCol w:w="404"/>
        <w:gridCol w:w="404"/>
        <w:gridCol w:w="295"/>
        <w:gridCol w:w="295"/>
        <w:gridCol w:w="295"/>
        <w:gridCol w:w="646"/>
        <w:gridCol w:w="404"/>
        <w:gridCol w:w="404"/>
        <w:gridCol w:w="109"/>
        <w:gridCol w:w="109"/>
        <w:gridCol w:w="109"/>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Equivalent Shares </w:t>
              <w:br/>
              <w:t>(if converted)</w:t>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Equivalent Shares </w:t>
              <w:br/>
              <w:t>(if converted)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Equivalent Shares </w:t>
              <w:br/>
              <w:t>(if converted)</w:t>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Equivalent Shares </w:t>
              <w:br/>
              <w:t>(if converted)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OP Units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9,363,113 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9,366,391 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B Units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234,857 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230,693 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236,462 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226,003 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D Units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99,768 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139,234 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104,887 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171,186 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334,625 </w:t>
            </w:r>
          </w:p>
        </w:tc>
        <w:tc>
          <w:tcPr>
            <w:tcW w:w="4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9,733,040 </w:t>
            </w:r>
          </w:p>
        </w:tc>
        <w:tc>
          <w:tcPr>
            <w:tcW w:w="4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341,349 </w:t>
            </w:r>
          </w:p>
        </w:tc>
        <w:tc>
          <w:tcPr>
            <w:tcW w:w="4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9,763,580 </w:t>
            </w:r>
          </w:p>
        </w:tc>
        <w:tc>
          <w:tcPr>
            <w:tcW w:w="4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computation of earnings per common share is as follows for the periods presented:</w:t>
      </w:r>
    </w:p>
    <w:tbl>
      <w:tblPr>
        <w:tblW w:w="10205" w:type="dxa"/>
        <w:jc w:val="center"/>
        <w:tblInd w:w="0" w:type="dxa"/>
        <w:tblLayout w:type="fixed"/>
        <w:tblCellMar>
          <w:top w:w="28" w:type="dxa"/>
          <w:left w:w="28" w:type="dxa"/>
          <w:bottom w:w="28" w:type="dxa"/>
          <w:right w:w="28" w:type="dxa"/>
        </w:tblCellMar>
      </w:tblPr>
      <w:tblGrid>
        <w:gridCol w:w="1353"/>
        <w:gridCol w:w="1092"/>
        <w:gridCol w:w="1094"/>
        <w:gridCol w:w="241"/>
        <w:gridCol w:w="945"/>
        <w:gridCol w:w="112"/>
        <w:gridCol w:w="112"/>
        <w:gridCol w:w="112"/>
        <w:gridCol w:w="112"/>
        <w:gridCol w:w="241"/>
        <w:gridCol w:w="945"/>
        <w:gridCol w:w="112"/>
        <w:gridCol w:w="109"/>
        <w:gridCol w:w="109"/>
        <w:gridCol w:w="109"/>
        <w:gridCol w:w="241"/>
        <w:gridCol w:w="945"/>
        <w:gridCol w:w="109"/>
        <w:gridCol w:w="109"/>
        <w:gridCol w:w="109"/>
        <w:gridCol w:w="109"/>
        <w:gridCol w:w="241"/>
        <w:gridCol w:w="945"/>
        <w:gridCol w:w="109"/>
        <w:gridCol w:w="109"/>
        <w:gridCol w:w="109"/>
        <w:gridCol w:w="109"/>
        <w:gridCol w:w="163"/>
      </w:tblGrid>
      <w:tr>
        <w:trPr/>
        <w:tc>
          <w:tcPr>
            <w:tcW w:w="135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263,471 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249,731 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504,448 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520,606 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and dividends allocated to participating securities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for basic computations</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263,003 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249,282 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503,555 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519,741 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allocated to noncontrolling interest - Preferred OP Units and OP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for diluted computations</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274,708 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249,282 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525,999 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519,741 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Average number of common shares outstanding - basic </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210,962,128 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211,940,903 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210,929,737 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211,895,586 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OP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9,400,827 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9,413,308 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common shares outstanding - diluted</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220,362,955 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211,940,903 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220,343,045 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211,895,586 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w:t>
            </w:r>
          </w:p>
        </w:tc>
        <w:tc>
          <w:tcPr>
            <w:tcW w:w="12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8.    INVESTMENTS IN UNCONSOLIDATED REAL ESTATE ENTITIES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Investments in unconsolidated real estate entities and cash distributions in unconsolidated real estate ventures represent the Company’s interest in preferred stock of Strategic Storage Trust VI, Inc. and Strategic Storage Growth Trust III, Inc. (collectively, “Strategic Storage”), affiliates of SmartStop Self Storage REIT, Inc., and the Company’s noncontrolling interest in real estate joint ventures. The Company accounts for its investments in Strategic Storage preferred stock, which do not have a readily determinable fair value, at the transaction price less impairment, if any. The Company accounts for its investments in joint ventures using the equity method of accounting. The Company initially records these investments at cost and subsequently adjusts for cash contributions, distributions and net equity in income or loss, which is allocated in accordance with the provisions of the applicable partnership or joint venture agreement. Equity in earnings and dividend income from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EXTRA SPACE STORAGE INC.</w:t>
      </w:r>
    </w:p>
    <w:p>
      <w:pPr>
        <w:pStyle w:val="TextBody"/>
        <w:bidi w:val="0"/>
        <w:spacing w:lineRule="auto" w:line="288" w:before="0" w:after="0"/>
        <w:jc w:val="left"/>
        <w:rPr/>
      </w:pPr>
      <w:r>
        <w:rPr>
          <w:rFonts w:ascii="Times New Roman;serif" w:hAnsi="Times New Roman;serif"/>
          <w:b/>
          <w:color w:val="000000"/>
          <w:sz w:val="20"/>
        </w:rPr>
        <w:t>NOTES TO CONDENSED CONSOLIDATED FINANCIAL STATEMENTS</w:t>
      </w:r>
      <w:r>
        <w:rPr>
          <w:color w:val="000000"/>
        </w:rPr>
        <w:t xml:space="preserve"> </w:t>
      </w:r>
      <w:r>
        <w:rPr>
          <w:rFonts w:ascii="Times New Roman;serif" w:hAnsi="Times New Roman;serif"/>
          <w:b w:val="false"/>
          <w:color w:val="000000"/>
          <w:sz w:val="20"/>
        </w:rPr>
        <w:t>(unaudited)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Amounts in thousands, except store and share data, unless otherwise stated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investments is included in the equity in earnings and dividend income from unconsolidated real estate entities on the Company’s condensed consolidated statements of operations.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these joint ventures, the Company and the joint venture partner generally receive a preferred return on their invested capital. To the extent that cash or profits in excess of these preferred returns are generated through operations or capital transactions, the Company would receive a higher percentage of the excess cash or profits, as applicable, than its equity interest.</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separately reports investments with net equity less than zero in cash distributions in unconsolidated real estate ventures in the condensed consolidated balance sheets. The net equity of certain joint ventures is less than zero because distributions have exceeded the Company’s investment in and share of income from these joint ventures. This is generally the result of financing distributions, capital events or operating distributions that are usually greater than net income, as net income includes non-cash charges for depreciation and amortization while distributions do not.</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Net investments in unconsolidated real estate entities and cash distributions in unconsolidated real estate ventures consist of the following:</w:t>
      </w:r>
    </w:p>
    <w:tbl>
      <w:tblPr>
        <w:tblW w:w="10205" w:type="dxa"/>
        <w:jc w:val="left"/>
        <w:tblInd w:w="0" w:type="dxa"/>
        <w:tblLayout w:type="fixed"/>
        <w:tblCellMar>
          <w:top w:w="28" w:type="dxa"/>
          <w:left w:w="28" w:type="dxa"/>
          <w:bottom w:w="28" w:type="dxa"/>
          <w:right w:w="28" w:type="dxa"/>
        </w:tblCellMar>
      </w:tblPr>
      <w:tblGrid>
        <w:gridCol w:w="1443"/>
        <w:gridCol w:w="911"/>
        <w:gridCol w:w="919"/>
        <w:gridCol w:w="314"/>
        <w:gridCol w:w="314"/>
        <w:gridCol w:w="315"/>
        <w:gridCol w:w="109"/>
        <w:gridCol w:w="109"/>
        <w:gridCol w:w="109"/>
        <w:gridCol w:w="384"/>
        <w:gridCol w:w="384"/>
        <w:gridCol w:w="386"/>
        <w:gridCol w:w="109"/>
        <w:gridCol w:w="109"/>
        <w:gridCol w:w="109"/>
        <w:gridCol w:w="294"/>
        <w:gridCol w:w="294"/>
        <w:gridCol w:w="295"/>
        <w:gridCol w:w="109"/>
        <w:gridCol w:w="109"/>
        <w:gridCol w:w="109"/>
        <w:gridCol w:w="211"/>
        <w:gridCol w:w="976"/>
        <w:gridCol w:w="109"/>
        <w:gridCol w:w="109"/>
        <w:gridCol w:w="109"/>
        <w:gridCol w:w="109"/>
        <w:gridCol w:w="211"/>
        <w:gridCol w:w="976"/>
        <w:gridCol w:w="161"/>
      </w:tblGrid>
      <w:tr>
        <w:trPr/>
        <w:tc>
          <w:tcPr>
            <w:tcW w:w="1443"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Stores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Equity Ownership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Excess Profit % </w:t>
            </w:r>
            <w:r>
              <w:rPr>
                <w:rFonts w:ascii="Times New Roman;serif" w:hAnsi="Times New Roman;serif"/>
                <w:b/>
                <w:color w:val="000000"/>
                <w:sz w:val="10"/>
              </w:rPr>
              <w:t>(1)</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5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PRISA Self Storage LLC </w:t>
            </w:r>
          </w:p>
        </w:tc>
        <w:tc>
          <w:tcPr>
            <w:tcW w:w="94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8,736 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HF1 Sovran HHF Storage Holdings LLC</w:t>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49%-59%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Storage Portfolio II JV LLC </w:t>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Storage Portfolio IV JV LLC</w:t>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Storage Portfolio I LLC </w:t>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(44,537)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HF2 Sovran HHF Storage Holdings II LLC</w:t>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49%-59%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112,551 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HF5 Life Storage-HIERS Storage LLC </w:t>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HF6 191 V Life Storage Holdings LLC </w:t>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VRS Self Storage, LLC </w:t>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HF10 Life Storage HHF Wasatch Holdings LLC </w:t>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unconsolidated real estate ventures</w:t>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3"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ind w:left="0" w:right="0" w:hanging="360"/>
              <w:jc w:val="left"/>
              <w:rPr/>
            </w:pPr>
            <w:r>
              <w:rPr>
                <w:rFonts w:ascii="Times New Roman;serif" w:hAnsi="Times New Roman;serif"/>
                <w:b w:val="false"/>
                <w:color w:val="000000"/>
                <w:sz w:val="20"/>
              </w:rPr>
              <w:t xml:space="preserve">Strategic Storage Growth Trust III, Inc. Preferred Stock </w:t>
            </w:r>
            <w:r>
              <w:rPr>
                <w:rFonts w:ascii="Times New Roman;serif" w:hAnsi="Times New Roman;serif"/>
                <w:b w:val="false"/>
                <w:color w:val="000000"/>
                <w:sz w:val="13"/>
              </w:rPr>
              <w:t>(2)</w:t>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Strategic Storage Trust VI, Inc. Preferred Stock </w:t>
            </w:r>
            <w:r>
              <w:rPr>
                <w:rFonts w:ascii="Times New Roman;serif" w:hAnsi="Times New Roman;serif"/>
                <w:b w:val="false"/>
                <w:color w:val="000000"/>
                <w:sz w:val="13"/>
              </w:rPr>
              <w:t>(3)</w:t>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Investments in and Cash distributions in unconsolidated real estate entities</w:t>
            </w:r>
          </w:p>
        </w:tc>
        <w:tc>
          <w:tcPr>
            <w:tcW w:w="94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989,827 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993,082 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real estate entities</w:t>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1,066,783 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distributions in unconsolidated real estate ventures</w:t>
            </w:r>
          </w:p>
        </w:tc>
        <w:tc>
          <w:tcPr>
            <w:tcW w:w="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(73,701)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Investments in and Cash distributions in unconsolidated real estate entities</w:t>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989,827 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993,082 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Includes pro-rata equity ownership share and promoted interest.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    On February 4, 2025, the Company invested $100,000 in shares of convertible preferred stock with a dividend rate of 8.85% per annum, subject to increase after five years. The preferred shares are generally not redeemable for five years, except in the case of a change of control or initial listing, and are redeemable thereafter subject to a redemption premium. </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In May 2023, the Company invested $150,000 in shares of convertible preferred stock with a dividend rate of 8.35% per annum, subject to increase after five years. The preferred shares are generally not redeemable for three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EXTRA SPACE STORAGE INC.</w:t>
      </w:r>
    </w:p>
    <w:p>
      <w:pPr>
        <w:pStyle w:val="TextBody"/>
        <w:bidi w:val="0"/>
        <w:spacing w:lineRule="auto" w:line="288" w:before="0" w:after="0"/>
        <w:jc w:val="left"/>
        <w:rPr/>
      </w:pPr>
      <w:r>
        <w:rPr>
          <w:rFonts w:ascii="Times New Roman;serif" w:hAnsi="Times New Roman;serif"/>
          <w:b/>
          <w:color w:val="000000"/>
          <w:sz w:val="20"/>
        </w:rPr>
        <w:t>NOTES TO CONDENSED CONSOLIDATED FINANCIAL STATEMENTS</w:t>
      </w:r>
      <w:r>
        <w:rPr>
          <w:color w:val="000000"/>
        </w:rPr>
        <w:t xml:space="preserve"> </w:t>
      </w:r>
      <w:r>
        <w:rPr>
          <w:rFonts w:ascii="Times New Roman;serif" w:hAnsi="Times New Roman;serif"/>
          <w:b w:val="false"/>
          <w:color w:val="000000"/>
          <w:sz w:val="20"/>
        </w:rPr>
        <w:t>(unaudited)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Amounts in thousands, except store and share data, unless otherwise stated</w:t>
      </w: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9.    INVESTMENTS IN DEBT SECURITIES AND NOTES RECEIVABLE</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Investments in debt securities and notes receivable consists of the Company’s investment in mandatorily redeemable preferred stock of Jernigan Capital, Inc. (“JCAP”) in connection with JCAP’s acquisition by affiliates of NexPoint Advisors, L.P. (“NexPoint”) and receivables due to the Company under its bridge loan program. Information about these balances is as follows:</w:t>
      </w:r>
    </w:p>
    <w:tbl>
      <w:tblPr>
        <w:tblW w:w="6182" w:type="dxa"/>
        <w:jc w:val="left"/>
        <w:tblInd w:w="0" w:type="dxa"/>
        <w:tblLayout w:type="fixed"/>
        <w:tblCellMar>
          <w:top w:w="28" w:type="dxa"/>
          <w:left w:w="28" w:type="dxa"/>
          <w:bottom w:w="28" w:type="dxa"/>
          <w:right w:w="28" w:type="dxa"/>
        </w:tblCellMar>
      </w:tblPr>
      <w:tblGrid>
        <w:gridCol w:w="1074"/>
        <w:gridCol w:w="945"/>
        <w:gridCol w:w="951"/>
        <w:gridCol w:w="211"/>
        <w:gridCol w:w="976"/>
        <w:gridCol w:w="109"/>
        <w:gridCol w:w="109"/>
        <w:gridCol w:w="109"/>
        <w:gridCol w:w="109"/>
        <w:gridCol w:w="250"/>
        <w:gridCol w:w="1157"/>
        <w:gridCol w:w="182"/>
      </w:tblGrid>
      <w:tr>
        <w:trPr/>
        <w:tc>
          <w:tcPr>
            <w:tcW w:w="107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 preferred stock</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 bridge loans,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1,500,151 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Dividends and interest receivable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1,751,653 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1,806,526 </w:t>
            </w:r>
          </w:p>
        </w:tc>
        <w:tc>
          <w:tcPr>
            <w:tcW w:w="1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November 2020, the Company invested $300,000 in the preferred stock of JCAP in connection with the acquisition of JCAP by NexPoint. This investment consisted of 200,000 Series A Preferred Shares valued at a total of $200,000, and 100,000 Series B Preferred Shares valued at a total of $100,000. In December 2022, the Company completed a modification with NexPoint Storage Partners (as successor in interest to JCAP) that exchanged the Series A and Series B Preferred Shares for 300,000 Series D Preferred Shares, valued at a total of $300,000. The Series D Preferred Shares are mandatorily redeemable after six years from the modification in December 2022, with two one-year extension options. NexPoint may redeem the Series D Preferred Shares at any time, subject to certain prepayment penalties. The Company accounts for the Series D Preferred Shares as a held to maturity debt security at amortized cost and evaluates whether the fair value is below the amortized cost basis at each reporting period. The Series D Preferred Shares have an initial dividend rate of 8.5%. If the investment is not retired after six years, the preferred dividends increase annually.</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offers bridge loan financing to third-party self-storage owners primarily for whom it manages properties. These notes receivable consist of mortgage loans receivable, which are collateralized by self-storage properties, and mezzanine loans receivable, which are secured by equity interest pledges. As of June 30, 2026, 81% of the notes held are mortgage receivables. The Company may sell a portion of the mortgage receivables. These notes receivable typically have a term of three years with two one-year extensions and have variable interest rates. During the six months ended June 30, 2026, the Company sold a total principal amount of $30,488 of its mortgage bridge loans receivable to third parties for par, closed on $153,908 in initial loan draws, and recorded $10,258 of draws for interest payments.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bridge loans typically have a loan to value ratio between 70% and 80% at origination. As of June 30, 2026, none of the notes receivable are in nonaccrual status, and any notes receivable where the monthly payments are delinquent are less than 60 days past due and immaterial. The allowance for potential credit losses is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EXTRA SPACE STORAGE INC.</w:t>
      </w:r>
    </w:p>
    <w:p>
      <w:pPr>
        <w:pStyle w:val="TextBody"/>
        <w:bidi w:val="0"/>
        <w:spacing w:lineRule="auto" w:line="288" w:before="0" w:after="0"/>
        <w:jc w:val="left"/>
        <w:rPr/>
      </w:pPr>
      <w:r>
        <w:rPr>
          <w:rFonts w:ascii="Times New Roman;serif" w:hAnsi="Times New Roman;serif"/>
          <w:b/>
          <w:color w:val="000000"/>
          <w:sz w:val="20"/>
        </w:rPr>
        <w:t>NOTES TO CONDENSED CONSOLIDATED FINANCIAL STATEMENTS</w:t>
      </w:r>
      <w:r>
        <w:rPr>
          <w:color w:val="000000"/>
        </w:rPr>
        <w:t xml:space="preserve"> </w:t>
      </w:r>
      <w:r>
        <w:rPr>
          <w:rFonts w:ascii="Times New Roman;serif" w:hAnsi="Times New Roman;serif"/>
          <w:b w:val="false"/>
          <w:color w:val="000000"/>
          <w:sz w:val="20"/>
        </w:rPr>
        <w:t>(unaudited)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Amounts in thousands, except store and share data, unless otherwise stated</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10.    DEBT</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components of term debt are summarized as follows:</w:t>
      </w:r>
    </w:p>
    <w:tbl>
      <w:tblPr>
        <w:tblW w:w="10205" w:type="dxa"/>
        <w:jc w:val="left"/>
        <w:tblInd w:w="0" w:type="dxa"/>
        <w:tblLayout w:type="fixed"/>
        <w:tblCellMar>
          <w:top w:w="28" w:type="dxa"/>
          <w:left w:w="28" w:type="dxa"/>
          <w:bottom w:w="28" w:type="dxa"/>
          <w:right w:w="28" w:type="dxa"/>
        </w:tblCellMar>
      </w:tblPr>
      <w:tblGrid>
        <w:gridCol w:w="1869"/>
        <w:gridCol w:w="1445"/>
        <w:gridCol w:w="1453"/>
        <w:gridCol w:w="351"/>
        <w:gridCol w:w="1801"/>
        <w:gridCol w:w="181"/>
        <w:gridCol w:w="181"/>
        <w:gridCol w:w="181"/>
        <w:gridCol w:w="181"/>
        <w:gridCol w:w="373"/>
        <w:gridCol w:w="1912"/>
        <w:gridCol w:w="277"/>
      </w:tblGrid>
      <w:tr>
        <w:trPr/>
        <w:tc>
          <w:tcPr>
            <w:tcW w:w="1869"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4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Term Debt</w:t>
            </w:r>
          </w:p>
        </w:tc>
        <w:tc>
          <w:tcPr>
            <w:tcW w:w="23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7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Secured notes payable </w:t>
            </w:r>
            <w:r>
              <w:rPr>
                <w:rFonts w:ascii="Times New Roman;serif" w:hAnsi="Times New Roman;serif"/>
                <w:b w:val="false"/>
                <w:color w:val="000000"/>
                <w:sz w:val="13"/>
              </w:rPr>
              <w:t>(1)</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1,075,886 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1,082,899 </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term loans</w:t>
            </w:r>
          </w:p>
        </w:tc>
        <w:tc>
          <w:tcPr>
            <w:tcW w:w="2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senior notes</w:t>
            </w:r>
          </w:p>
        </w:tc>
        <w:tc>
          <w:tcPr>
            <w:tcW w:w="2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9,675,000 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9,675,000 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12,250,886 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12,257,899 </w:t>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Less: Discount on unsecured senior notes, net </w:t>
            </w:r>
            <w:r>
              <w:rPr>
                <w:rFonts w:ascii="Times New Roman;serif" w:hAnsi="Times New Roman;serif"/>
                <w:b w:val="false"/>
                <w:color w:val="000000"/>
                <w:sz w:val="13"/>
              </w:rPr>
              <w:t>(2)</w:t>
            </w:r>
          </w:p>
        </w:tc>
        <w:tc>
          <w:tcPr>
            <w:tcW w:w="2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(164,153)</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(187,742)</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2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(63,506)</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12,029,620 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12,006,651 </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 The loans are collateralized by mortgages on real estate assets and the assignment of rents.</w:t>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 Unsecured senior notes from the Company’s merger with Life Storage were recorded at fair value, resulting in a discount of $293,134 to be amortized over the term of the debt. Also includes net premium from bond offerings of $13,853 offset by discount from assumed debt of $15,018.</w:t>
            </w:r>
          </w:p>
        </w:tc>
      </w:tr>
    </w:tbl>
    <w:p>
      <w:pPr>
        <w:pStyle w:val="TextBody"/>
        <w:bidi w:val="0"/>
        <w:spacing w:lineRule="auto" w:line="288" w:before="24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scheduled maturities of term debt, excluding available extensions, at June 30, 2026:</w:t>
      </w:r>
    </w:p>
    <w:tbl>
      <w:tblPr>
        <w:tblW w:w="2392" w:type="dxa"/>
        <w:jc w:val="center"/>
        <w:tblInd w:w="0" w:type="dxa"/>
        <w:tblLayout w:type="fixed"/>
        <w:tblCellMar>
          <w:top w:w="28" w:type="dxa"/>
          <w:left w:w="28" w:type="dxa"/>
          <w:bottom w:w="28" w:type="dxa"/>
          <w:right w:w="28" w:type="dxa"/>
        </w:tblCellMar>
      </w:tblPr>
      <w:tblGrid>
        <w:gridCol w:w="342"/>
        <w:gridCol w:w="300"/>
        <w:gridCol w:w="304"/>
        <w:gridCol w:w="211"/>
        <w:gridCol w:w="1081"/>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1,313,554 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2033</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2034</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2035</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12,250,886 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established a commercial paper note program and may issue up to $1,000,000 of unsecured commercial paper notes that bear interest at variable rates and have varying maturities (generally 30 days or less, with a maximum of 397 days). The commercial paper notes are issued under customary terms in the commercial paper market and are issued at a discount from par or, alternatively, can be issued at par and bear varying interest rates on a fixed or floating basis. The net proceeds from the issuances of the notes are used for general working capital and other general corporate purposes. General corporate purposes may include, but are not limited to, the repayment of other debt and selective development, redevelopment, or acquisition of properties. Outstanding commercial paper notes have been included in revolving lines of credit and commercial paper on the Company’s condensed consolidated balance sheets. At June 30, 2026, there were $850,000 in issuances outstanding under the commercial paper program with a weighted-average maturity of 13 days.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EXTRA SPACE STORAGE INC.</w:t>
      </w:r>
    </w:p>
    <w:p>
      <w:pPr>
        <w:pStyle w:val="TextBody"/>
        <w:bidi w:val="0"/>
        <w:spacing w:lineRule="auto" w:line="288" w:before="0" w:after="0"/>
        <w:jc w:val="left"/>
        <w:rPr/>
      </w:pPr>
      <w:r>
        <w:rPr>
          <w:rFonts w:ascii="Times New Roman;serif" w:hAnsi="Times New Roman;serif"/>
          <w:b/>
          <w:color w:val="000000"/>
          <w:sz w:val="20"/>
        </w:rPr>
        <w:t>NOTES TO CONDENSED CONSOLIDATED FINANCIAL STATEMENTS</w:t>
      </w:r>
      <w:r>
        <w:rPr>
          <w:color w:val="000000"/>
        </w:rPr>
        <w:t xml:space="preserve"> </w:t>
      </w:r>
      <w:r>
        <w:rPr>
          <w:rFonts w:ascii="Times New Roman;serif" w:hAnsi="Times New Roman;serif"/>
          <w:b w:val="false"/>
          <w:color w:val="000000"/>
          <w:sz w:val="20"/>
        </w:rPr>
        <w:t>(unaudited)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Amounts in thousands, except store and share data, unless otherwise stated</w:t>
      </w:r>
    </w:p>
    <w:p>
      <w:pPr>
        <w:pStyle w:val="TextBody"/>
        <w:bidi w:val="0"/>
        <w:spacing w:lineRule="auto" w:line="288" w:before="240" w:after="24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All of the Company’s lines of credit and commercial paper are guaranteed by the Company. The following table presents information on the Company’s lines of credit and commercial paper for the periods indicated:</w:t>
      </w:r>
    </w:p>
    <w:tbl>
      <w:tblPr>
        <w:tblW w:w="10205" w:type="dxa"/>
        <w:jc w:val="left"/>
        <w:tblInd w:w="0" w:type="dxa"/>
        <w:tblLayout w:type="fixed"/>
        <w:tblCellMar>
          <w:top w:w="28" w:type="dxa"/>
          <w:left w:w="28" w:type="dxa"/>
          <w:bottom w:w="28" w:type="dxa"/>
          <w:right w:w="28" w:type="dxa"/>
        </w:tblCellMar>
      </w:tblPr>
      <w:tblGrid>
        <w:gridCol w:w="978"/>
        <w:gridCol w:w="824"/>
        <w:gridCol w:w="829"/>
        <w:gridCol w:w="238"/>
        <w:gridCol w:w="1104"/>
        <w:gridCol w:w="122"/>
        <w:gridCol w:w="121"/>
        <w:gridCol w:w="121"/>
        <w:gridCol w:w="121"/>
        <w:gridCol w:w="235"/>
        <w:gridCol w:w="1089"/>
        <w:gridCol w:w="121"/>
        <w:gridCol w:w="121"/>
        <w:gridCol w:w="121"/>
        <w:gridCol w:w="121"/>
        <w:gridCol w:w="328"/>
        <w:gridCol w:w="328"/>
        <w:gridCol w:w="330"/>
        <w:gridCol w:w="121"/>
        <w:gridCol w:w="121"/>
        <w:gridCol w:w="121"/>
        <w:gridCol w:w="121"/>
        <w:gridCol w:w="121"/>
        <w:gridCol w:w="322"/>
        <w:gridCol w:w="322"/>
        <w:gridCol w:w="324"/>
        <w:gridCol w:w="109"/>
        <w:gridCol w:w="109"/>
        <w:gridCol w:w="109"/>
        <w:gridCol w:w="335"/>
        <w:gridCol w:w="288"/>
        <w:gridCol w:w="430"/>
      </w:tblGrid>
      <w:tr>
        <w:trPr/>
        <w:tc>
          <w:tcPr>
            <w:tcW w:w="97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2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Revolving Lines of Credit and Commercial Paper</w:t>
            </w:r>
          </w:p>
        </w:tc>
        <w:tc>
          <w:tcPr>
            <w:tcW w:w="14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Drawn</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Capacity</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Rate</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Basis Rate </w:t>
            </w:r>
            <w:r>
              <w:rPr>
                <w:rFonts w:ascii="Times New Roman;serif" w:hAnsi="Times New Roman;serif"/>
                <w:b/>
                <w:color w:val="000000"/>
                <w:sz w:val="12"/>
              </w:rPr>
              <w:t>(1)</w:t>
            </w:r>
          </w:p>
        </w:tc>
      </w:tr>
      <w:tr>
        <w:trPr/>
        <w:tc>
          <w:tcPr>
            <w:tcW w:w="26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credit line</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140,000 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4.93%</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SOFR plus 1.25%</w:t>
            </w:r>
          </w:p>
        </w:tc>
      </w:tr>
      <w:tr>
        <w:trPr/>
        <w:tc>
          <w:tcPr>
            <w:tcW w:w="263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Unsecured credit line</w:t>
            </w:r>
            <w:r>
              <w:rPr>
                <w:color w:val="000000"/>
              </w:rPr>
              <w:t xml:space="preserve"> </w:t>
            </w:r>
            <w:r>
              <w:rPr>
                <w:rFonts w:ascii="Times New Roman;serif" w:hAnsi="Times New Roman;serif"/>
                <w:b w:val="false"/>
                <w:color w:val="000000"/>
                <w:sz w:val="13"/>
              </w:rPr>
              <w:t>(2)</w:t>
            </w:r>
          </w:p>
        </w:tc>
        <w:tc>
          <w:tcPr>
            <w:tcW w:w="13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767,000 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4.46%</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8/21/2029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SOFR plus 0.775%</w:t>
            </w:r>
          </w:p>
        </w:tc>
      </w:tr>
      <w:tr>
        <w:trPr/>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4.06% </w:t>
            </w:r>
            <w:r>
              <w:rPr>
                <w:rFonts w:ascii="Times New Roman;serif" w:hAnsi="Times New Roman;serif"/>
                <w:b w:val="false"/>
                <w:color w:val="000000"/>
                <w:sz w:val="13"/>
              </w:rPr>
              <w:t>(3)</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1,617,000 </w:t>
            </w:r>
          </w:p>
        </w:tc>
        <w:tc>
          <w:tcPr>
            <w:tcW w:w="12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4,140,000 </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5" w:type="dxa"/>
            <w:gridSpan w:val="2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 Daily Simple Secured Overnight Financing Rate (“SOFR”) for credit lines.</w:t>
            </w:r>
          </w:p>
        </w:tc>
        <w:tc>
          <w:tcPr>
            <w:tcW w:w="1380" w:type="dxa"/>
            <w:gridSpan w:val="6"/>
            <w:tcBorders/>
          </w:tcPr>
          <w:p>
            <w:pPr>
              <w:pStyle w:val="TableContents"/>
              <w:bidi w:val="0"/>
              <w:spacing w:before="0" w:after="283"/>
              <w:jc w:val="left"/>
              <w:rPr>
                <w:sz w:val="4"/>
                <w:szCs w:val="4"/>
              </w:rPr>
            </w:pPr>
            <w:r>
              <w:rPr>
                <w:sz w:val="4"/>
                <w:szCs w:val="4"/>
              </w:rPr>
            </w:r>
          </w:p>
        </w:tc>
      </w:tr>
      <w:tr>
        <w:trPr/>
        <w:tc>
          <w:tcPr>
            <w:tcW w:w="8825" w:type="dxa"/>
            <w:gridSpan w:val="2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 Basis Rate as of June 30, 2026. Rate is subject to change based on the Company’s investment grade rating.</w:t>
            </w:r>
          </w:p>
        </w:tc>
        <w:tc>
          <w:tcPr>
            <w:tcW w:w="1380" w:type="dxa"/>
            <w:gridSpan w:val="6"/>
            <w:tcBorders/>
          </w:tcPr>
          <w:p>
            <w:pPr>
              <w:pStyle w:val="TableContents"/>
              <w:bidi w:val="0"/>
              <w:spacing w:before="0" w:after="283"/>
              <w:jc w:val="left"/>
              <w:rPr>
                <w:sz w:val="4"/>
                <w:szCs w:val="4"/>
              </w:rPr>
            </w:pPr>
            <w:r>
              <w:rPr>
                <w:sz w:val="4"/>
                <w:szCs w:val="4"/>
              </w:rPr>
            </w:r>
          </w:p>
        </w:tc>
      </w:tr>
      <w:tr>
        <w:trPr/>
        <w:tc>
          <w:tcPr>
            <w:tcW w:w="8825" w:type="dxa"/>
            <w:gridSpan w:val="2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 Commercial paper interest rate is variable based on market rates at the time of each issuance. Therefore, interest rate shown in the table above is a weighted average interest rate.</w:t>
            </w:r>
          </w:p>
        </w:tc>
        <w:tc>
          <w:tcPr>
            <w:tcW w:w="1380" w:type="dxa"/>
            <w:gridSpan w:val="6"/>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Company's unsecured debt is not secured by any assets of the Company and is subject to certain financial covenants. As of June 30, 2026, the Company was in compliance with all of its financial covenants.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Company’s percentage of fixed-rate debt to total debt was 78.5%. The weighted average interest rates of the Company’s fixed and variable-rate debt were 4.3% and 4.6%, respectively. The combined weighted average interest rate was 4.3%.</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July 1, 2026, the Company paid off $600,000 aggregate principal amount of unsecured senior notes that matured on July 1, 2026. Additionally, on July 6, 2026, the Company completed an offering of $550,000 aggregate principal amount of unsecured senior notes that mature February 1, 2032.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11.    DERIVATIVES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is exposed to certain risk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debt funding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payments principally related to the Company’s borrowings.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Cash Flow Hedges of Interest Rate Risk</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Company’s objectives in using interest rate derivatives are to add stability to interest expense and to manage its exposure to interest rate movements. To accomplish these objectives, the Company primarily uses interest rate swaps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effective portion of changes in the fair value of derivatives designated and that qualify as cash flow hedges is recorded in accumulated other comprehensive income (“OCI”) and is subsequently reclassified into earnings in the period that the hedged forecasted transaction affects earnings. A portion of these changes is excluded from accumulated other comprehensive income as it is allocated to noncontrolling interests. During the three and six months ended June 30, 2026 and 2025, such derivatives were used to hedge the variable cash flows associated with existing variable-rate debt. In the next 12 months, the Company estimates that $549 will be reclassified as a decrease to interest expense. As of June 30, 2026, the Company held 5 active derivative financial instruments, which had a total current notional amount of $777,000.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EXTRA SPACE STORAGE INC.</w:t>
      </w:r>
    </w:p>
    <w:p>
      <w:pPr>
        <w:pStyle w:val="TextBody"/>
        <w:bidi w:val="0"/>
        <w:spacing w:lineRule="auto" w:line="288" w:before="0" w:after="0"/>
        <w:jc w:val="left"/>
        <w:rPr/>
      </w:pPr>
      <w:r>
        <w:rPr>
          <w:rFonts w:ascii="Times New Roman;serif" w:hAnsi="Times New Roman;serif"/>
          <w:b/>
          <w:color w:val="000000"/>
          <w:sz w:val="20"/>
        </w:rPr>
        <w:t>NOTES TO CONDENSED CONSOLIDATED FINANCIAL STATEMENTS</w:t>
      </w:r>
      <w:r>
        <w:rPr>
          <w:color w:val="000000"/>
        </w:rPr>
        <w:t xml:space="preserve"> </w:t>
      </w:r>
      <w:r>
        <w:rPr>
          <w:rFonts w:ascii="Times New Roman;serif" w:hAnsi="Times New Roman;serif"/>
          <w:b w:val="false"/>
          <w:color w:val="000000"/>
          <w:sz w:val="20"/>
        </w:rPr>
        <w:t>(unaudited)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Amounts in thousands, except store and share data, unless otherwise stated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Fair Values of Derivative Instruments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fair values of the Company’s derivative financial instruments as well as their classification on the condensed consolidated balance sheets:</w:t>
      </w:r>
    </w:p>
    <w:tbl>
      <w:tblPr>
        <w:tblW w:w="6746" w:type="dxa"/>
        <w:jc w:val="left"/>
        <w:tblInd w:w="0" w:type="dxa"/>
        <w:tblLayout w:type="fixed"/>
        <w:tblCellMar>
          <w:top w:w="28" w:type="dxa"/>
          <w:left w:w="28" w:type="dxa"/>
          <w:bottom w:w="28" w:type="dxa"/>
          <w:right w:w="28" w:type="dxa"/>
        </w:tblCellMar>
      </w:tblPr>
      <w:tblGrid>
        <w:gridCol w:w="1359"/>
        <w:gridCol w:w="1192"/>
        <w:gridCol w:w="1199"/>
        <w:gridCol w:w="253"/>
        <w:gridCol w:w="741"/>
        <w:gridCol w:w="131"/>
        <w:gridCol w:w="109"/>
        <w:gridCol w:w="109"/>
        <w:gridCol w:w="109"/>
        <w:gridCol w:w="332"/>
        <w:gridCol w:w="970"/>
        <w:gridCol w:w="242"/>
      </w:tblGrid>
      <w:tr>
        <w:trPr/>
        <w:tc>
          <w:tcPr>
            <w:tcW w:w="135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 / Liability Derivatives</w:t>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designated as hedging instruments:</w:t>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Effect of Derivative Instruments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effect of the Company’s derivative financial instruments on the condensed consolidated statements of operations for the periods presented. No tax effect has been presented as the derivative instruments are held by the Company:</w:t>
      </w:r>
    </w:p>
    <w:tbl>
      <w:tblPr>
        <w:tblW w:w="10205" w:type="dxa"/>
        <w:jc w:val="left"/>
        <w:tblInd w:w="0" w:type="dxa"/>
        <w:tblLayout w:type="fixed"/>
        <w:tblCellMar>
          <w:top w:w="28" w:type="dxa"/>
          <w:left w:w="28" w:type="dxa"/>
          <w:bottom w:w="28" w:type="dxa"/>
          <w:right w:w="28" w:type="dxa"/>
        </w:tblCellMar>
      </w:tblPr>
      <w:tblGrid>
        <w:gridCol w:w="447"/>
        <w:gridCol w:w="391"/>
        <w:gridCol w:w="398"/>
        <w:gridCol w:w="293"/>
        <w:gridCol w:w="855"/>
        <w:gridCol w:w="151"/>
        <w:gridCol w:w="151"/>
        <w:gridCol w:w="151"/>
        <w:gridCol w:w="151"/>
        <w:gridCol w:w="293"/>
        <w:gridCol w:w="944"/>
        <w:gridCol w:w="151"/>
        <w:gridCol w:w="109"/>
        <w:gridCol w:w="109"/>
        <w:gridCol w:w="109"/>
        <w:gridCol w:w="646"/>
        <w:gridCol w:w="646"/>
        <w:gridCol w:w="648"/>
        <w:gridCol w:w="109"/>
        <w:gridCol w:w="109"/>
        <w:gridCol w:w="109"/>
        <w:gridCol w:w="303"/>
        <w:gridCol w:w="887"/>
        <w:gridCol w:w="156"/>
        <w:gridCol w:w="156"/>
        <w:gridCol w:w="156"/>
        <w:gridCol w:w="156"/>
        <w:gridCol w:w="303"/>
        <w:gridCol w:w="887"/>
        <w:gridCol w:w="231"/>
      </w:tblGrid>
      <w:tr>
        <w:trPr/>
        <w:tc>
          <w:tcPr>
            <w:tcW w:w="44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 (loss) recognized in OCI 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 of amounts reclassified from OCI into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 (loss) reclassified from OCI for the Three Months Ended June 30,</w:t>
            </w:r>
          </w:p>
        </w:tc>
      </w:tr>
      <w:tr>
        <w:trPr/>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Type</w:t>
            </w:r>
          </w:p>
        </w:tc>
        <w:tc>
          <w:tcPr>
            <w:tcW w:w="12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Swap Agreements</w:t>
            </w:r>
          </w:p>
        </w:tc>
        <w:tc>
          <w:tcPr>
            <w:tcW w:w="2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3,186 </w:t>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 (loss) recognized in OCI 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 of amounts reclassified from OCI into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 (loss) reclassified from OCI for the Six Months Ended June 30,</w:t>
            </w:r>
          </w:p>
        </w:tc>
      </w:tr>
      <w:tr>
        <w:trPr/>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Type</w:t>
            </w:r>
          </w:p>
        </w:tc>
        <w:tc>
          <w:tcPr>
            <w:tcW w:w="12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Swap Agreements</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6,668 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erif" w:hAnsi="Times New Roman;serif"/>
          <w:b/>
          <w:color w:val="000000"/>
          <w:sz w:val="20"/>
        </w:rPr>
      </w:pPr>
      <w:r>
        <w:rPr>
          <w:rFonts w:ascii="Times New Roman;serif" w:hAnsi="Times New Roman;serif"/>
          <w:b/>
          <w:color w:val="000000"/>
          <w:sz w:val="20"/>
        </w:rPr>
        <w:t>Credit-Risk-Related Contingent Features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has agreements with some of its derivative counterparties that contain provisions pursuant to which the Company could be declared in default of its derivative obligations if the Company defaults on any of its indebtedness, including default where repayment of the indebtedness has not been accelerated by the lender.</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also has an agreement with some of its derivative counterparties that incorporates the loan covenant provisions of the Company’s indebtedness with a lender affiliate of the derivative counterparty. Failure to comply with the loan covenant provisions would result in the Company being in default on any derivative instrument obligations covered by the agreement.</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not posted any collateral related to these agreements. If the Company had breached any of these provisions as of June 30, 2026, it could have been required to cash settle its obligations under these agreements at their termination value.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12.    STOCKHOLDERS’ EQUITY</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April 15, 2024, the Company filed its $800,000 “at the market” equity program with the SEC using a shelf registration statement on Form S-3, and entered into an equity distribution agreement with nine sales agents. No shares have been sold under the current “at the market” equity program.</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November 13, 2023, the Company’s board of directors authorized a share repurchase program allowing for the repurchase of shares with an aggregate value up to $500,000. During the year ended December 31, 2025, the Company repurchased 1,158,244 shares at an average price of $129.10 per share, paying a total of $149,525. During the six months ended June 30, 2026, the Company repurchased 11,109 shares at an average price of $129.80 per share, paying a total of $1,442. As of June 30, 2026, the Company had remaining authorization to repurchase shares with an aggregate value up to $349,033.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EXTRA SPACE STORAGE INC.</w:t>
      </w:r>
    </w:p>
    <w:p>
      <w:pPr>
        <w:pStyle w:val="TextBody"/>
        <w:bidi w:val="0"/>
        <w:spacing w:lineRule="auto" w:line="288" w:before="0" w:after="0"/>
        <w:jc w:val="left"/>
        <w:rPr/>
      </w:pPr>
      <w:r>
        <w:rPr>
          <w:rFonts w:ascii="Times New Roman;serif" w:hAnsi="Times New Roman;serif"/>
          <w:b/>
          <w:color w:val="000000"/>
          <w:sz w:val="20"/>
        </w:rPr>
        <w:t>NOTES TO CONDENSED CONSOLIDATED FINANCIAL STATEMENTS</w:t>
      </w:r>
      <w:r>
        <w:rPr>
          <w:color w:val="000000"/>
        </w:rPr>
        <w:t xml:space="preserve"> </w:t>
      </w:r>
      <w:r>
        <w:rPr>
          <w:rFonts w:ascii="Times New Roman;serif" w:hAnsi="Times New Roman;serif"/>
          <w:b w:val="false"/>
          <w:color w:val="000000"/>
          <w:sz w:val="20"/>
        </w:rPr>
        <w:t>(unaudited)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Amounts in thousands, except store and share data, unless otherwise stated</w:t>
      </w: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13.    NONCONTROLLING INTEREST REPRESENTED BY PREFERRED OPERATING PARTNERSHIP UNITS</w:t>
      </w:r>
    </w:p>
    <w:p>
      <w:pPr>
        <w:pStyle w:val="TextBody"/>
        <w:bidi w:val="0"/>
        <w:spacing w:lineRule="auto" w:line="288" w:before="240" w:after="283"/>
        <w:ind w:left="0" w:right="0" w:hanging="720"/>
        <w:jc w:val="left"/>
        <w:rPr>
          <w:rFonts w:ascii="Times New Roman;serif" w:hAnsi="Times New Roman;serif"/>
          <w:b w:val="false"/>
          <w:i/>
          <w:color w:val="000000"/>
          <w:sz w:val="20"/>
        </w:rPr>
      </w:pPr>
      <w:r>
        <w:rPr>
          <w:rFonts w:ascii="Times New Roman;serif" w:hAnsi="Times New Roman;serif"/>
          <w:b w:val="false"/>
          <w:i/>
          <w:color w:val="000000"/>
          <w:sz w:val="20"/>
        </w:rPr>
        <w:t>Classification of Noncontrolling Interests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has evaluated the terms of the Operating Partnership’s preferred units and classifies the noncontrolling interest represented by such preferred units as stockholders’ equity in the accompanying condensed consolidated balance sheets. The Company will periodically evaluate individual noncontrolling interests for the ability to continue to recognize the noncontrolling interest as permanent equity in the condensed consolidated balance sheets. Any noncontrolling interests that fail to qualify as permanent equity will be reclassified as temporary equity and adjusted to the greater of (1) the carrying amount, or (2) its redemption value as of the end of the period in which the determination is made.</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June 30, 2026 and December 31, 2025, the noncontrolling interests represented by the Preferred OP Units qualified for classification as permanent equity on the Company’s condensed consolidated balance sheets. The partnership agreement of the Operating Partnership (as amended, the “Partnership Agreement”) provides for the designation and issuance of the OP Units. The balances for each of the specific Preferred OP Units as presented in the Statements of Noncontrolling Interests and Equity as of the periods indicated are as follows:</w:t>
      </w:r>
    </w:p>
    <w:p>
      <w:pPr>
        <w:pStyle w:val="TextBody"/>
        <w:bidi w:val="0"/>
        <w:spacing w:before="0" w:after="0"/>
        <w:jc w:val="center"/>
        <w:rPr/>
      </w:pPr>
      <w:r>
        <w:rPr/>
      </w:r>
    </w:p>
    <w:tbl>
      <w:tblPr>
        <w:tblW w:w="4331" w:type="dxa"/>
        <w:jc w:val="center"/>
        <w:tblInd w:w="0" w:type="dxa"/>
        <w:tblLayout w:type="fixed"/>
        <w:tblCellMar>
          <w:top w:w="28" w:type="dxa"/>
          <w:left w:w="28" w:type="dxa"/>
          <w:bottom w:w="28" w:type="dxa"/>
          <w:right w:w="28" w:type="dxa"/>
        </w:tblCellMar>
      </w:tblPr>
      <w:tblGrid>
        <w:gridCol w:w="455"/>
        <w:gridCol w:w="400"/>
        <w:gridCol w:w="404"/>
        <w:gridCol w:w="234"/>
        <w:gridCol w:w="800"/>
        <w:gridCol w:w="121"/>
        <w:gridCol w:w="109"/>
        <w:gridCol w:w="109"/>
        <w:gridCol w:w="109"/>
        <w:gridCol w:w="309"/>
        <w:gridCol w:w="1056"/>
        <w:gridCol w:w="225"/>
      </w:tblGrid>
      <w:tr>
        <w:trPr/>
        <w:tc>
          <w:tcPr>
            <w:tcW w:w="45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B Units</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33,567 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33,567 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D Units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47,827 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53,827 </w:t>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Series A Participating Redeemable Preferred Units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Partnership Agreement provides for the designation and issuance of the Series A Units. The Series A Units have priority over all other partnership interests of the Operating Partnership with respect to distributions and liquidation. As of June 30, 2026 and December 31, 2025, there were no outstanding Series A Units.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Series B Redeemable Preferred Units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Partnership Agreement provides for the designation and issuance of the Series B Units. The Series B Units rank junior to the Series A Units, on parity with the Series C Units and Series D Units, and senior to all other partnership interests of the Operating Partnership with respect to distributions and liquidation.</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Series B Units were issued in 2013 and 2014. The Series B Units have a liquidation value of $25.00 per unit for a fixed liquidation value of $33,567 which represents 1,342,727 Series B Units outstanding at June 30, 2026. Holders of the Series B Units receive distributions at an annual rate of 6.0%. These distributions are cumulative. The Series B Units became redeemable at the option of the holder on the first anniversary of the date of issuance, which redemption obligation may be satisfied at the Company’s option in cash or shares of its common stock.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Series C Redeemable Preferred Units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Partnership Agreement provides for the designation and issuance of the Series C Units. The Series C Units ranked junior to the Series A Units, on parity with the Series B Units and Series D Units, and senior to all other partnership interests of the Operating Partnership with respect to distributions and liquidation. As of June 30, 2026 and December 31, 2025, there were no outstanding Series C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EXTRA SPACE STORAGE INC.</w:t>
      </w:r>
    </w:p>
    <w:p>
      <w:pPr>
        <w:pStyle w:val="TextBody"/>
        <w:bidi w:val="0"/>
        <w:spacing w:lineRule="auto" w:line="288" w:before="0" w:after="0"/>
        <w:jc w:val="left"/>
        <w:rPr/>
      </w:pPr>
      <w:r>
        <w:rPr>
          <w:rFonts w:ascii="Times New Roman;serif" w:hAnsi="Times New Roman;serif"/>
          <w:b/>
          <w:color w:val="000000"/>
          <w:sz w:val="20"/>
        </w:rPr>
        <w:t>NOTES TO CONDENSED CONSOLIDATED FINANCIAL STATEMENTS</w:t>
      </w:r>
      <w:r>
        <w:rPr>
          <w:color w:val="000000"/>
        </w:rPr>
        <w:t xml:space="preserve"> </w:t>
      </w:r>
      <w:r>
        <w:rPr>
          <w:rFonts w:ascii="Times New Roman;serif" w:hAnsi="Times New Roman;serif"/>
          <w:b w:val="false"/>
          <w:color w:val="000000"/>
          <w:sz w:val="20"/>
        </w:rPr>
        <w:t>(unaudited)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Amounts in thousands, except store and share data, unless otherwise stated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Series D Redeemable Preferred Units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Partnership Agreement provides for the designation and issuance of the Series D Units. The Series D Units rank junior to the Series A Units, on parity with the Series B Units and Series C Units, and senior to all other partnership interests of the Operating Partnership with respect to distributions and liquidation.</w:t>
      </w:r>
    </w:p>
    <w:p>
      <w:pPr>
        <w:pStyle w:val="TextBody"/>
        <w:bidi w:val="0"/>
        <w:spacing w:lineRule="auto" w:line="288" w:before="240" w:after="283"/>
        <w:ind w:left="0" w:right="0" w:firstLine="495"/>
        <w:jc w:val="left"/>
        <w:rPr/>
      </w:pPr>
      <w:r>
        <w:rPr>
          <w:rFonts w:ascii="Times New Roman;serif" w:hAnsi="Times New Roman;serif"/>
          <w:b w:val="false"/>
          <w:color w:val="000000"/>
          <w:sz w:val="20"/>
        </w:rPr>
        <w:t>The Series D Units have a liquidation value of $25.00</w:t>
      </w:r>
      <w:r>
        <w:rPr>
          <w:color w:val="FF0000"/>
        </w:rPr>
        <w:t xml:space="preserve"> </w:t>
      </w:r>
      <w:r>
        <w:rPr>
          <w:rFonts w:ascii="Times New Roman;serif" w:hAnsi="Times New Roman;serif"/>
          <w:b w:val="false"/>
          <w:color w:val="000000"/>
          <w:sz w:val="20"/>
        </w:rPr>
        <w:t>per unit, for a fixed liquidation value of $14,260, which represents 570,395 Series D Units outstanding at June 30, 2026. Holders of the Series D Units receive distributions at an annual rate between 4.0% and 5.0%. These distributions are cumulative. The Series D Units become redeemable at the option of the holder on the first anniversary of the date of issuance, which redemption obligation may be satisfied at the Company’s option in cash or shares of its common stock. In addition, certain of the Series D Units are exchangeable for OP Units at the option of the holder until the tenth anniversary of the date of issuance, with the number of OP Units to be issued equal to $25.00 per Series D Unit, divided by the value of a share of common stock as of the exchange date.</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240,000 Series D Units were redeemed for $6,000 in cash.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14.    NONCONTROLLING INTEREST IN OPERATING PARTNERSHIP AND OTHER NONCONTROLLING INTERESTS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Noncontrolling Interest in Operating Partnership</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Company’s interest in its stores is held through the Operating Partnership. Between its general partner and limited partner interests, the Company held a 95.6% ownership interest in the Operating Partnership as of June 30, 2026. The remaining ownership interests in the Operating Partnership (including Preferred OP Units) of 4.4% are held by certain former owners of assets acquired by the Operating Partnership. As of December 31, 2025, the noncontrolling interest in the Operating Partnership is shown on the balance sheet net of a note receivable of $50,000 because a borrower under the note receivable was also a holder of OP Units. This note receivable originated in December 2024, bore interest at 10% per annum and was settled in June 2026.</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noncontrolling interest in the Operating Partnership represents OP Units that are not owned by the Company. OP Units are redeemable at the option of the holder, which redemption may be satisfied at the Company’s option in cash, based upon the fair market value of an equivalent number of shares of the Company’s common stock (based on the ten-day average trading price) at the time of the redemption, or shares of the Company’s common stock on a one-for-one basis, subject to anti-dilution adjustments provided in the Partnership Agreement. As of June 30, 2026, the ten-day average closing price of the Company’s common stock was $146.53 and there were 9,379,076 OP Units outstanding. Assuming that all of the OP Unit holders exercised their right to redeem all of their OP Units on June 30, 2026 and the Company elected to pay the OP Unit holders cash, the Company would have paid $1,374,316 in cash consideration to redeem the units.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OP Unit activity is summarized as follows for the periods presented:</w:t>
      </w:r>
    </w:p>
    <w:tbl>
      <w:tblPr>
        <w:tblW w:w="7688" w:type="dxa"/>
        <w:jc w:val="left"/>
        <w:tblInd w:w="0" w:type="dxa"/>
        <w:tblLayout w:type="fixed"/>
        <w:tblCellMar>
          <w:top w:w="28" w:type="dxa"/>
          <w:left w:w="28" w:type="dxa"/>
          <w:bottom w:w="28" w:type="dxa"/>
          <w:right w:w="28" w:type="dxa"/>
        </w:tblCellMar>
      </w:tblPr>
      <w:tblGrid>
        <w:gridCol w:w="1742"/>
        <w:gridCol w:w="1534"/>
        <w:gridCol w:w="1539"/>
        <w:gridCol w:w="270"/>
        <w:gridCol w:w="790"/>
        <w:gridCol w:w="139"/>
        <w:gridCol w:w="139"/>
        <w:gridCol w:w="139"/>
        <w:gridCol w:w="139"/>
        <w:gridCol w:w="270"/>
        <w:gridCol w:w="790"/>
        <w:gridCol w:w="197"/>
      </w:tblGrid>
      <w:tr>
        <w:trPr/>
        <w:tc>
          <w:tcPr>
            <w:tcW w:w="1742"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 Units redeemed for common stock</w:t>
            </w:r>
          </w:p>
        </w:tc>
        <w:tc>
          <w:tcPr>
            <w:tcW w:w="10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41,978 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 Units redeemed for cash</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53,914 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OP Units redeemed</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 Units issued in conjunction with acquisitions</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37,886 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Value of OP Units issued in conjunction with acquisitions</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EXTRA SPACE STORAGE INC.</w:t>
      </w:r>
    </w:p>
    <w:p>
      <w:pPr>
        <w:pStyle w:val="TextBody"/>
        <w:bidi w:val="0"/>
        <w:spacing w:lineRule="auto" w:line="288" w:before="0" w:after="0"/>
        <w:jc w:val="left"/>
        <w:rPr/>
      </w:pPr>
      <w:r>
        <w:rPr>
          <w:rFonts w:ascii="Times New Roman;serif" w:hAnsi="Times New Roman;serif"/>
          <w:b/>
          <w:color w:val="000000"/>
          <w:sz w:val="20"/>
        </w:rPr>
        <w:t>NOTES TO CONDENSED CONSOLIDATED FINANCIAL STATEMENTS</w:t>
      </w:r>
      <w:r>
        <w:rPr>
          <w:color w:val="000000"/>
        </w:rPr>
        <w:t xml:space="preserve"> </w:t>
      </w:r>
      <w:r>
        <w:rPr>
          <w:rFonts w:ascii="Times New Roman;serif" w:hAnsi="Times New Roman;serif"/>
          <w:b w:val="false"/>
          <w:color w:val="000000"/>
          <w:sz w:val="20"/>
        </w:rPr>
        <w:t>(unaudited)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Amounts in thousands, except store and share data, unless otherwise stated</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has evaluated the terms of the OP Units and classifies the noncontrolling interest represented by the OP Units as stockholders’ equity in the accompanying condensed consolidated balance sheets. The Company will periodically evaluate individual noncontrolling interests for the ability to continue to recognize the noncontrolling amount as permanent equity in the condensed consolidated balance sheets. Any noncontrolling interests that fail to qualify as permanent equity will be reclassified as temporary equity and adjusted to the greater of (1) the carrying amount, or (2) its redemption value as of the end of the period in which the determination is made.</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Other Noncontrolling Interests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Other noncontrolling interests represent the ownership interest of partners in 11 consolidated joint ventures as of June 30, 2026. There are a total of 15 stores in these consolidated joint ventures, 11 of which are operating and four of which are under development. The voting interests of the partners are 25.0% or less.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Based on the facts and circumstances of each of the Company’s joint ventures, the Company determined that no joint venture qualified as a variable interest entity (“VIE”) as of June 30, 2026 in accordance with ASC 810, “Consolidation.”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15.    SEGMENT INFORMATION</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Company’s segment disclosures present the measure used by the chief operating decision maker (“CODM”) for purposes of assessing each segment’s performance. The Company’s CODM is its Executive Committee (“EC”), which uses net operating income (“NOI”) to assess the performance of the business for the Company’s reportable operating segments. The EC is comprised of the Chief Executive Officer, President, Chief Financial Officer, Chief Investment Officer, Chief Digital Officer, Chief Operations Officer, and Chief Legal Officer. The Company’s segments are comprised of two reportable segments: (1) self-storage operations and (2) tenant reinsurance. NOI for the Company’s self-storage operations represents total property revenue less direct property operating expenses. NOI for the Company’s tenant reinsurance segment represents tenant reinsurance revenue less tenant reinsurance expenses.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consolidated revenues equal total segment revenues plus management fees and other income. The self-storage operations activities include rental operations of stores that are wholly-owned and in consolidated joint ventures. Tenant reinsurance activities include the reinsurance of risks relating to the loss of goods stored by tenants in the stores operated by the Company. Management fees and other income is excluded from segment revenues and net operating income.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CODM regularly reviews NOI to assess the performance of each segment and makes decisions about resources to be allocated to each segment. As part of this process, the CODM approves each operating segment’s budget, determines allocation of funds for capital expenditures, and reviews discrete financial information on a quarterly basis. Based on each segment’s budgeted operating revenues and expenses, resources are allocated to each segment, and these budgeted amounts comprising NOI are compared against actual segment performance.</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For all periods presented, substantially all of the Company’s real estate assets, intangible assets, other assets, and accrued and other liabilities are associated with the self-storage operations segment. Financial information for the Company’s business segments is set forth below: </w:t>
      </w:r>
    </w:p>
    <w:tbl>
      <w:tblPr>
        <w:tblW w:w="10205" w:type="dxa"/>
        <w:jc w:val="center"/>
        <w:tblInd w:w="0" w:type="dxa"/>
        <w:tblLayout w:type="fixed"/>
        <w:tblCellMar>
          <w:top w:w="28" w:type="dxa"/>
          <w:left w:w="28" w:type="dxa"/>
          <w:bottom w:w="28" w:type="dxa"/>
          <w:right w:w="28" w:type="dxa"/>
        </w:tblCellMar>
      </w:tblPr>
      <w:tblGrid>
        <w:gridCol w:w="1511"/>
        <w:gridCol w:w="1176"/>
        <w:gridCol w:w="1193"/>
        <w:gridCol w:w="217"/>
        <w:gridCol w:w="853"/>
        <w:gridCol w:w="112"/>
        <w:gridCol w:w="112"/>
        <w:gridCol w:w="112"/>
        <w:gridCol w:w="112"/>
        <w:gridCol w:w="217"/>
        <w:gridCol w:w="853"/>
        <w:gridCol w:w="112"/>
        <w:gridCol w:w="109"/>
        <w:gridCol w:w="109"/>
        <w:gridCol w:w="109"/>
        <w:gridCol w:w="211"/>
        <w:gridCol w:w="976"/>
        <w:gridCol w:w="109"/>
        <w:gridCol w:w="109"/>
        <w:gridCol w:w="109"/>
        <w:gridCol w:w="109"/>
        <w:gridCol w:w="211"/>
        <w:gridCol w:w="976"/>
        <w:gridCol w:w="109"/>
        <w:gridCol w:w="109"/>
        <w:gridCol w:w="109"/>
        <w:gridCol w:w="161"/>
      </w:tblGrid>
      <w:tr>
        <w:trPr/>
        <w:tc>
          <w:tcPr>
            <w:tcW w:w="151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Self-Storage Operations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746,164 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721,004 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Tenant Reinsurance</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88,572 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revenues</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839,248 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809,576 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1,661,580 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1,598,668 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Self-Storage Operations:</w:t>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benefits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44,590 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45,153 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Office expense </w:t>
            </w:r>
            <w:r>
              <w:rPr>
                <w:rFonts w:ascii="Times New Roman;serif" w:hAnsi="Times New Roman;serif"/>
                <w:b w:val="false"/>
                <w:color w:val="000000"/>
                <w:sz w:val="13"/>
              </w:rPr>
              <w:t>(1)</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Property operating expense </w:t>
            </w:r>
            <w:r>
              <w:rPr>
                <w:rFonts w:ascii="Times New Roman;serif" w:hAnsi="Times New Roman;serif"/>
                <w:b w:val="false"/>
                <w:color w:val="000000"/>
                <w:sz w:val="13"/>
              </w:rPr>
              <w:t>(1)</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34,168 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34,565 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Repairs and maintenance</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taxes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87,035 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82,359 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(2)</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self-storage operations expenses</w:t>
            </w:r>
          </w:p>
        </w:tc>
        <w:tc>
          <w:tcPr>
            <w:tcW w:w="10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231,718 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227,621 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451,203 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Tenant Reinsurance:</w:t>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Tenant reinsurance expense and other segment items </w:t>
            </w:r>
            <w:r>
              <w:rPr>
                <w:rFonts w:ascii="Times New Roman;serif" w:hAnsi="Times New Roman;serif"/>
                <w:b w:val="false"/>
                <w:color w:val="000000"/>
                <w:sz w:val="13"/>
              </w:rPr>
              <w:t>(3)</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operating expenses</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249,043 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244,566 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505,213 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485,264 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operating income</w:t>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Self-Storage Operations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514,446 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493,383 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Tenant Reinsurance</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75,759 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net operating income:</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590,205 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565,010 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1,156,367 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1,113,404 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components of net income:</w:t>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fees and other income</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(47,315)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(185,610)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(177,266)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real estate assets held for sale and sold, net</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(146,720)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(146,128)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related to amortization of discount on unsecured senior notes, net</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38,777 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and dividend income from unconsolidated real estate entities</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real estate ventures - gain on sale of a joint venture interest</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275,879 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262,716 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528,299 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826"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 Amounts related to lease expense have been reclassified from Office expense to Property operating expense for the three and six months ended June 30, 2025 for comparability.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826"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 Other segment items for the Self-Storage Operations segment include miscellaneous items such as legal and professional fees, capital expenditures, taxes, and casualty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826"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 Tenant reinsurance expense and other segment items for the Tenant Reinsurance segment include claims expense, acquisition costs, claims service fees, and miscellaneous administrative items.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EXTRA SPACE STORAGE INC.</w:t>
      </w:r>
    </w:p>
    <w:p>
      <w:pPr>
        <w:pStyle w:val="TextBody"/>
        <w:bidi w:val="0"/>
        <w:spacing w:lineRule="auto" w:line="288" w:before="0" w:after="0"/>
        <w:jc w:val="left"/>
        <w:rPr/>
      </w:pPr>
      <w:r>
        <w:rPr>
          <w:rFonts w:ascii="Times New Roman;serif" w:hAnsi="Times New Roman;serif"/>
          <w:b/>
          <w:color w:val="000000"/>
          <w:sz w:val="20"/>
        </w:rPr>
        <w:t>NOTES TO CONDENSED CONSOLIDATED FINANCIAL STATEMENTS</w:t>
      </w:r>
      <w:r>
        <w:rPr>
          <w:color w:val="000000"/>
        </w:rPr>
        <w:t xml:space="preserve"> </w:t>
      </w:r>
      <w:r>
        <w:rPr>
          <w:rFonts w:ascii="Times New Roman;serif" w:hAnsi="Times New Roman;serif"/>
          <w:b w:val="false"/>
          <w:color w:val="000000"/>
          <w:sz w:val="20"/>
        </w:rPr>
        <w:t>(unaudited) (continued)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Amounts in thousands, except store and share data, unless otherwise stated</w:t>
      </w: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16.    COMMITMENTS AND CONTINGENCIES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was under agreement to acquire one store for a total purchase price of $14,200, which is scheduled to close in 2026.</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was under agreement to originate $54,960 in bridge loans in 2026 and $31,300 in 2027.</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was involved in various legal proceedings and was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The Company could incur judgments or enter into settlements of claims in the future that could have a material adverse effect on its results of operations in any particular period, notwithstanding the fact that the Company is currently vigorously defending any legal proceedings against it.</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Although there can be no assurance, the Company is not aware of any material environmental liability, for which it believes it will be ultimately responsible, that could have a material adverse effect on its financial condition or results of operations. However, changes in applicable environmental laws and regulations, the uses and conditions of properties in the vicinity of the Company’s properties, the activities of its tenants and other environmental conditions of which the Company is unaware with respect to its properties could result in future material environmental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CAUTIONARY LANGUAGE</w:t>
      </w:r>
    </w:p>
    <w:p>
      <w:pPr>
        <w:pStyle w:val="TextBody"/>
        <w:bidi w:val="0"/>
        <w:spacing w:lineRule="auto" w:line="288" w:before="240" w:after="283"/>
        <w:ind w:left="0" w:right="0" w:firstLine="495"/>
        <w:jc w:val="left"/>
        <w:rPr/>
      </w:pPr>
      <w:r>
        <w:rPr>
          <w:rFonts w:ascii="Times New Roman;serif" w:hAnsi="Times New Roman;serif"/>
          <w:b w:val="false"/>
          <w:color w:val="000000"/>
          <w:sz w:val="20"/>
        </w:rPr>
        <w:t xml:space="preserve">The following discussion and analysis should be read in conjunction with our unaudited </w:t>
      </w:r>
      <w:r>
        <w:rPr>
          <w:color w:val="000000"/>
        </w:rPr>
        <w:t>“</w:t>
      </w:r>
      <w:r>
        <w:rPr>
          <w:rFonts w:ascii="Times New Roman;serif" w:hAnsi="Times New Roman;serif"/>
          <w:b w:val="false"/>
          <w:i/>
          <w:color w:val="000000"/>
          <w:sz w:val="20"/>
        </w:rPr>
        <w:t>Condensed Consolidated Financial Statements”</w:t>
      </w:r>
      <w:r>
        <w:rPr>
          <w:color w:val="000000"/>
        </w:rPr>
        <w:t xml:space="preserve"> </w:t>
      </w:r>
      <w:r>
        <w:rPr>
          <w:rFonts w:ascii="Times New Roman;serif" w:hAnsi="Times New Roman;serif"/>
          <w:b w:val="false"/>
          <w:color w:val="000000"/>
          <w:sz w:val="20"/>
        </w:rPr>
        <w:t>and the “</w:t>
      </w:r>
      <w:r>
        <w:rPr>
          <w:rFonts w:ascii="Times New Roman;serif" w:hAnsi="Times New Roman;serif"/>
          <w:b w:val="false"/>
          <w:i/>
          <w:color w:val="000000"/>
          <w:sz w:val="20"/>
        </w:rPr>
        <w:t>Notes to Condensed Consolidated Financial Statements (unaudited)”</w:t>
      </w:r>
      <w:r>
        <w:rPr>
          <w:color w:val="000000"/>
        </w:rPr>
        <w:t xml:space="preserve"> </w:t>
      </w:r>
      <w:r>
        <w:rPr>
          <w:rFonts w:ascii="Times New Roman;serif" w:hAnsi="Times New Roman;serif"/>
          <w:b w:val="false"/>
          <w:color w:val="000000"/>
          <w:sz w:val="20"/>
        </w:rPr>
        <w:t xml:space="preserve">appearing elsewhere in this report and the </w:t>
      </w:r>
      <w:r>
        <w:rPr>
          <w:color w:val="000000"/>
        </w:rPr>
        <w:t>“</w:t>
      </w:r>
      <w:r>
        <w:rPr>
          <w:rFonts w:ascii="Times New Roman;serif" w:hAnsi="Times New Roman;serif"/>
          <w:b w:val="false"/>
          <w:i/>
          <w:color w:val="000000"/>
          <w:sz w:val="20"/>
        </w:rPr>
        <w:t>Consolidated Financial Statements,” “Notes to Consolidated Financial Statements”</w:t>
      </w:r>
      <w:r>
        <w:rPr>
          <w:color w:val="000000"/>
        </w:rPr>
        <w:t xml:space="preserve"> </w:t>
      </w:r>
      <w:r>
        <w:rPr>
          <w:rFonts w:ascii="Times New Roman;serif" w:hAnsi="Times New Roman;serif"/>
          <w:b w:val="false"/>
          <w:color w:val="000000"/>
          <w:sz w:val="20"/>
        </w:rPr>
        <w:t xml:space="preserve">and </w:t>
      </w:r>
      <w:r>
        <w:rPr>
          <w:color w:val="000000"/>
        </w:rPr>
        <w:t>“</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contained in our Form 10-K for the year ended December 31, 2025. We make statements in this section that are forward-looking statements within the meaning of the federal securities laws. For a complete discussion of forward-looking statements, see the section in this Form 10-Q entitled “</w:t>
      </w:r>
      <w:r>
        <w:rPr>
          <w:rFonts w:ascii="Times New Roman;serif" w:hAnsi="Times New Roman;serif"/>
          <w:b w:val="false"/>
          <w:i/>
          <w:color w:val="000000"/>
          <w:sz w:val="20"/>
        </w:rPr>
        <w:t>Statement on Forward-Looking Information</w:t>
      </w:r>
      <w:r>
        <w:rPr>
          <w:rFonts w:ascii="Times New Roman;serif" w:hAnsi="Times New Roman;serif"/>
          <w:b w:val="false"/>
          <w:color w:val="00000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discussion and analysis of our financial condition and results of operations are based on our unaudited condensed consolidated financial statements contained elsewhere in this report, which have been prepared in accordance with U.S. generally accepted accounting principles (“GAAP”). Our notes to the unaudited condensed consolidated financial statements contained elsewhere in this report and the audited financial statements contained in our Form 10-K for the year ended December 31, 2025 describe the significant accounting policies essential to our unaudited condensed consolidated financial statements. Preparation of our financial statements requires estimates, judgments and assumptions. We believe that the estimates, judgments and assumptions that we have used are appropriate and correct based on information available at the time they were made. These estimates, judgments and assumptions can affect our reported assets and liabilities as of the date of the financial statements, as well as the reported revenues and expenses during the period presented. If there are material differences between these estimates, judgments and assumptions and actual facts, our financial statements may be affected.</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many cases, the accounting treatment of a particular transaction is specifically dictated by GAAP and does not require our judgment in its application. There are areas in which our judgment in selecting among available alternatives would not produce a materially different result, but there are some areas in which our judgment in selecting among available alternatives would produce a materially different result. See the notes to the unaudited condensed consolidated financial statements that contain additional information regarding our accounting policies and other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are a fully integrated, self-administered and self-managed real estate investment trust (“REIT”) that owns, operates, manages, acquires, develops and redevelops self-storage properties (“stores”) and provides lending to owners of stores located throughout the United States. We derive substantially all of our revenues from our two segments: self-storage operations and tenant reinsurance. Primary sources of revenue for our self-storage operations segment include rents received from tenants under leases at stores that are wholly-owned and in consolidated joint ventures. Our operating results depend materially on our ability to lease available self-storage units, to actively manage unit rental rates, and on the ability of our tenants to make required rental payments. Consequently, management spends a significant portion of its time maximizing cash flows from our diverse portfolio of stores. Revenue from our tenant reinsurance segment consists of insurance revenues from the reinsurance of risks relating to the loss of goods stored by tenants in our stores. </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stores are generally situated in highly visible locations clustered around population centers. The clustering of our assets around these population centers enables us to reduce our operating costs through economies of scale. To maximize the performance of our stores, we employ industry-leading revenue management systems. Developed by our management team, these systems enable us to analyze, set and adjust rental rates daily across our portfolio in order to respond to changing market conditions. We believe our systems and processes allow us to more proactively manage revenues.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operate in competitive markets, often where consumers have multiple stores from which to choose. Competition has impacted, and will continue to impact, our store results. We experience seasonal fluctuations in occupancy levels, with occupancy levels generally higher in the summer months due to increased moving activity. We believe that we are able to respond quickly and effectively to changes in local, regional and national economic conditions by adjusting rental rates through the combination of our revenue management team and our industry-leading technology systems.</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PROPERTIES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June 30, 2026, we owned or had ownership interests in 2,446 operating stores. Of these stores, 2,026 are wholly-owned, 11 are in consolidated joint ventures, and 409 are in unconsolidated joint ventures. In addition, we managed an additional 1,964 stores for third parties, bringing the total number of stores which we own and/or manage to 4,410. These stores are located in 42 states and Washington, D.C. The clustering of assets around population centers enables us to reduce our operating costs through economies of scale. Our acquisitions have given us an increased scale in many core markets as well as a foothold in many markets where we had no previous presence.</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June 30, 2026, approximately 2,580,000 tenants were leasing storage units at the operating stores that we own and/or manage, primarily on a month-to-month basis, providing the flexibility to increase rental rates over time as market conditions permit. Existing tenants generally receive rate increases at least annually, for which no direct correlation has been drawn to our vacancy trends. Although leases are short-term in duration, the typical tenant tends to remain at our stores for an extended period of time. For same-store properties as of June 30, 2026, the average length of stay for tenants who had vacated was approximately 16.8 months.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Our store portfolio is made up of different types of construction and building configurations. Most often sites are what we consider “hybrid” facilities, a mix of both drive-up buildings and multi-floor buildings. </w:t>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additional information regarding our net rentable square feet and the number of stores by state:</w:t>
      </w:r>
    </w:p>
    <w:tbl>
      <w:tblPr>
        <w:tblW w:w="10205" w:type="dxa"/>
        <w:jc w:val="center"/>
        <w:tblInd w:w="0" w:type="dxa"/>
        <w:tblLayout w:type="fixed"/>
        <w:tblCellMar>
          <w:top w:w="28" w:type="dxa"/>
          <w:left w:w="28" w:type="dxa"/>
          <w:bottom w:w="28" w:type="dxa"/>
          <w:right w:w="28" w:type="dxa"/>
        </w:tblCellMar>
      </w:tblPr>
      <w:tblGrid>
        <w:gridCol w:w="422"/>
        <w:gridCol w:w="370"/>
        <w:gridCol w:w="380"/>
        <w:gridCol w:w="318"/>
        <w:gridCol w:w="286"/>
        <w:gridCol w:w="287"/>
        <w:gridCol w:w="686"/>
        <w:gridCol w:w="400"/>
        <w:gridCol w:w="315"/>
        <w:gridCol w:w="309"/>
        <w:gridCol w:w="309"/>
        <w:gridCol w:w="221"/>
        <w:gridCol w:w="669"/>
        <w:gridCol w:w="335"/>
        <w:gridCol w:w="264"/>
        <w:gridCol w:w="311"/>
        <w:gridCol w:w="279"/>
        <w:gridCol w:w="280"/>
        <w:gridCol w:w="681"/>
        <w:gridCol w:w="404"/>
        <w:gridCol w:w="319"/>
        <w:gridCol w:w="311"/>
        <w:gridCol w:w="279"/>
        <w:gridCol w:w="280"/>
        <w:gridCol w:w="618"/>
        <w:gridCol w:w="453"/>
        <w:gridCol w:w="419"/>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3"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r>
      <w:tr>
        <w:trPr/>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REIT Owned</w:t>
            </w:r>
          </w:p>
        </w:tc>
        <w:tc>
          <w:tcPr>
            <w:tcW w:w="2107"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Joint Venture Owned</w:t>
            </w:r>
          </w:p>
        </w:tc>
        <w:tc>
          <w:tcPr>
            <w:tcW w:w="2274"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Managed</w:t>
            </w:r>
          </w:p>
        </w:tc>
        <w:tc>
          <w:tcPr>
            <w:tcW w:w="236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Location</w:t>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Property Count </w:t>
            </w:r>
            <w:r>
              <w:rPr>
                <w:rFonts w:ascii="Times New Roman;serif" w:hAnsi="Times New Roman;serif"/>
                <w:b/>
                <w:color w:val="000000"/>
                <w:sz w:val="12"/>
              </w:rPr>
              <w:t>(1)</w:t>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Rentable Square Feet</w:t>
            </w:r>
          </w:p>
        </w:tc>
        <w:tc>
          <w:tcPr>
            <w:tcW w:w="8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Property Count</w:t>
            </w:r>
          </w:p>
        </w:tc>
        <w:tc>
          <w:tcPr>
            <w:tcW w:w="12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Rentable Square Feet</w:t>
            </w:r>
          </w:p>
        </w:tc>
        <w:tc>
          <w:tcPr>
            <w:tcW w:w="8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Property Count</w:t>
            </w:r>
          </w:p>
        </w:tc>
        <w:tc>
          <w:tcPr>
            <w:tcW w:w="14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Rentable Square Feet</w:t>
            </w:r>
          </w:p>
        </w:tc>
        <w:tc>
          <w:tcPr>
            <w:tcW w:w="8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Property Count</w:t>
            </w:r>
          </w:p>
        </w:tc>
        <w:tc>
          <w:tcPr>
            <w:tcW w:w="14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Rentable Square Feet</w:t>
            </w:r>
          </w:p>
        </w:tc>
      </w:tr>
      <w:tr>
        <w:trPr/>
        <w:tc>
          <w:tcPr>
            <w:tcW w:w="11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Alabama</w:t>
            </w:r>
          </w:p>
        </w:tc>
        <w:tc>
          <w:tcPr>
            <w:tcW w:w="6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2,867,343 </w:t>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150,935 </w:t>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1,443,082 </w:t>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4,461,360 </w:t>
            </w:r>
          </w:p>
        </w:tc>
        <w:tc>
          <w:tcPr>
            <w:tcW w:w="4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Arizona</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4,083,734 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2,107,875 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6,009,370 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12,200,979 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Arkansas</w:t>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546,422 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546,422 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California</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18,736,228 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3,204,486 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15,125,332 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37,066,046 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Colorado</w:t>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1,801,147 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936,458 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3,238,192 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5,975,797 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Connecticut</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1,756,577 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712,932 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1,622,707 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4,092,216 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76,133 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528,820 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604,953 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Florida</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19,983,305 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3,256,018 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20,960,786 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44,200,109 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Georgia</w:t>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9,339,478 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1,332,679 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6,199,871 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16,872,028 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Hawaii</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1,053,448 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275,810 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1,329,258 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Idaho</w:t>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131,974 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755,557 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887,531 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Illinois</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7,893,837 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716,486 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4,605,438 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13,215,761 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Indiana</w:t>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4,201,374 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57,627 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2,572,987 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6,831,988 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Kansas</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50,304 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108,646 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237,718 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396,668 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Kentucky</w:t>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1,044,149 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51,590 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1,297,578 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2,393,317 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Louisiana</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772,213 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88,870 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1,283,766 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2,144,849 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Maine</w:t>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352,482 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796,933 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1,149,415 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Maryland</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3,597,903 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628,567 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4,818,819 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9,045,289 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Massachusetts</w:t>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4,226,223 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986,578 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3,006,639 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8,219,440 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Michigan</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843,917 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308,807 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1,401,470 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2,554,194 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Minnesota</w:t>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587,491 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646,024 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742,248 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1,975,763 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Mississippi</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500,309 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520,788 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1,021,097 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Missouri</w:t>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2,389,534 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508,013 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2,376,334 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5,273,881 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Nebraska</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734,269 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734,269 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Nevada</w:t>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3,579,919 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917,631 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2,090,927 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6,588,477 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Hampshire</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1,317,085 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730,593 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2,047,678 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Jersey</w:t>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7,374,314 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2,335,882 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7,480,478 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17,190,674 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Mexico</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747,014 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681,402 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1,236,622 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2,665,038 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York</w:t>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6,041,204 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2,057,371 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6,558,500 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14,657,075 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Carolina</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4,130,930 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396,061 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5,800,899 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10,327,890 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Ohio</w:t>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3,470,203 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328,768 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2,258,966 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6,057,937 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Oklahoma</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270,691 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3,138,955 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3,409,646 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Oregon</w:t>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549,684 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243,310 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365,661 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1,158,655 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Pennsylvania</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2,560,799 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817,058 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5,396,135 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8,773,992 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Rhode Island</w:t>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349,472 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95,644 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589,073 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1,034,189 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South Carolina</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3,440,615 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94,802 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4,814,953 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8,350,370 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Tennessee</w:t>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2,654,045 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1,092,496 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2,326,264 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6,072,805 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Texas</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22,174,472 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5,094,321 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20,117,359 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47,386,152 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Utah</w:t>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1,591,813 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194,355 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3,973,779 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5,759,947 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Virginia</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6,089,320 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700,768 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2,937,551 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9,727,639 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Washington</w:t>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1,283,239 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77,590 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1,650,525 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3,011,354 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Washington, DC</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100,373 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104,197 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606,348 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810,918 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Wisconsin</w:t>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187,465 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860,735 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1,775,086 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2,823,286 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1172"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1172"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Totals</w:t>
            </w:r>
          </w:p>
        </w:tc>
        <w:tc>
          <w:tcPr>
            <w:tcW w:w="60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2,037 </w:t>
            </w:r>
          </w:p>
        </w:tc>
        <w:tc>
          <w:tcPr>
            <w:tcW w:w="2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154,125,627 </w:t>
            </w:r>
          </w:p>
        </w:tc>
        <w:tc>
          <w:tcPr>
            <w:tcW w:w="3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409 </w:t>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31,971,115 </w:t>
            </w:r>
          </w:p>
        </w:tc>
        <w:tc>
          <w:tcPr>
            <w:tcW w:w="2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1,964 </w:t>
            </w:r>
          </w:p>
        </w:tc>
        <w:tc>
          <w:tcPr>
            <w:tcW w:w="2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154,949,610 </w:t>
            </w:r>
          </w:p>
        </w:tc>
        <w:tc>
          <w:tcPr>
            <w:tcW w:w="3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4,410 </w:t>
            </w:r>
          </w:p>
        </w:tc>
        <w:tc>
          <w:tcPr>
            <w:tcW w:w="2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341,046,352 </w:t>
            </w:r>
          </w:p>
        </w:tc>
        <w:tc>
          <w:tcPr>
            <w:tcW w:w="4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    Includes 11 stores in consolidated joint ventures.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Amounts in thousands, except store and share data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Comparison of the three and six months ended June 30, 2026 and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Overview</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Results for the three and six months ended June 30, 2026 included the operations of 2,446 stores (2,026 wholly-owned, 11 in consolidated joint ventures, and 409 in joint ventures accounted for using the equity method) compared to the results for the three and six months ended June 30, 2025, which included the operations of 2,430 stores (2,005 wholly-owned, 11 in consolidated joint ventures, and 414 in joint ventures accounted for using the equity method). Material or unusual changes in the results of our operations are discussed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Revenues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on revenues earned for the periods indicated:</w:t>
      </w:r>
    </w:p>
    <w:tbl>
      <w:tblPr>
        <w:tblW w:w="12280" w:type="dxa"/>
        <w:jc w:val="left"/>
        <w:tblInd w:w="0" w:type="dxa"/>
        <w:tblLayout w:type="fixed"/>
        <w:tblCellMar>
          <w:top w:w="28" w:type="dxa"/>
          <w:left w:w="28" w:type="dxa"/>
          <w:bottom w:w="28" w:type="dxa"/>
          <w:right w:w="28" w:type="dxa"/>
        </w:tblCellMar>
      </w:tblPr>
      <w:tblGrid>
        <w:gridCol w:w="602"/>
        <w:gridCol w:w="291"/>
        <w:gridCol w:w="293"/>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03"/>
        <w:gridCol w:w="203"/>
        <w:gridCol w:w="483"/>
        <w:gridCol w:w="109"/>
        <w:gridCol w:w="109"/>
        <w:gridCol w:w="109"/>
        <w:gridCol w:w="211"/>
        <w:gridCol w:w="976"/>
        <w:gridCol w:w="109"/>
        <w:gridCol w:w="109"/>
        <w:gridCol w:w="109"/>
        <w:gridCol w:w="109"/>
        <w:gridCol w:w="211"/>
        <w:gridCol w:w="976"/>
        <w:gridCol w:w="109"/>
        <w:gridCol w:w="109"/>
        <w:gridCol w:w="109"/>
        <w:gridCol w:w="109"/>
        <w:gridCol w:w="211"/>
        <w:gridCol w:w="721"/>
        <w:gridCol w:w="109"/>
        <w:gridCol w:w="109"/>
        <w:gridCol w:w="109"/>
        <w:gridCol w:w="109"/>
        <w:gridCol w:w="203"/>
        <w:gridCol w:w="203"/>
        <w:gridCol w:w="544"/>
      </w:tblGrid>
      <w:tr>
        <w:trPr/>
        <w:tc>
          <w:tcPr>
            <w:tcW w:w="6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rental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Tenant reinsurance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fees and other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874,152 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841,618 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1,730,179 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1,661,615 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5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95"/>
        <w:jc w:val="left"/>
        <w:rPr/>
      </w:pPr>
      <w:r>
        <w:rPr>
          <w:rFonts w:ascii="Times New Roman;serif" w:hAnsi="Times New Roman;serif"/>
          <w:b/>
          <w:color w:val="000000"/>
          <w:sz w:val="20"/>
        </w:rPr>
        <w:t>Property rental—</w:t>
      </w:r>
      <w:r>
        <w:rPr>
          <w:rFonts w:ascii="Times New Roman;serif" w:hAnsi="Times New Roman;serif"/>
          <w:b w:val="false"/>
          <w:color w:val="000000"/>
          <w:sz w:val="20"/>
        </w:rPr>
        <w:t>The increase in property rental revenue for the three and six months ended June 30, 2026 compared to the same periods in the prior year was primarily the result of growth in our portfolio related to acquisitions completed in 2025 and acquisitions completed in the first six months of 2026. We acquired 18 wholly-owned stores during the six months ended June 30, 2026 and acquired 76 wholly-owned stores during the year ended December 31, 2025. These increases in revenue resulting from acquisitions were partially offset by property dispositions during the same periods. Additionally, property rental revenue increased for the three and six months ended June 30, 2026 due to improved operating results from increases in average annual rent per occupied square foot over the comparative periods.</w:t>
      </w:r>
    </w:p>
    <w:p>
      <w:pPr>
        <w:pStyle w:val="TextBody"/>
        <w:bidi w:val="0"/>
        <w:spacing w:lineRule="auto" w:line="288" w:before="240" w:after="283"/>
        <w:ind w:left="0" w:right="0" w:firstLine="495"/>
        <w:jc w:val="left"/>
        <w:rPr/>
      </w:pPr>
      <w:r>
        <w:rPr>
          <w:rFonts w:ascii="Times New Roman;serif" w:hAnsi="Times New Roman;serif"/>
          <w:b/>
          <w:color w:val="000000"/>
          <w:sz w:val="20"/>
        </w:rPr>
        <w:t>Tenant reinsurance—</w:t>
      </w:r>
      <w:r>
        <w:rPr>
          <w:rFonts w:ascii="Times New Roman;serif" w:hAnsi="Times New Roman;serif"/>
          <w:b w:val="false"/>
          <w:color w:val="000000"/>
          <w:sz w:val="20"/>
        </w:rPr>
        <w:t>The increase in tenant reinsurance revenue for the three and six months ended June 30, 2026 compared to the same periods in the prior year was due primarily to an increase in the number of stores operated. We operated 4,410 stores at June 30, 2026 compared to 4,179 stores at June 30, 2025.</w:t>
      </w:r>
    </w:p>
    <w:p>
      <w:pPr>
        <w:pStyle w:val="TextBody"/>
        <w:bidi w:val="0"/>
        <w:spacing w:lineRule="auto" w:line="288" w:before="240" w:after="283"/>
        <w:ind w:left="0" w:right="0" w:firstLine="495"/>
        <w:jc w:val="left"/>
        <w:rPr/>
      </w:pPr>
      <w:r>
        <w:rPr>
          <w:rFonts w:ascii="Times New Roman;serif" w:hAnsi="Times New Roman;serif"/>
          <w:b/>
          <w:color w:val="000000"/>
          <w:sz w:val="20"/>
        </w:rPr>
        <w:t>Management fees and other income—</w:t>
      </w:r>
      <w:r>
        <w:rPr>
          <w:rFonts w:ascii="Times New Roman;serif" w:hAnsi="Times New Roman;serif"/>
          <w:b w:val="false"/>
          <w:color w:val="000000"/>
          <w:sz w:val="20"/>
        </w:rPr>
        <w:t xml:space="preserve">Management fees and other income primarily represent the fees collected for our management of stores owned by third parties and unconsolidated joint ventures and other transaction fee income. The increase for the three and six months ended June 30, 2026 compared to the same periods in the prior year was primarily due to both an increase in the number of stores managed and an increase in the overall revenue of stores under management when compared to the same periods last year. As of June 30, 2026, we managed 1,964 stores for third party owners, compared to 1,749 stores as of June 30, 2025. These increases are offset by a decrease in management fees attributable to stores in unconsolidated joint ventures, where the number of stores decreased from 414 to 409 over the same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Expenses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on expenses for the periods indicated:</w:t>
      </w:r>
    </w:p>
    <w:tbl>
      <w:tblPr>
        <w:tblW w:w="12085" w:type="dxa"/>
        <w:jc w:val="left"/>
        <w:tblInd w:w="0" w:type="dxa"/>
        <w:tblLayout w:type="fixed"/>
        <w:tblCellMar>
          <w:top w:w="28" w:type="dxa"/>
          <w:left w:w="28" w:type="dxa"/>
          <w:bottom w:w="28" w:type="dxa"/>
          <w:right w:w="28" w:type="dxa"/>
        </w:tblCellMar>
      </w:tblPr>
      <w:tblGrid>
        <w:gridCol w:w="618"/>
        <w:gridCol w:w="360"/>
        <w:gridCol w:w="313"/>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03"/>
        <w:gridCol w:w="203"/>
        <w:gridCol w:w="483"/>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03"/>
        <w:gridCol w:w="203"/>
        <w:gridCol w:w="544"/>
      </w:tblGrid>
      <w:tr>
        <w:trPr/>
        <w:tc>
          <w:tcPr>
            <w:tcW w:w="61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Tenant reinsurance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481,968 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466,784 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970,442 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933,812 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95"/>
        <w:jc w:val="left"/>
        <w:rPr/>
      </w:pPr>
      <w:r>
        <w:rPr>
          <w:rFonts w:ascii="Times New Roman;serif" w:hAnsi="Times New Roman;serif"/>
          <w:b/>
          <w:color w:val="000000"/>
          <w:sz w:val="20"/>
        </w:rPr>
        <w:t>Property operations—</w:t>
      </w:r>
      <w:r>
        <w:rPr>
          <w:rFonts w:ascii="Times New Roman;serif" w:hAnsi="Times New Roman;serif"/>
          <w:b w:val="false"/>
          <w:color w:val="000000"/>
          <w:sz w:val="20"/>
        </w:rPr>
        <w:t>The increase in property operations expense during the three and six months ended June 30, 2026 compared to the same periods in the prior year was due to growth in our portfolio related to acquisitions completed in 2025 and in the first six months of 2026. The increase in expense resulting from acquisitions was partially offset by expense control across our portfolio in most expense categories over the same periods with the exception of property taxes and insurance.</w:t>
      </w:r>
    </w:p>
    <w:p>
      <w:pPr>
        <w:pStyle w:val="TextBody"/>
        <w:bidi w:val="0"/>
        <w:spacing w:lineRule="auto" w:line="288" w:before="240" w:after="283"/>
        <w:ind w:left="0" w:right="0" w:firstLine="495"/>
        <w:jc w:val="left"/>
        <w:rPr/>
      </w:pPr>
      <w:r>
        <w:rPr>
          <w:rFonts w:ascii="Times New Roman;serif" w:hAnsi="Times New Roman;serif"/>
          <w:b/>
          <w:color w:val="000000"/>
          <w:sz w:val="20"/>
        </w:rPr>
        <w:t>Tenant reinsurance—</w:t>
      </w:r>
      <w:r>
        <w:rPr>
          <w:rFonts w:ascii="Times New Roman;serif" w:hAnsi="Times New Roman;serif"/>
          <w:b w:val="false"/>
          <w:color w:val="000000"/>
          <w:sz w:val="20"/>
        </w:rPr>
        <w:t>Tenant reinsurance expense represents the costs that are incurred to provide tenant reinsurance and is subject to volatility due to increased claims arising when significant events occur at stores.</w:t>
      </w:r>
    </w:p>
    <w:p>
      <w:pPr>
        <w:pStyle w:val="TextBody"/>
        <w:bidi w:val="0"/>
        <w:spacing w:lineRule="auto" w:line="288" w:before="240" w:after="283"/>
        <w:ind w:left="0" w:right="0" w:firstLine="495"/>
        <w:jc w:val="left"/>
        <w:rPr/>
      </w:pPr>
      <w:r>
        <w:rPr>
          <w:rFonts w:ascii="Times New Roman;serif" w:hAnsi="Times New Roman;serif"/>
          <w:b/>
          <w:color w:val="000000"/>
          <w:sz w:val="20"/>
        </w:rPr>
        <w:t>General and administrative—</w:t>
      </w:r>
      <w:r>
        <w:rPr>
          <w:rFonts w:ascii="Times New Roman;serif" w:hAnsi="Times New Roman;serif"/>
          <w:b w:val="false"/>
          <w:color w:val="000000"/>
          <w:sz w:val="20"/>
        </w:rPr>
        <w:t xml:space="preserve">General and administrative expenses primarily include all expenses not directly related to our stores, including corporate payroll, office expense, office rent, travel and professional fees. These expenses are recognized as incurred. </w:t>
      </w:r>
    </w:p>
    <w:p>
      <w:pPr>
        <w:pStyle w:val="TextBody"/>
        <w:bidi w:val="0"/>
        <w:spacing w:lineRule="auto" w:line="288" w:before="240" w:after="283"/>
        <w:ind w:left="0" w:right="0" w:firstLine="495"/>
        <w:jc w:val="left"/>
        <w:rPr/>
      </w:pPr>
      <w:r>
        <w:rPr>
          <w:rFonts w:ascii="Times New Roman;serif" w:hAnsi="Times New Roman;serif"/>
          <w:b/>
          <w:color w:val="000000"/>
          <w:sz w:val="20"/>
        </w:rPr>
        <w:t>Depreciation and amortization—</w:t>
      </w:r>
      <w:r>
        <w:rPr>
          <w:rFonts w:ascii="Times New Roman;serif" w:hAnsi="Times New Roman;serif"/>
          <w:b w:val="false"/>
          <w:color w:val="000000"/>
          <w:sz w:val="20"/>
        </w:rPr>
        <w:t xml:space="preserve">We amortize to expense intangible assets-customer intangibles on a straight-line basis over the average period that a tenant is expected to utilize the facility (currently estimated at 18 months). Depreciation and amortization expense increased for the three and six months ended June 30, 2026 compared to the same periods in the prior year primarily as a result of the acquisition of new stores. We acquired 18 wholly-owned stores and disposed of one wholly-owned store during the six months ended June 30, 2026. We acquired 76 wholly-owned stores and disposed of 37 wholly-owned stores during the year ended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Other Revenues and Expenses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on other revenues and expenses for the periods indicated:</w:t>
      </w:r>
    </w:p>
    <w:tbl>
      <w:tblPr>
        <w:tblW w:w="12610" w:type="dxa"/>
        <w:jc w:val="left"/>
        <w:tblInd w:w="0" w:type="dxa"/>
        <w:tblLayout w:type="fixed"/>
        <w:tblCellMar>
          <w:top w:w="28" w:type="dxa"/>
          <w:left w:w="28" w:type="dxa"/>
          <w:bottom w:w="28" w:type="dxa"/>
          <w:right w:w="28" w:type="dxa"/>
        </w:tblCellMar>
      </w:tblPr>
      <w:tblGrid>
        <w:gridCol w:w="1007"/>
        <w:gridCol w:w="186"/>
        <w:gridCol w:w="188"/>
        <w:gridCol w:w="211"/>
        <w:gridCol w:w="841"/>
        <w:gridCol w:w="109"/>
        <w:gridCol w:w="109"/>
        <w:gridCol w:w="109"/>
        <w:gridCol w:w="109"/>
        <w:gridCol w:w="211"/>
        <w:gridCol w:w="841"/>
        <w:gridCol w:w="109"/>
        <w:gridCol w:w="109"/>
        <w:gridCol w:w="109"/>
        <w:gridCol w:w="109"/>
        <w:gridCol w:w="211"/>
        <w:gridCol w:w="631"/>
        <w:gridCol w:w="109"/>
        <w:gridCol w:w="109"/>
        <w:gridCol w:w="109"/>
        <w:gridCol w:w="109"/>
        <w:gridCol w:w="315"/>
        <w:gridCol w:w="316"/>
        <w:gridCol w:w="483"/>
        <w:gridCol w:w="109"/>
        <w:gridCol w:w="109"/>
        <w:gridCol w:w="109"/>
        <w:gridCol w:w="211"/>
        <w:gridCol w:w="841"/>
        <w:gridCol w:w="109"/>
        <w:gridCol w:w="109"/>
        <w:gridCol w:w="109"/>
        <w:gridCol w:w="109"/>
        <w:gridCol w:w="211"/>
        <w:gridCol w:w="841"/>
        <w:gridCol w:w="109"/>
        <w:gridCol w:w="109"/>
        <w:gridCol w:w="109"/>
        <w:gridCol w:w="109"/>
        <w:gridCol w:w="211"/>
        <w:gridCol w:w="736"/>
        <w:gridCol w:w="109"/>
        <w:gridCol w:w="109"/>
        <w:gridCol w:w="109"/>
        <w:gridCol w:w="109"/>
        <w:gridCol w:w="315"/>
        <w:gridCol w:w="316"/>
        <w:gridCol w:w="544"/>
      </w:tblGrid>
      <w:tr>
        <w:trPr/>
        <w:tc>
          <w:tcPr>
            <w:tcW w:w="100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real estate assets held for sale and sold,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related to amortization of discount on unsecured senior notes,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and dividend income from unconsolidated real estate entities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real estate ventures - gain on sale of a joint venture interest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revenues &amp; expenses,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(116,305)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(112,118)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(231,438)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(180,162)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(51,276)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5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95"/>
        <w:jc w:val="left"/>
        <w:rPr/>
      </w:pPr>
      <w:r>
        <w:rPr>
          <w:rFonts w:ascii="Times New Roman;serif" w:hAnsi="Times New Roman;serif"/>
          <w:b/>
          <w:color w:val="000000"/>
          <w:sz w:val="20"/>
        </w:rPr>
        <w:t xml:space="preserve">Gain (loss) on real estate assets held for sale and sold, net— </w:t>
      </w:r>
      <w:r>
        <w:rPr>
          <w:rFonts w:ascii="Times New Roman;serif" w:hAnsi="Times New Roman;serif"/>
          <w:b w:val="false"/>
          <w:color w:val="000000"/>
          <w:sz w:val="20"/>
        </w:rPr>
        <w:t>During the six months ended June 30, 2026,</w:t>
      </w:r>
      <w:r>
        <w:rPr>
          <w:color w:val="000000"/>
        </w:rPr>
        <w:t xml:space="preserve"> </w:t>
      </w:r>
      <w:r>
        <w:rPr>
          <w:rFonts w:ascii="Times New Roman;serif" w:hAnsi="Times New Roman;serif"/>
          <w:b w:val="false"/>
          <w:color w:val="000000"/>
          <w:sz w:val="20"/>
        </w:rPr>
        <w:t>we disposed of one previously held for sale store, resulting in no gain or loss</w:t>
      </w:r>
      <w:r>
        <w:rPr>
          <w:rFonts w:ascii="Times New Roman;serif" w:hAnsi="Times New Roman;serif"/>
          <w:b/>
          <w:color w:val="000000"/>
          <w:sz w:val="20"/>
        </w:rPr>
        <w:t xml:space="preserve">. </w:t>
      </w:r>
      <w:r>
        <w:rPr>
          <w:rFonts w:ascii="Times New Roman;serif" w:hAnsi="Times New Roman;serif"/>
          <w:b w:val="false"/>
          <w:color w:val="000000"/>
          <w:sz w:val="20"/>
        </w:rPr>
        <w:t>We disposed of 12 previously held for sale stores during the six months ended June 30, 2025, resulting in a gain of $38,656. This gain was partially offset by losses of $3,759 related to the sale of three land parcels and three properties listed for sale during the six months ended June 30, 2025 where the estimated fair value, net of selling costs, was less than the net carrying value of the assets. The loss recorded during the three months ended June 30, 2025 related to the sale of one operating property previously listed as held for sale resulted in an additional loss of $864.</w:t>
      </w:r>
    </w:p>
    <w:p>
      <w:pPr>
        <w:pStyle w:val="TextBody"/>
        <w:bidi w:val="0"/>
        <w:spacing w:lineRule="auto" w:line="288" w:before="240" w:after="283"/>
        <w:ind w:left="0" w:right="0" w:firstLine="495"/>
        <w:jc w:val="left"/>
        <w:rPr/>
      </w:pPr>
      <w:r>
        <w:rPr>
          <w:rFonts w:ascii="Times New Roman;serif" w:hAnsi="Times New Roman;serif"/>
          <w:b/>
          <w:color w:val="000000"/>
          <w:sz w:val="20"/>
        </w:rPr>
        <w:t>Interest expense—</w:t>
      </w:r>
      <w:r>
        <w:rPr>
          <w:rFonts w:ascii="Times New Roman;serif" w:hAnsi="Times New Roman;serif"/>
          <w:b w:val="false"/>
          <w:color w:val="000000"/>
          <w:sz w:val="20"/>
        </w:rPr>
        <w:t>Represents the cost of our financing activities and primarily consists of interest incurred on borrowings under our commercial paper program, revolving lines of credit, senior notes and secured and unsecured term loans. Interest expense also includes commitment fees, letter of credit fees, and the amortization of financing costs associated with these arrangements.</w:t>
      </w:r>
    </w:p>
    <w:p>
      <w:pPr>
        <w:pStyle w:val="TextBody"/>
        <w:bidi w:val="0"/>
        <w:spacing w:lineRule="auto" w:line="288" w:before="240" w:after="283"/>
        <w:ind w:left="0" w:right="0" w:firstLine="495"/>
        <w:jc w:val="left"/>
        <w:rPr/>
      </w:pPr>
      <w:r>
        <w:rPr>
          <w:rFonts w:ascii="Times New Roman;serif" w:hAnsi="Times New Roman;serif"/>
          <w:b/>
          <w:color w:val="000000"/>
          <w:sz w:val="20"/>
        </w:rPr>
        <w:t>Non-cash interest expense related to amortization of discount on unsecured senior notes, net—</w:t>
      </w:r>
      <w:r>
        <w:rPr>
          <w:rFonts w:ascii="Times New Roman;serif" w:hAnsi="Times New Roman;serif"/>
          <w:b w:val="false"/>
          <w:color w:val="000000"/>
          <w:sz w:val="20"/>
        </w:rPr>
        <w:t>Represents the amortization of the discount assigned to the fair value of the Life Storage unsecured senior notes assumed as part of our merger with Life Storage and net premium from bond offerings, offset by the discount from assumed debt.</w:t>
      </w:r>
    </w:p>
    <w:p>
      <w:pPr>
        <w:pStyle w:val="TextBody"/>
        <w:bidi w:val="0"/>
        <w:spacing w:lineRule="auto" w:line="288" w:before="240" w:after="283"/>
        <w:ind w:left="0" w:right="0" w:firstLine="495"/>
        <w:jc w:val="left"/>
        <w:rPr/>
      </w:pPr>
      <w:r>
        <w:rPr>
          <w:rFonts w:ascii="Times New Roman;serif" w:hAnsi="Times New Roman;serif"/>
          <w:b/>
          <w:color w:val="000000"/>
          <w:sz w:val="20"/>
        </w:rPr>
        <w:t>Interest income—</w:t>
      </w:r>
      <w:r>
        <w:rPr>
          <w:rFonts w:ascii="Times New Roman;serif" w:hAnsi="Times New Roman;serif"/>
          <w:b w:val="false"/>
          <w:color w:val="000000"/>
          <w:sz w:val="20"/>
        </w:rPr>
        <w:t xml:space="preserve">Interest income represents interest earned on bridge loans, debt securities and on a note receivable from a common Operating Partnership unit holder. The decrease in interest income during the three and six months ended June 30, 2026 compared to the same periods in the prior year was primarily the result of a decrease in the amount of bridge loans outstanding. The balance of bridge loans outstanding was $1,445,278 as of June 30, 2026, compared to $1,542,693 as of June 30, 2025. </w:t>
      </w:r>
    </w:p>
    <w:p>
      <w:pPr>
        <w:pStyle w:val="TextBody"/>
        <w:bidi w:val="0"/>
        <w:spacing w:lineRule="auto" w:line="288" w:before="240" w:after="283"/>
        <w:ind w:left="0" w:right="0" w:firstLine="495"/>
        <w:jc w:val="left"/>
        <w:rPr/>
      </w:pPr>
      <w:r>
        <w:rPr>
          <w:rFonts w:ascii="Times New Roman;serif" w:hAnsi="Times New Roman;serif"/>
          <w:b/>
          <w:color w:val="000000"/>
          <w:sz w:val="20"/>
        </w:rPr>
        <w:t>Equity in earnings and dividend income from unconsolidated real estate entities—</w:t>
      </w:r>
      <w:r>
        <w:rPr>
          <w:rFonts w:ascii="Times New Roman;serif" w:hAnsi="Times New Roman;serif"/>
          <w:b w:val="false"/>
          <w:color w:val="000000"/>
          <w:sz w:val="20"/>
        </w:rPr>
        <w:t xml:space="preserve">Equity in earnings of unconsolidated real estate entities represents the income earned through our ownership interests in unconsolidated joint ventures. In these joint ventures, we and our joint venture partners generally receive a preferred return on our invested capital. To the extent that cash or profits in excess of these preferred returns are generated, we receive a higher percentage of the excess cash or profits. The decrease for the three and six months ended June 30, 2026 was primarily due to the transfer and distribution of membership interests in the PR II EXR JV LLC joint venture in March 2025 and the acquisition of our partners’ membership interests in the ESS-NYFL JV LP and ESS CA-TIVS JV LP joint ventures in April 2025. Also contributing to the decrease is the sale of our membership interests in both the Life Storage Spacemax LLC and the Extra Space Northern Properties VI LLC joint ventures, which occurred in July and October 2025, respectively. The number of stores in unconsolidated joint ventures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which we have ownership interests was 409 as of June 30, 2026, compared to 414 as of June 30, 2025. Dividend income represents dividends from our investments in preferred stock of Strategic Storage Trust VI, Inc. and Strategic Storage Growth Trust III, Inc.</w:t>
      </w:r>
    </w:p>
    <w:p>
      <w:pPr>
        <w:pStyle w:val="TextBody"/>
        <w:bidi w:val="0"/>
        <w:spacing w:lineRule="auto" w:line="288" w:before="240" w:after="283"/>
        <w:ind w:left="0" w:right="0" w:firstLine="495"/>
        <w:jc w:val="left"/>
        <w:rPr/>
      </w:pPr>
      <w:r>
        <w:rPr>
          <w:rFonts w:ascii="Times New Roman;serif" w:hAnsi="Times New Roman;serif"/>
          <w:b/>
          <w:color w:val="000000"/>
          <w:sz w:val="20"/>
        </w:rPr>
        <w:t>Income tax expense</w:t>
      </w:r>
      <w:r>
        <w:rPr>
          <w:color w:val="000000"/>
        </w:rPr>
        <w:t>—</w:t>
      </w:r>
      <w:r>
        <w:rPr>
          <w:rFonts w:ascii="Times New Roman;serif" w:hAnsi="Times New Roman;serif"/>
          <w:b w:val="false"/>
          <w:color w:val="000000"/>
          <w:sz w:val="20"/>
        </w:rPr>
        <w:t>The increase in income tax expense for the three and six months ended June 30, 2026 compared to the same periods in the prior year was primarily the result of an increase in book income and a decrease in permanent tax deductions related to stock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FUNDS FROM OPERATIONS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Funds from operations (“FFO”) provides relevant and meaningful information about our operating performance that is necessary, along with net income and cash flows, for an understanding of our operating results. We believe FFO is a meaningful disclosure as a supplement to net earnings. Net earnings assume that the values of real estate assets diminish predictably over time as reflected through depreciation and amortization expenses. The values of real estate assets fluctuate due to market conditions, and we believe FFO more accurately reflects the value of our real estate assets. FFO is defined by the National Association of Real Estate Investment Trusts, Inc. (“NAREIT”) as net income computed in accordance with GAAP, excluding gains or losses on sales of operating stores and impairment write-downs of depreciable real estate assets, plus real estate related depreciation and amortization and after adjustments to record unconsolidated partnerships and joint ventures on the same basis. We believe that to further understand our performance, FFO should be considered along with the reported net income and cash flows in accordance with GAAP, as presented in our condensed consolidated financial statements. FFO should not be considered a replacement of net income computed in accordance with GAAP.</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computation of FFO may not be comparable to FFO reported by other REITs or real estate companies that do not define the term in accordance with the current NAREIT definition or that interpret the current NAREIT definition differently. FFO does not represent cash generated from operating activities determined in accordance with GAAP and should not be considered as an alternative to net income as an indication of our performance, as an alternative to net cash flow from operating activities, as a measure of our liquidity, or as an indicator of our ability to make cash distributions.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calculation of FFO for the periods indicated:</w:t>
      </w:r>
    </w:p>
    <w:tbl>
      <w:tblPr>
        <w:tblW w:w="10205" w:type="dxa"/>
        <w:jc w:val="left"/>
        <w:tblInd w:w="0" w:type="dxa"/>
        <w:tblLayout w:type="fixed"/>
        <w:tblCellMar>
          <w:top w:w="28" w:type="dxa"/>
          <w:left w:w="28" w:type="dxa"/>
          <w:bottom w:w="28" w:type="dxa"/>
          <w:right w:w="28" w:type="dxa"/>
        </w:tblCellMar>
      </w:tblPr>
      <w:tblGrid>
        <w:gridCol w:w="1605"/>
        <w:gridCol w:w="1318"/>
        <w:gridCol w:w="1325"/>
        <w:gridCol w:w="229"/>
        <w:gridCol w:w="899"/>
        <w:gridCol w:w="118"/>
        <w:gridCol w:w="118"/>
        <w:gridCol w:w="118"/>
        <w:gridCol w:w="118"/>
        <w:gridCol w:w="229"/>
        <w:gridCol w:w="899"/>
        <w:gridCol w:w="118"/>
        <w:gridCol w:w="109"/>
        <w:gridCol w:w="109"/>
        <w:gridCol w:w="109"/>
        <w:gridCol w:w="220"/>
        <w:gridCol w:w="862"/>
        <w:gridCol w:w="113"/>
        <w:gridCol w:w="113"/>
        <w:gridCol w:w="113"/>
        <w:gridCol w:w="113"/>
        <w:gridCol w:w="220"/>
        <w:gridCol w:w="862"/>
        <w:gridCol w:w="168"/>
      </w:tblGrid>
      <w:tr>
        <w:trPr/>
        <w:tc>
          <w:tcPr>
            <w:tcW w:w="1605"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4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common stockholders</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263,471 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249,731 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504,448 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520,606 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depreciation</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171,249 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164,707 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342,144 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323,877 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real estate assets held for sale and sold, net</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Unconsolidated joint venture real estate depreciation and amortization</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Unconsolidated joint venture gain on sale of a joint venture interest</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8"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r>
      <w:tr>
        <w:trPr/>
        <w:tc>
          <w:tcPr>
            <w:tcW w:w="4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allocated to Operating Partnership noncontrolling interests </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Funds from operations attributable to common stockholders and unit holders</w:t>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457,305 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439,253 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891,743 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867,355 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SAME-STORE RESULTS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Our same-store pool for the periods presented consists of 1,870 stores that are wholly-owned and operated and that were stabilized by the first day of the earliest calendar year presented. We consider a store to be stabilized once it has been open for three years or has sustained average square foot occupancy of 80% or more for one calendar year. We believe that by providing same-store results from a stabilized pool of stores, with accompanying operating metrics including but not limited to occupancy, rental revenue growth, operating expense growth, net operating income growth, etc., stockholders and potential investors are able to evaluate operating performance without the effects of non-stabilized occupancy levels, rent levels, expense levels, acquisitions or completed developments. Same-store results should not be used as a basis for future same-store performance or for the performance of our stores as a whole. The following table presents operating data for our same-store portfolio. </w:t>
      </w:r>
    </w:p>
    <w:tbl>
      <w:tblPr>
        <w:tblW w:w="10205" w:type="dxa"/>
        <w:jc w:val="left"/>
        <w:tblInd w:w="0" w:type="dxa"/>
        <w:tblLayout w:type="fixed"/>
        <w:tblCellMar>
          <w:top w:w="28" w:type="dxa"/>
          <w:left w:w="28" w:type="dxa"/>
          <w:bottom w:w="28" w:type="dxa"/>
          <w:right w:w="28" w:type="dxa"/>
        </w:tblCellMar>
      </w:tblPr>
      <w:tblGrid>
        <w:gridCol w:w="751"/>
        <w:gridCol w:w="559"/>
        <w:gridCol w:w="562"/>
        <w:gridCol w:w="215"/>
        <w:gridCol w:w="843"/>
        <w:gridCol w:w="111"/>
        <w:gridCol w:w="111"/>
        <w:gridCol w:w="111"/>
        <w:gridCol w:w="111"/>
        <w:gridCol w:w="215"/>
        <w:gridCol w:w="843"/>
        <w:gridCol w:w="111"/>
        <w:gridCol w:w="109"/>
        <w:gridCol w:w="109"/>
        <w:gridCol w:w="109"/>
        <w:gridCol w:w="268"/>
        <w:gridCol w:w="271"/>
        <w:gridCol w:w="367"/>
        <w:gridCol w:w="109"/>
        <w:gridCol w:w="109"/>
        <w:gridCol w:w="109"/>
        <w:gridCol w:w="211"/>
        <w:gridCol w:w="976"/>
        <w:gridCol w:w="109"/>
        <w:gridCol w:w="109"/>
        <w:gridCol w:w="109"/>
        <w:gridCol w:w="109"/>
        <w:gridCol w:w="211"/>
        <w:gridCol w:w="976"/>
        <w:gridCol w:w="109"/>
        <w:gridCol w:w="109"/>
        <w:gridCol w:w="109"/>
        <w:gridCol w:w="109"/>
        <w:gridCol w:w="216"/>
        <w:gridCol w:w="218"/>
        <w:gridCol w:w="422"/>
      </w:tblGrid>
      <w:tr>
        <w:trPr/>
        <w:tc>
          <w:tcPr>
            <w:tcW w:w="75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1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1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Same-store rental revenues</w:t>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rental income</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664,926 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648,617 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same-store rental revenues</w:t>
            </w:r>
          </w:p>
        </w:tc>
        <w:tc>
          <w:tcPr>
            <w:tcW w:w="10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690,192 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674,261 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1,368,801 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1,341,811 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Same-store operating expenses</w:t>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benefits</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40,786 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41,744 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expense</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expense</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Repairs and maintenance</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taxes</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same-store operating expenses</w:t>
            </w:r>
          </w:p>
        </w:tc>
        <w:tc>
          <w:tcPr>
            <w:tcW w:w="10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194,114 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195,160 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391,787 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Same-store net operating income</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496,078 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479,101 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972,818 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950,024 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Same-store square foot occupancy as of period end</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94.2%</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same-store square foot occupancy</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94.0%</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Properties included in same-store</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1,870</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95"/>
        <w:jc w:val="left"/>
        <w:rPr/>
      </w:pPr>
      <w:r>
        <w:rPr/>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additional information for our same-store portfolio:</w:t>
      </w:r>
    </w:p>
    <w:tbl>
      <w:tblPr>
        <w:tblW w:w="10205" w:type="dxa"/>
        <w:jc w:val="left"/>
        <w:tblInd w:w="0" w:type="dxa"/>
        <w:tblLayout w:type="fixed"/>
        <w:tblCellMar>
          <w:top w:w="28" w:type="dxa"/>
          <w:left w:w="28" w:type="dxa"/>
          <w:bottom w:w="28" w:type="dxa"/>
          <w:right w:w="28" w:type="dxa"/>
        </w:tblCellMar>
      </w:tblPr>
      <w:tblGrid>
        <w:gridCol w:w="1548"/>
        <w:gridCol w:w="1359"/>
        <w:gridCol w:w="1368"/>
        <w:gridCol w:w="237"/>
        <w:gridCol w:w="694"/>
        <w:gridCol w:w="305"/>
        <w:gridCol w:w="122"/>
        <w:gridCol w:w="122"/>
        <w:gridCol w:w="122"/>
        <w:gridCol w:w="237"/>
        <w:gridCol w:w="694"/>
        <w:gridCol w:w="305"/>
        <w:gridCol w:w="109"/>
        <w:gridCol w:w="109"/>
        <w:gridCol w:w="109"/>
        <w:gridCol w:w="226"/>
        <w:gridCol w:w="662"/>
        <w:gridCol w:w="291"/>
        <w:gridCol w:w="117"/>
        <w:gridCol w:w="117"/>
        <w:gridCol w:w="117"/>
        <w:gridCol w:w="226"/>
        <w:gridCol w:w="662"/>
        <w:gridCol w:w="347"/>
      </w:tblGrid>
      <w:tr>
        <w:trPr/>
        <w:tc>
          <w:tcPr>
            <w:tcW w:w="154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Same-store portfolio</w:t>
            </w:r>
          </w:p>
        </w:tc>
        <w:tc>
          <w:tcPr>
            <w:tcW w:w="12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annual rent per occupied square foot, net of discounts and bad debt</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19.95 </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19.50 </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19.94 </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19.52 </w:t>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leases average annual rent per square foot</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discounts as a percentage of rental revenues</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same-store net operating income to net income as presented on our condensed consolidated statements of operations for the periods indicated:</w:t>
      </w:r>
    </w:p>
    <w:tbl>
      <w:tblPr>
        <w:tblW w:w="10205" w:type="dxa"/>
        <w:jc w:val="left"/>
        <w:tblInd w:w="0" w:type="dxa"/>
        <w:tblLayout w:type="fixed"/>
        <w:tblCellMar>
          <w:top w:w="28" w:type="dxa"/>
          <w:left w:w="28" w:type="dxa"/>
          <w:bottom w:w="28" w:type="dxa"/>
          <w:right w:w="28" w:type="dxa"/>
        </w:tblCellMar>
      </w:tblPr>
      <w:tblGrid>
        <w:gridCol w:w="1748"/>
        <w:gridCol w:w="1222"/>
        <w:gridCol w:w="1226"/>
        <w:gridCol w:w="218"/>
        <w:gridCol w:w="857"/>
        <w:gridCol w:w="112"/>
        <w:gridCol w:w="112"/>
        <w:gridCol w:w="112"/>
        <w:gridCol w:w="112"/>
        <w:gridCol w:w="218"/>
        <w:gridCol w:w="857"/>
        <w:gridCol w:w="112"/>
        <w:gridCol w:w="109"/>
        <w:gridCol w:w="109"/>
        <w:gridCol w:w="109"/>
        <w:gridCol w:w="211"/>
        <w:gridCol w:w="976"/>
        <w:gridCol w:w="109"/>
        <w:gridCol w:w="109"/>
        <w:gridCol w:w="109"/>
        <w:gridCol w:w="109"/>
        <w:gridCol w:w="211"/>
        <w:gridCol w:w="976"/>
        <w:gridCol w:w="162"/>
      </w:tblGrid>
      <w:tr>
        <w:trPr/>
        <w:tc>
          <w:tcPr>
            <w:tcW w:w="174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4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275,879 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262,716 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528,299 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547,641 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to exclude:</w:t>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real estate assets held for sale and sold, net</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and dividend income from unconsolidated real estate entities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unconsolidated real estate ventures - gain on sale of a joint venture interest</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146,720 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146,128 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288,527 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related to amortization of discount on unsecured senior notes, net</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177,266 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357,622 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419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4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90,926 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4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fees, other income and interest income</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(73,681)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(74,040)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(143,912)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tenant insurance</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(75,759)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(71,627)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(139,223)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 same-store rental revenue</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(55,972)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(46,743)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(83,573)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 same-store operating expense</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59,416 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same-store net operating income</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496,078 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479,101 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972,818 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950,024 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Same-store rental revenues</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690,192 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674,261 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1,341,811 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Same-store operating expenses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391,787 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Same-store net operating income</w:t>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496,078 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479,101 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972,818 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950,024 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 for the six months ended June 30, 2026 increased when compared to the same period in the prior year. Cash flows used in investing activities relate primarily to our acquisition and development of new stores, sales of stores, investments in unconsolidated real estate entities, and notes receivable from bridge loans and fluctuate depending on our actions in those areas. Cash flows from financing activities depend primarily on our debt and equity financing activities. A summary of cash flows along with significant components are as follows:</w:t>
      </w:r>
    </w:p>
    <w:tbl>
      <w:tblPr>
        <w:tblW w:w="10205" w:type="dxa"/>
        <w:jc w:val="left"/>
        <w:tblInd w:w="0" w:type="dxa"/>
        <w:tblLayout w:type="fixed"/>
        <w:tblCellMar>
          <w:top w:w="28" w:type="dxa"/>
          <w:left w:w="28" w:type="dxa"/>
          <w:bottom w:w="28" w:type="dxa"/>
          <w:right w:w="28" w:type="dxa"/>
        </w:tblCellMar>
      </w:tblPr>
      <w:tblGrid>
        <w:gridCol w:w="2627"/>
        <w:gridCol w:w="2194"/>
        <w:gridCol w:w="2201"/>
        <w:gridCol w:w="211"/>
        <w:gridCol w:w="976"/>
        <w:gridCol w:w="109"/>
        <w:gridCol w:w="109"/>
        <w:gridCol w:w="109"/>
        <w:gridCol w:w="109"/>
        <w:gridCol w:w="211"/>
        <w:gridCol w:w="976"/>
        <w:gridCol w:w="109"/>
        <w:gridCol w:w="109"/>
        <w:gridCol w:w="155"/>
      </w:tblGrid>
      <w:tr>
        <w:trPr/>
        <w:tc>
          <w:tcPr>
            <w:tcW w:w="2627"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264" w:type="dxa"/>
            <w:gridSpan w:val="2"/>
            <w:tcBorders/>
          </w:tcPr>
          <w:p>
            <w:pPr>
              <w:pStyle w:val="TableContents"/>
              <w:bidi w:val="0"/>
              <w:spacing w:before="0" w:after="283"/>
              <w:jc w:val="left"/>
              <w:rPr>
                <w:sz w:val="4"/>
                <w:szCs w:val="4"/>
              </w:rPr>
            </w:pPr>
            <w:r>
              <w:rPr>
                <w:sz w:val="4"/>
                <w:szCs w:val="4"/>
              </w:rPr>
            </w:r>
          </w:p>
        </w:tc>
      </w:tr>
      <w:tr>
        <w:trPr/>
        <w:tc>
          <w:tcPr>
            <w:tcW w:w="7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1,076,266 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1,025,265 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(425,625)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Significant components of net cash flow included:</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development of real estate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investment in unconsolidated real estate ventures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(payments) from unsecured term loans, senior notes, revolving lines of credit and commercial paper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on common stock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believe that cash flows generated by operations, along with our existing cash and cash equivalents, the availability of funds under our existing lines of credit, and our access to capital markets will be sufficient to meet all of our reasonably anticipated cash needs during the next twelve months. These cash needs include operating expenses, monthly debt service payments, acquisitions, funding for the bridge loan program, recurring capital expenditures, building redevelopments and expansions, distributions to unit holders and dividends to stockholders necessary to maintain our REIT qualification.</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expect to generate positive cash flow from operations in 2026, and we consider projected cash flows in our sources and uses of cash. These cash flows are principally derived from rents paid by our tenants. A significant deterioration in projected cash flows from operations could cause us to increase our reliance on available funds under our existing lines of credit, curtail planned capital expenditures, or seek other additional sources of financing.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June 30, 2026, we had $695,171 available in cash and cash equivalents. Our cash and cash equivalents are held in accounts managed by third party financial institutions and consist of invested cash and cash in our operating accounts. During 2026 and 2025, we experienced no loss or lack of access to our cash and cash equivalents; however, there can be no assurance that access to our cash and cash equivalents will not be impacted by adverse conditions in the financial markets.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relating to our debt:</w:t>
      </w:r>
    </w:p>
    <w:tbl>
      <w:tblPr>
        <w:tblW w:w="9839" w:type="dxa"/>
        <w:jc w:val="center"/>
        <w:tblInd w:w="0" w:type="dxa"/>
        <w:tblLayout w:type="fixed"/>
        <w:tblCellMar>
          <w:top w:w="28" w:type="dxa"/>
          <w:left w:w="28" w:type="dxa"/>
          <w:bottom w:w="28" w:type="dxa"/>
          <w:right w:w="28" w:type="dxa"/>
        </w:tblCellMar>
      </w:tblPr>
      <w:tblGrid>
        <w:gridCol w:w="2701"/>
        <w:gridCol w:w="2362"/>
        <w:gridCol w:w="2391"/>
        <w:gridCol w:w="642"/>
        <w:gridCol w:w="446"/>
        <w:gridCol w:w="1297"/>
      </w:tblGrid>
      <w:tr>
        <w:trPr/>
        <w:tc>
          <w:tcPr>
            <w:tcW w:w="2701"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r>
      <w:tr>
        <w:trPr/>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face value of debt</w:t>
            </w:r>
          </w:p>
        </w:tc>
        <w:tc>
          <w:tcPr>
            <w:tcW w:w="6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13,867,886</w:t>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enterprise value ratio</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fixed-rate debt and other instruments to total debt</w:t>
            </w:r>
          </w:p>
        </w:tc>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 xml:space="preserve">78.5% </w:t>
            </w:r>
            <w:r>
              <w:rPr>
                <w:rFonts w:ascii="Times New Roman;serif" w:hAnsi="Times New Roman;serif"/>
                <w:b w:val="false"/>
                <w:color w:val="000000"/>
                <w:sz w:val="13"/>
              </w:rPr>
              <w:t>(1)</w:t>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interest rate of total debt</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454" w:type="dxa"/>
            <w:gridSpan w:val="3"/>
            <w:tcBorders/>
            <w:vAlign w:val="center"/>
          </w:tcPr>
          <w:p>
            <w:pPr>
              <w:pStyle w:val="TableContents"/>
              <w:bidi w:val="0"/>
              <w:spacing w:before="0" w:after="283"/>
              <w:jc w:val="left"/>
              <w:rPr>
                <w:sz w:val="4"/>
                <w:szCs w:val="4"/>
              </w:rPr>
            </w:pPr>
            <w:r>
              <w:rPr>
                <w:sz w:val="4"/>
                <w:szCs w:val="4"/>
              </w:rPr>
            </w:r>
          </w:p>
        </w:tc>
        <w:tc>
          <w:tcPr>
            <w:tcW w:w="2385" w:type="dxa"/>
            <w:gridSpan w:val="3"/>
            <w:tcBorders/>
            <w:vAlign w:val="center"/>
          </w:tcPr>
          <w:p>
            <w:pPr>
              <w:pStyle w:val="TableContents"/>
              <w:bidi w:val="0"/>
              <w:spacing w:before="0" w:after="283"/>
              <w:jc w:val="left"/>
              <w:rPr>
                <w:sz w:val="4"/>
                <w:szCs w:val="4"/>
              </w:rPr>
            </w:pPr>
            <w:r>
              <w:rPr>
                <w:sz w:val="4"/>
                <w:szCs w:val="4"/>
              </w:rPr>
            </w:r>
          </w:p>
        </w:tc>
      </w:tr>
      <w:tr>
        <w:trPr/>
        <w:tc>
          <w:tcPr>
            <w:tcW w:w="7454" w:type="dxa"/>
            <w:gridSpan w:val="3"/>
            <w:tcBorders/>
            <w:vAlign w:val="center"/>
          </w:tcPr>
          <w:p>
            <w:pPr>
              <w:pStyle w:val="TableContents"/>
              <w:bidi w:val="0"/>
              <w:spacing w:before="0" w:after="283"/>
              <w:jc w:val="left"/>
              <w:rPr>
                <w:sz w:val="4"/>
                <w:szCs w:val="4"/>
              </w:rPr>
            </w:pPr>
            <w:r>
              <w:rPr>
                <w:sz w:val="4"/>
                <w:szCs w:val="4"/>
              </w:rPr>
            </w:r>
          </w:p>
        </w:tc>
        <w:tc>
          <w:tcPr>
            <w:tcW w:w="2385" w:type="dxa"/>
            <w:gridSpan w:val="3"/>
            <w:tcBorders/>
            <w:vAlign w:val="center"/>
          </w:tcPr>
          <w:p>
            <w:pPr>
              <w:pStyle w:val="TableContents"/>
              <w:bidi w:val="0"/>
              <w:spacing w:before="0" w:after="283"/>
              <w:jc w:val="left"/>
              <w:rPr>
                <w:sz w:val="4"/>
                <w:szCs w:val="4"/>
              </w:rPr>
            </w:pPr>
            <w:r>
              <w:rPr>
                <w:sz w:val="4"/>
                <w:szCs w:val="4"/>
              </w:rPr>
            </w:r>
          </w:p>
        </w:tc>
      </w:tr>
      <w:tr>
        <w:trPr/>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 $10,890,830 total fixed-rate debt including $777,000 on which we have interest rate swaps that have been included as fixed-rate debt.</w:t>
            </w:r>
          </w:p>
        </w:tc>
      </w:tr>
    </w:tbl>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expect to fund our short-term liquidity requirements, including operating expenses, recurring capital expenditures, dividends to stockholders, distributions to holders of Operating Partnership units and interest on our outstanding indebtedness, out of our operating cash flow, cash on hand and borrowings under our revolving lines of credit and commercial paper. In addition, we are pursuing additional sources of financing based on anticipated funding needs and growth assumptions.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Our commercial paper program provides us the ability to issue, repay and re-issue short-term unsecured commercial paper notes. The aggregate principal amount outstanding under the program at any time cannot exceed $1,000,000, and the net proceeds of the commercial paper notes are expected to be used for general corporate purposes. The maturities of the notes generally range from overnight to three months, with a maximum of up to 397 days. The commercial paper notes are issued under customary terms in the commercial paper market and are issued at a discount from par or, alternatively, can be issued at par and bear varying interest rates on a fixed or floating basis. At any point in time, we expect to maintain available commitments under our credit facility in an amount at least equal to the amount of commercial paper notes outstanding. At June 30, 2026, we had $850,000 in issuances outstanding under the commercial paper program. </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hold a BBB+/Stable rating from S&amp;P and a Baa2/Stable rating from Moody’s Investors Service. We intend to manage our balance sheet to maintain these ratings. Certain of our real estate assets are pledged as collateral for our debt. As of June 30, 2026, we had a total of 1,794 unencumbered stores as defined by our public bonds. Our unencumbered asset value was calculated as $31,069,882 and our total asset value was calculated as $36,807,478 according to the calculations as defined by our public bonds. We are subject to certain restrictive covenants relating to our outstanding debt. We were in compliance with all financial covenants at June 30, 2026.</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Our liquidity needs consist primarily of operating expenses, monthly debt service payments, recurring capital expenditures, distributions to unit holders and dividends to stockholders necessary to maintain our REIT qualification. We evaluate, on an ongoing basis, the merits of strategic acquisitions and other relationships, which may require us to raise additional funds. We may also use Operating Partnership units as currency to fund acquisitions from self-storage owners. In addition, we may from time to time seek to repurchase our outstanding debt, shares of common stock or other securities in open market purchases, privately negotiated transactions or otherwise. Such repurchases, if any, will depend on prevailing market conditions, our liquidity requirements, contractual restrictions and other factors. </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April 15, 2024, we entered into an equity distribution agreement (the “Equity Distribution Agreement”) with certain sales agents and forward purchasers named therein. Under the terms of the Equity Distribution Agreement, we may issue and sell, and the forward purchasers may sell, from time to time through or to the sales agents, shares of our common stock having an aggregate offering price of up to $800,000. The shares of common stock will be offered pursuant to our effective registration statement on Form S-3 (Registration Statement No. 333-278690) previously filed with and declared effective by the Securities and Exchange Commission (the “SEC”) and a prospectus supplement and accompanying prospectus, filed with the SEC. As of June 30, 2026, no shares have been sold under the Equity Distribution Agreement, which we refer to as our “at the market” equity program.</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Except as disclosed in the notes to our consolidated financial statements of our most recently filed Annual Report on Form 10-K, we do not currently have any relationships with unconsolidated entities or financial partnerships, such as entities often referred to as structured finance or special purposes entities, which typically are established for the purpose of facilitating off-balance sheet arrangements or other contractually narrow or limited purposes. Further, except as disclosed in the notes to our condensed consolidated financial statements, we have not guaranteed any obligations of unconsolidated entities, nor do we have any commitments or intent to provide funding to any such entities. Accordingly, we are not materially exposed to any financing, liquidity, market or credit risk that could arise if we had engaged in these relationships.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self-storage business is subject to seasonal fluctuations. A greater portion of revenues and profits is typically realized from May through September. Historically, our highest level of occupancy has been at the end of July, while our lowest level of occupancy has been in late February and early March. Results for any quarter may not be indicative of the results that may be achieved for the full fiscal year.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Market Risk</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Market risk refers to the risk of loss from adverse changes in market prices and interest rates. Our future income, cash flows and fair values of financial instruments are dependent upon prevailing market interest rates.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0" w:after="24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Interest rate risk is highly sensitive to many factors, including governmental monetary and tax policies, domestic and international economic and political considerations and other factors beyond our control.</w:t>
      </w:r>
    </w:p>
    <w:p>
      <w:pPr>
        <w:pStyle w:val="TextBody"/>
        <w:bidi w:val="0"/>
        <w:spacing w:lineRule="auto" w:line="288" w:before="0" w:after="24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June 30, 2026, we had approximately $13.9 billion in total face value of debt, of which approximately $3.0 billion was subject to variable interest rates (excluding debt with interest rate swaps). If SOFR was to increase or decrease by 100 basis points, the increase or decrease in interest expense on the variable-rate debt would increase or decrease future earnings and cash flows by approximately $29.8 million annually.</w:t>
      </w:r>
    </w:p>
    <w:p>
      <w:pPr>
        <w:pStyle w:val="TextBody"/>
        <w:bidi w:val="0"/>
        <w:spacing w:lineRule="auto" w:line="288" w:before="0" w:after="1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Interest rate risk amounts were determined by considering the impact of hypothetical interest rates on our financial instruments. These analyses do not consider the effect of any change in overall economic activity that could occur. Further, in the event of a change of that magnitude, we may take actions to further mitigate our exposure to the change. However, due to the uncertainty of the specific actions that would be taken and their possible effects, these analyses assume no changes in our financial structure.</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(1)Disclosure Controls and Procedures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to ensure that information required to be disclosed in the reports we file pursuant to the Securities Exchange Act of 1934, as amended (the “Exchange Act”), are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of the Exchange Act. In designing and evaluating the disclosure controls and procedures, management recognized that any controls and procedures, no matter how well designed and operated, can only provide a reasonable assurance of achieving the desired control objectives, and in reaching a reasonable level of assurance, management necessarily was required to apply its judgment in evaluating the cost-benefit relationship of possible controls and procedures.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have a disclosure committee that is responsible for considering the materiality of information and determining the disclosure obligations of the Company on a timely basis. The disclosure committee meets quarterly and reports directly to our Chief Executive Officer and Chief Financial Officer.</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carried out an evaluation, under the supervision and with the participation of management, including our Chief Executive Officer and Chief Financial Officer, of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the reasonable assurance level as of the end of the period covered by this report.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(2)Changes in internal control over financial reporting</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such term is defined in Exchange Act Rule 13a-15(f)) that occurred during our most recent quarter that have materially affected, or are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are involved in various legal proceedings and are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We could in the future incur judgments or enter into settlements of claims that could have a material adverse effect on our results of operations in any particular period, notwithstanding the fact that we are currently vigorously defending any legal proceedings against us.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addition to the other information set forth in this report, you should carefully consider the factors discussed in “Part I. Item 1A. Risk Factors” in our Annual Report on Form 10-K for the year ended December 31, 2025, which could materially affect our business, financial condition and results of operations. There have been no material changes to the risk factors described in the “Risk Factors” section in our Annual Report on Form 10-K for the year ended December 31, 2025. The risks described in our Annual Report on Form 10-K and our Quarterly Reports on Form 10-Q are not the only risks facing our company. Additional risks and uncertainties not currently known to us or that we currently deem to be immaterial may also materially adversely affect our business, financial condition and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November 2023, our board of directors authorized a three-year share repurchase program allowing the repurchase of shares with an aggregate value up to $500.0 million of common stock. Purchases are made at management’s discretion based on market conditions and financial resources. During the three months ended June 30, 2026, no shares were repurchased. As of June 30, 2026, we had remaining authorization to repurchase shares with an aggregate value up to $349.0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ind w:left="0" w:right="0" w:hanging="144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our officers or directors adopted, modified or terminated any contract, instruction or written plan for the purchase or sale of our securities that was intended to satisfy the affirmative defense conditions of Rule 10b5-1(c) or any “non Rule 10b5-1 trading arrangement.”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9"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092"/>
        <w:gridCol w:w="1906"/>
        <w:gridCol w:w="1914"/>
        <w:gridCol w:w="231"/>
        <w:gridCol w:w="231"/>
        <w:gridCol w:w="152"/>
        <w:gridCol w:w="513"/>
        <w:gridCol w:w="346"/>
        <w:gridCol w:w="197"/>
        <w:gridCol w:w="227"/>
        <w:gridCol w:w="227"/>
        <w:gridCol w:w="237"/>
        <w:gridCol w:w="262"/>
        <w:gridCol w:w="262"/>
        <w:gridCol w:w="375"/>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0"/>
              <w:jc w:val="center"/>
              <w:rPr>
                <w:rFonts w:ascii="Times New Roman;serif" w:hAnsi="Times New Roman;serif"/>
                <w:b/>
                <w:color w:val="000000"/>
                <w:sz w:val="16"/>
                <w:u w:val="single"/>
              </w:rPr>
            </w:pPr>
            <w:r>
              <w:rPr>
                <w:rFonts w:ascii="Times New Roman;serif" w:hAnsi="Times New Roman;serif"/>
                <w:b/>
                <w:color w:val="000000"/>
                <w:sz w:val="16"/>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Exhibit Description</w:t>
            </w:r>
          </w:p>
        </w:tc>
        <w:tc>
          <w:tcPr>
            <w:tcW w:w="23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Incorporated by Reference</w:t>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Filed Herewith</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Form</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Date</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Number</w:t>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2">
              <w:r>
                <w:rPr>
                  <w:rStyle w:val="InternetLink"/>
                  <w:rFonts w:ascii="Times New Roman;serif" w:hAnsi="Times New Roman;serif"/>
                  <w:b w:val="false"/>
                  <w:color w:val="0000FF"/>
                  <w:sz w:val="20"/>
                  <w:u w:val="single"/>
                </w:rPr>
                <w:t>Equity Distribution Agreement, dated April 15, 2024, by and among Extra Space Storage Inc., Extra Space Storage LP, BMO Capital Markets Corp., BofA Securities, Inc., Citigroup Global Markets Inc., Jefferies LLC, J.P. Morgan Securities LLC, Regions Securities LLC, TD Securities (USA) LLC, Truist Securities, Inc. and Wells Fargo Securities, LLC</w:t>
              </w:r>
            </w:hyperlink>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S-3ASR</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April 15, 2024</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3">
              <w:r>
                <w:rPr>
                  <w:rStyle w:val="InternetLink"/>
                  <w:rFonts w:ascii="Times New Roman;serif" w:hAnsi="Times New Roman;serif"/>
                  <w:b w:val="false"/>
                  <w:color w:val="0000FF"/>
                  <w:sz w:val="20"/>
                  <w:u w:val="single"/>
                </w:rPr>
                <w:t xml:space="preserve">Agreement and Plan of Merger, dated as of April 2, 2023, by and among Extra Space Storage Inc., Extra Space Storage LP, Eros Merger Sub, LLC, Eros OP Merger Sub, LLC, Life Storage, Inc. and Life Storage LP </w:t>
              </w:r>
            </w:hyperlink>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April 3, 2023</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4">
              <w:r>
                <w:rPr>
                  <w:rStyle w:val="InternetLink"/>
                  <w:rFonts w:ascii="Times New Roman;serif" w:hAnsi="Times New Roman;serif"/>
                  <w:b w:val="false"/>
                  <w:color w:val="0000FF"/>
                  <w:sz w:val="20"/>
                  <w:u w:val="single"/>
                </w:rPr>
                <w:t>Amendment to Agreement and Plan of Merger, dated as of May 18, 2023, by and among Extra Space Storage Inc., Extra Space Storage LP, Eros Merger Sub, LLC, Eros OP Merger Sub, LLC, Life Storage, Inc. and Life Storage LP</w:t>
              </w:r>
            </w:hyperlink>
            <w:r>
              <w:rPr>
                <w:color w:val="000000"/>
              </w:rPr>
              <w:t xml:space="preserve"> </w:t>
            </w:r>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July 20, 2023</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5">
              <w:r>
                <w:rPr>
                  <w:rStyle w:val="InternetLink"/>
                  <w:rFonts w:ascii="Times New Roman;serif" w:hAnsi="Times New Roman;serif"/>
                  <w:b w:val="false"/>
                  <w:color w:val="0000FF"/>
                  <w:sz w:val="20"/>
                  <w:u w:val="single"/>
                </w:rPr>
                <w:t>Amended and Restated Articles of Incorporation of Extra Space Storage Inc.</w:t>
              </w:r>
            </w:hyperlink>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S-11</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August 10, 2004</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6">
              <w:r>
                <w:rPr>
                  <w:rStyle w:val="InternetLink"/>
                  <w:rFonts w:ascii="Times New Roman;serif" w:hAnsi="Times New Roman;serif"/>
                  <w:b w:val="false"/>
                  <w:color w:val="0000FF"/>
                  <w:sz w:val="20"/>
                  <w:u w:val="single"/>
                </w:rPr>
                <w:t>Articles of Amendment of Extra Space Storage Inc., dated September 28, 2007.</w:t>
              </w:r>
            </w:hyperlink>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October 3, 2007</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7">
              <w:r>
                <w:rPr>
                  <w:rStyle w:val="InternetLink"/>
                  <w:rFonts w:ascii="Times New Roman;serif" w:hAnsi="Times New Roman;serif"/>
                  <w:b w:val="false"/>
                  <w:color w:val="0000FF"/>
                  <w:sz w:val="20"/>
                  <w:u w:val="single"/>
                </w:rPr>
                <w:t>Articles of Amendment of Extra Space Storage Inc., dated August 29, 2013.</w:t>
              </w:r>
            </w:hyperlink>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August 29, 2013</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8">
              <w:r>
                <w:rPr>
                  <w:rStyle w:val="InternetLink"/>
                  <w:rFonts w:ascii="Times New Roman;serif" w:hAnsi="Times New Roman;serif"/>
                  <w:b w:val="false"/>
                  <w:color w:val="0000FF"/>
                  <w:sz w:val="20"/>
                  <w:u w:val="single"/>
                </w:rPr>
                <w:t>Articles of Amendment of Extra Space Storage Inc., dated May 21, 2014.</w:t>
              </w:r>
            </w:hyperlink>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May 28, 2014</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9">
              <w:r>
                <w:rPr>
                  <w:rStyle w:val="InternetLink"/>
                  <w:rFonts w:ascii="Times New Roman;serif" w:hAnsi="Times New Roman;serif"/>
                  <w:b w:val="false"/>
                  <w:color w:val="0000FF"/>
                  <w:sz w:val="20"/>
                  <w:u w:val="single"/>
                </w:rPr>
                <w:t>Second Amended and Restated Bylaws of Extra Space Storage Inc.</w:t>
              </w:r>
            </w:hyperlink>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January 17, 2018</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10">
              <w:r>
                <w:rPr>
                  <w:rStyle w:val="InternetLink"/>
                  <w:rFonts w:ascii="Times New Roman;serif" w:hAnsi="Times New Roman;serif"/>
                  <w:b w:val="false"/>
                  <w:color w:val="0000FF"/>
                  <w:sz w:val="20"/>
                  <w:u w:val="single"/>
                </w:rPr>
                <w:t>Fourth Amended and Restated Agreement of Limited Partnership of Extra Space Storage LP.</w:t>
              </w:r>
            </w:hyperlink>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6, 2013</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11">
              <w:r>
                <w:rPr>
                  <w:rStyle w:val="InternetLink"/>
                  <w:rFonts w:ascii="Times New Roman;serif" w:hAnsi="Times New Roman;serif"/>
                  <w:b w:val="false"/>
                  <w:color w:val="0000FF"/>
                  <w:sz w:val="20"/>
                  <w:u w:val="single"/>
                </w:rPr>
                <w:t>Junior Subordinated Note</w:t>
              </w:r>
            </w:hyperlink>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2010</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12">
              <w:r>
                <w:rPr>
                  <w:rStyle w:val="InternetLink"/>
                  <w:rFonts w:ascii="Times New Roman;serif" w:hAnsi="Times New Roman;serif"/>
                  <w:b w:val="false"/>
                  <w:color w:val="0000FF"/>
                  <w:sz w:val="20"/>
                  <w:u w:val="single"/>
                </w:rPr>
                <w:t>Description of Securities</w:t>
              </w:r>
            </w:hyperlink>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February 25, 2020</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13">
              <w:r>
                <w:rPr>
                  <w:rStyle w:val="InternetLink"/>
                  <w:rFonts w:ascii="Times New Roman;serif" w:hAnsi="Times New Roman;serif"/>
                  <w:b w:val="false"/>
                  <w:color w:val="0000FF"/>
                  <w:sz w:val="20"/>
                  <w:u w:val="single"/>
                </w:rPr>
                <w:t>Indenture, dated as of May 11, 2021, among Extra Space Storage LP, as issuer, Extra Space Storage Inc., ESS Holdings Business Trust I and ESS Holdings Business Trust II, as guarantors, and Wells Fargo Bank, National Association, as trustee.</w:t>
              </w:r>
            </w:hyperlink>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May 11, 2021</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14">
              <w:r>
                <w:rPr>
                  <w:rStyle w:val="InternetLink"/>
                  <w:rFonts w:ascii="Times New Roman;serif" w:hAnsi="Times New Roman;serif"/>
                  <w:b w:val="false"/>
                  <w:color w:val="0000FF"/>
                  <w:sz w:val="20"/>
                  <w:u w:val="single"/>
                </w:rPr>
                <w:t>First Supplemental Indenture, dated as of May 11, 2021, among Extra Space Storage LP, as issuer, Extra Space Storage Inc., ESS Holdings Business Trust I and ESS Holdings Business Trust II, as guarantors, and Wells Fargo Bank, National Association, as trustee, including the form of the Notes and the Guarantee.</w:t>
              </w:r>
            </w:hyperlink>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May 11, 2021</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15">
              <w:r>
                <w:rPr>
                  <w:rStyle w:val="InternetLink"/>
                  <w:rFonts w:ascii="Times New Roman;serif" w:hAnsi="Times New Roman;serif"/>
                  <w:b w:val="false"/>
                  <w:color w:val="0000FF"/>
                  <w:sz w:val="20"/>
                  <w:u w:val="single"/>
                </w:rPr>
                <w:t>Second Supplemental Indenture, dated as of September 22, 2021, among Extra Space Storage LP, as issuer, Extra Space Storage Inc., ESS Holdings Business Trust I and ESS Holdings Business Trust II, as guarantors, and Wells Fargo Bank, National Association, as trustee, including the form of the Notes and the Guarantee.</w:t>
              </w:r>
            </w:hyperlink>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September 22, 2021</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16">
              <w:r>
                <w:rPr>
                  <w:rStyle w:val="InternetLink"/>
                  <w:rFonts w:ascii="Times New Roman;serif" w:hAnsi="Times New Roman;serif"/>
                  <w:b w:val="false"/>
                  <w:color w:val="0000FF"/>
                  <w:sz w:val="20"/>
                  <w:u w:val="single"/>
                </w:rPr>
                <w:t>Third Supplemental Indenture, dated as of March 31, 2022, among Extra Space Storage LP, as issuer, Extra Space Storage Inc., ESS Holdings Business Trust I and ESS Holdings Business Trust II, as guarantors, and Computershare Trust Company, N.A., as trustee, including the form of the Notes and the Guarantee.</w:t>
              </w:r>
            </w:hyperlink>
          </w:p>
        </w:tc>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March 31, 2022</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40"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3"/>
        <w:gridCol w:w="152"/>
        <w:gridCol w:w="156"/>
        <w:gridCol w:w="109"/>
        <w:gridCol w:w="109"/>
        <w:gridCol w:w="109"/>
        <w:gridCol w:w="2454"/>
        <w:gridCol w:w="2454"/>
        <w:gridCol w:w="2460"/>
        <w:gridCol w:w="115"/>
        <w:gridCol w:w="115"/>
        <w:gridCol w:w="115"/>
        <w:gridCol w:w="457"/>
        <w:gridCol w:w="244"/>
        <w:gridCol w:w="245"/>
        <w:gridCol w:w="120"/>
        <w:gridCol w:w="120"/>
        <w:gridCol w:w="121"/>
        <w:gridCol w:w="109"/>
        <w:gridCol w:w="109"/>
        <w:gridCol w:w="159"/>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17">
              <w:r>
                <w:rPr>
                  <w:rStyle w:val="InternetLink"/>
                  <w:rFonts w:ascii="Times New Roman;serif" w:hAnsi="Times New Roman;serif"/>
                  <w:b w:val="false"/>
                  <w:color w:val="0000FF"/>
                  <w:sz w:val="20"/>
                  <w:u w:val="single"/>
                </w:rPr>
                <w:t>Fourth Supplemental Indenture, dated as of March 28, 2023, among Extra Space Storage LP, as issuer, Extra Space Storage Inc., ESS Holdings Business Trust I and ESS Holdings Business Trust II, as guarantors, and Computershare Trust Company, N.A., as trustee, including the form of the Notes and the Guarantee.</w:t>
              </w:r>
            </w:hyperlink>
          </w:p>
        </w:tc>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March 28, 2023</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18">
              <w:r>
                <w:rPr>
                  <w:rStyle w:val="InternetLink"/>
                  <w:rFonts w:ascii="Times New Roman;serif" w:hAnsi="Times New Roman;serif"/>
                  <w:b w:val="false"/>
                  <w:color w:val="0000FF"/>
                  <w:sz w:val="20"/>
                  <w:u w:val="single"/>
                </w:rPr>
                <w:t>Fifth Supplemental Indenture, dated as of June 16, 2023, among Extra Space Storage LP, as issuer, Extra Space Storage Inc., ESS Holdings Business Trust I and ESS Holdings Business Trust II, as guarantors, and Computershare Trust Company, N.A., as trustee, including the form of the Notes and the Guarantee.</w:t>
              </w:r>
            </w:hyperlink>
          </w:p>
        </w:tc>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June 16, 2023</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19">
              <w:r>
                <w:rPr>
                  <w:rStyle w:val="InternetLink"/>
                  <w:rFonts w:ascii="Times New Roman;serif" w:hAnsi="Times New Roman;serif"/>
                  <w:b w:val="false"/>
                  <w:color w:val="0000FF"/>
                  <w:sz w:val="20"/>
                  <w:u w:val="single"/>
                </w:rPr>
                <w:t>Seventh Supplemental Indenture, dated as of July 25, 2023, among Extra Space Storage LP, as issuer, Extra Space Storage Inc., ESS Holdings Business Trust I and ESS Holdings Business Trust II, as guarantors, and Computershare Trust Company, N.A., as trustee, including the form of the Notes and the Guarantee.</w:t>
              </w:r>
            </w:hyperlink>
          </w:p>
        </w:tc>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July 25, 2023</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20">
              <w:r>
                <w:rPr>
                  <w:rStyle w:val="InternetLink"/>
                  <w:rFonts w:ascii="Times New Roman;serif" w:hAnsi="Times New Roman;serif"/>
                  <w:b w:val="false"/>
                  <w:color w:val="0000FF"/>
                  <w:sz w:val="20"/>
                  <w:u w:val="single"/>
                </w:rPr>
                <w:t>Eighth Supplemental Indenture, dated as of July 25, 2023, among Extra Space Storage LP, as issuer, Extra Space Storage Inc., ESS Holdings Business Trust I and ESS Holdings Business Trust II, as guarantors, and Computershare Trust Company, N.A., as trustee, including the form of the Notes and the Guarantee.</w:t>
              </w:r>
            </w:hyperlink>
          </w:p>
        </w:tc>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July 25, 2023</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21">
              <w:r>
                <w:rPr>
                  <w:rStyle w:val="InternetLink"/>
                  <w:rFonts w:ascii="Times New Roman;serif" w:hAnsi="Times New Roman;serif"/>
                  <w:b w:val="false"/>
                  <w:color w:val="0000FF"/>
                  <w:sz w:val="20"/>
                  <w:u w:val="single"/>
                </w:rPr>
                <w:t>Ninth Supplemental Indenture, dated as of July 25, 2023, among Extra Space Storage LP, as issuer, Extra Space Storage Inc., ESS Holdings Business Trust I and ESS Holdings Business Trust II, as guarantors, and Computershare Trust Company, N.A., as trustee, including the form of the Notes and the Guarantee.</w:t>
              </w:r>
            </w:hyperlink>
          </w:p>
        </w:tc>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July 25, 2023</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22">
              <w:r>
                <w:rPr>
                  <w:rStyle w:val="InternetLink"/>
                  <w:rFonts w:ascii="Times New Roman;serif" w:hAnsi="Times New Roman;serif"/>
                  <w:b w:val="false"/>
                  <w:color w:val="0000FF"/>
                  <w:sz w:val="20"/>
                  <w:u w:val="single"/>
                </w:rPr>
                <w:t>Tenth Supplemental Indenture, dated as of July 25, 2023, among Extra Space Storage LP, as issuer, Extra Space Storage Inc., ESS Holdings Business Trust I and ESS Holdings Business Trust II, as guarantors, and Computershare Trust Company, N.A., as trustee, including the form of the Notes and the Guarantee.</w:t>
              </w:r>
            </w:hyperlink>
          </w:p>
        </w:tc>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July 25, 2023</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23">
              <w:r>
                <w:rPr>
                  <w:rStyle w:val="InternetLink"/>
                  <w:rFonts w:ascii="Times New Roman;serif" w:hAnsi="Times New Roman;serif"/>
                  <w:b w:val="false"/>
                  <w:color w:val="0000FF"/>
                  <w:sz w:val="20"/>
                  <w:u w:val="single"/>
                </w:rPr>
                <w:t>Eleventh Supplemental Indenture, dated as of December 1, 2023, among Extra Space Storage LP, as issuer, Extra Space Storage Inc., ESS Holdings Business Trust I and ESS Holdings Business Trust II, as guarantors, and Computershare Trust Company, N.A., as trustee, including the form of the Notes and the Guarantee.</w:t>
              </w:r>
            </w:hyperlink>
          </w:p>
        </w:tc>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December 1, 2023</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24">
              <w:r>
                <w:rPr>
                  <w:rStyle w:val="InternetLink"/>
                  <w:rFonts w:ascii="Times New Roman;serif" w:hAnsi="Times New Roman;serif"/>
                  <w:b w:val="false"/>
                  <w:color w:val="0000FF"/>
                  <w:sz w:val="20"/>
                  <w:u w:val="single"/>
                </w:rPr>
                <w:t>Twelfth Supplemental Indenture, dated as of January 19, 2024, among Extra Space Storage LP, as issuer, Extra Space Storage Inc., ESS Holdings Business Trust I and ESS Holdings Business Trust II, as guarantors, and Computershare Trust Company, N.A., as trustee, including the form of the Notes and the Guarantee.</w:t>
              </w:r>
            </w:hyperlink>
          </w:p>
        </w:tc>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January 19, 2024</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25">
              <w:r>
                <w:rPr>
                  <w:rStyle w:val="InternetLink"/>
                  <w:rFonts w:ascii="Times New Roman;serif" w:hAnsi="Times New Roman;serif"/>
                  <w:b w:val="false"/>
                  <w:color w:val="0000FF"/>
                  <w:sz w:val="20"/>
                  <w:u w:val="single"/>
                </w:rPr>
                <w:t>Thirteenth Supplemental Indenture, dated as of August 12, 2024, among Extra Space Storage LP, as issuer, Extra Space Storage Inc., ESS Holdings Business Trust I and ESS Holdings Business Trust II, as guarantors, and Computershare Trust Company, N.A., as trustee, including the form of the Notes and the Guarantee.</w:t>
              </w:r>
            </w:hyperlink>
          </w:p>
        </w:tc>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August 12, 2024</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26">
              <w:r>
                <w:rPr>
                  <w:rStyle w:val="InternetLink"/>
                  <w:rFonts w:ascii="Times New Roman;serif" w:hAnsi="Times New Roman;serif"/>
                  <w:b w:val="false"/>
                  <w:color w:val="0000FF"/>
                  <w:sz w:val="20"/>
                  <w:u w:val="single"/>
                </w:rPr>
                <w:t>Fourteenth Supplemental Indenture, dated as of March 19, 2025, among Extra Space Storage LP, as issuer, Extra Space Storage Inc., ESS Holdings Business Trust I and ESS Holdings Business Trust II, as guarantors, and Computershare Trust Company, N.A., as trustee, including the form of the Notes and the Guarantee.</w:t>
              </w:r>
            </w:hyperlink>
          </w:p>
        </w:tc>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March 19, 2025</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41"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2586"/>
        <w:gridCol w:w="2548"/>
        <w:gridCol w:w="2555"/>
        <w:gridCol w:w="112"/>
        <w:gridCol w:w="112"/>
        <w:gridCol w:w="112"/>
        <w:gridCol w:w="211"/>
        <w:gridCol w:w="211"/>
        <w:gridCol w:w="212"/>
        <w:gridCol w:w="120"/>
        <w:gridCol w:w="120"/>
        <w:gridCol w:w="121"/>
        <w:gridCol w:w="109"/>
        <w:gridCol w:w="109"/>
        <w:gridCol w:w="15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27">
              <w:r>
                <w:rPr>
                  <w:rStyle w:val="InternetLink"/>
                  <w:rFonts w:ascii="Times New Roman;serif" w:hAnsi="Times New Roman;serif"/>
                  <w:b w:val="false"/>
                  <w:color w:val="0000FF"/>
                  <w:sz w:val="20"/>
                  <w:u w:val="single"/>
                </w:rPr>
                <w:t>Fifteenth Supplemental Indenture, dated as of August 8, 2025, among Extra Space Storage LP, as issuer, Extra Space Storage Inc., ESS Holdings Business Trust I and ESS Holdings Business Trust II, as guarantors, and Computershare Trust Company, N.A., as trustee, including the form of the Notes and the Guarantee.</w:t>
              </w:r>
            </w:hyperlink>
          </w:p>
        </w:tc>
        <w:tc>
          <w:tcPr>
            <w:tcW w:w="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63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August 8, 2025</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28">
              <w:r>
                <w:rPr>
                  <w:rStyle w:val="InternetLink"/>
                  <w:rFonts w:ascii="Times New Roman;serif" w:hAnsi="Times New Roman;serif"/>
                  <w:b w:val="false"/>
                  <w:color w:val="0000FF"/>
                  <w:sz w:val="20"/>
                  <w:u w:val="single"/>
                </w:rPr>
                <w:t>Sixteenth Supplemental Indenture, dated as of July 6, 2026, among Extra Space Storage LP, as issuer, Extra Space Storage Inc., ESS Holdings Business Trust I and ESS Holdings Business Trust II, as guarantors, and Computershare Trust Company, N.A., as trustee, including the form of the Notes and the Guarantee.</w:t>
              </w:r>
            </w:hyperlink>
          </w:p>
        </w:tc>
        <w:tc>
          <w:tcPr>
            <w:tcW w:w="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63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July 6, 2026</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29">
              <w:r>
                <w:rPr>
                  <w:rStyle w:val="InternetLink"/>
                  <w:rFonts w:ascii="Times New Roman;serif" w:hAnsi="Times New Roman;serif"/>
                  <w:b w:val="false"/>
                  <w:color w:val="0000FF"/>
                  <w:sz w:val="20"/>
                  <w:u w:val="single"/>
                </w:rPr>
                <w:t>Base Indenture, dated as of June 20, 2016, among Life Storage, Inc., Life Storage LP and Wells Fargo Bank, National Association (incorporated by reference to Exhibit 4.2 to the Annual Report on Form 10-K filed by Life Storage Inc. on February 24, 2023).</w:t>
              </w:r>
            </w:hyperlink>
          </w:p>
        </w:tc>
        <w:tc>
          <w:tcPr>
            <w:tcW w:w="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63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July 25, 2023</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30">
              <w:r>
                <w:rPr>
                  <w:rStyle w:val="InternetLink"/>
                  <w:rFonts w:ascii="Times New Roman;serif" w:hAnsi="Times New Roman;serif"/>
                  <w:b w:val="false"/>
                  <w:color w:val="0000FF"/>
                  <w:sz w:val="20"/>
                  <w:u w:val="single"/>
                </w:rPr>
                <w:t>Sixth Supplemental Indenture, dated as of July 25, 2023, among Life Storage LP, as issuer, Life Storage LLC, as parent guarantor, and Computershare Trust Company, N.A., as trustee.</w:t>
              </w:r>
            </w:hyperlink>
          </w:p>
        </w:tc>
        <w:tc>
          <w:tcPr>
            <w:tcW w:w="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63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July 25, 2023</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q2202610qex221.htm">
              <w:r>
                <w:rPr>
                  <w:rStyle w:val="InternetLink"/>
                  <w:rFonts w:ascii="Times New Roman;serif" w:hAnsi="Times New Roman;serif"/>
                  <w:b w:val="false"/>
                  <w:color w:val="0000FF"/>
                  <w:sz w:val="20"/>
                  <w:u w:val="single"/>
                </w:rPr>
                <w:t>Issuer and Guarantors of Guaranteed Securities</w:t>
              </w:r>
            </w:hyperlink>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q2202610qex311.htm">
              <w:r>
                <w:rPr>
                  <w:rStyle w:val="InternetLink"/>
                  <w:rFonts w:ascii="Times New Roman;serif" w:hAnsi="Times New Roman;serif"/>
                  <w:b w:val="false"/>
                  <w:color w:val="0000FF"/>
                  <w:sz w:val="20"/>
                  <w:u w:val="single"/>
                </w:rPr>
                <w:t>Certification of Chief Executive Officer pursuant to Section 302 of the Sarbanes-Oxley Act of 2002.</w:t>
              </w:r>
            </w:hyperlink>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q2202610qex312.htm">
              <w:r>
                <w:rPr>
                  <w:rStyle w:val="InternetLink"/>
                  <w:rFonts w:ascii="Times New Roman;serif" w:hAnsi="Times New Roman;serif"/>
                  <w:b w:val="false"/>
                  <w:color w:val="0000FF"/>
                  <w:sz w:val="20"/>
                  <w:u w:val="single"/>
                </w:rPr>
                <w:t>Certification of Chief Financial Officer pursuant to Section 302 of the Sarbanes-Oxley Act of 2002.</w:t>
              </w:r>
            </w:hyperlink>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q2202610qex321.htm">
              <w:r>
                <w:rPr>
                  <w:rStyle w:val="InternetLink"/>
                  <w:rFonts w:ascii="Times New Roman;serif" w:hAnsi="Times New Roman;serif"/>
                  <w:b w:val="false"/>
                  <w:color w:val="0000FF"/>
                  <w:sz w:val="20"/>
                  <w:u w:val="single"/>
                </w:rPr>
                <w:t>Certifications of the Chief Executive Officer and Chief Financial Officer pursuant to 18 U.S.C. Section 1350, as adopted pursuant to Section 906 of the Sarbanes-Oxley Act of 2002.</w:t>
              </w:r>
            </w:hyperlink>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The following materials from Extra Space Storage Inc.’s Quarterly Report on Form 10-Q for the quarter ended June 30, 2026, are formatted in XBRL (eXtensible Business Reporting Language): (1) the Condensed Consolidated Balance Sheets, (2) the Condensed Consolidated Statements of Operations, (3) the Condensed Consolidated Statements of Comprehensive Income (4) the Condensed Consolidated Statements of Noncontrolling Interests and Equity, (5) the Condensed Consolidated Statements of Cash Flows and (6) notes to these financial statements.</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7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42"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8950"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2022"/>
        <w:gridCol w:w="2022"/>
        <w:gridCol w:w="2870"/>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EXTRA SPACE STORAGE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Registrant</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D. Margolis</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Joseph D. Margolis</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br/>
              <w:t>(Principal Executive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 Norman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 Norman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 (Principal Financial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43"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Issuer and Guarantors of Guaranteed Securities </w: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following entities were issuers or guarantors, as set forth below, for the 3.875% Senior Notes due 2027, the 5.700% Senior Notes due 2028, the 3.900% Senior Notes due 2029, the 4.000% Senior Notes due 2029, the 2.200% Senior Notes due 2030, the 2.550% Senior Notes due 2031, the 2.400% Senior Notes due 2031, the 2.350% Senior Notes due 2032, the 4.900% Senior Notes due 2032, the 4.950% Senior Notes due 2033, the 5.400% Senior Notes due 2034, the 5.350% Senior Notes due 2035, and the 5.400% Senior Notes due 2035 (collectively, the “Notes”). The guarantors have fully and unconditionally guaranteed the Notes on a joint and several basis. </w:t>
      </w:r>
    </w:p>
    <w:tbl>
      <w:tblPr>
        <w:tblW w:w="8144" w:type="dxa"/>
        <w:jc w:val="left"/>
        <w:tblInd w:w="0" w:type="dxa"/>
        <w:tblLayout w:type="fixed"/>
        <w:tblCellMar>
          <w:top w:w="28" w:type="dxa"/>
          <w:left w:w="28" w:type="dxa"/>
          <w:bottom w:w="28" w:type="dxa"/>
          <w:right w:w="28" w:type="dxa"/>
        </w:tblCellMar>
      </w:tblPr>
      <w:tblGrid>
        <w:gridCol w:w="956"/>
        <w:gridCol w:w="839"/>
        <w:gridCol w:w="844"/>
        <w:gridCol w:w="829"/>
        <w:gridCol w:w="829"/>
        <w:gridCol w:w="832"/>
        <w:gridCol w:w="883"/>
        <w:gridCol w:w="883"/>
        <w:gridCol w:w="1249"/>
      </w:tblGrid>
      <w:tr>
        <w:trPr/>
        <w:tc>
          <w:tcPr>
            <w:tcW w:w="95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 of Issuer or Guarantor</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 as Issuer or Guarantor</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of Incorporation or Organization</w:t>
            </w:r>
          </w:p>
        </w:tc>
      </w:tr>
      <w:tr>
        <w:trPr/>
        <w:tc>
          <w:tcPr>
            <w:tcW w:w="26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Extra Space Storage LP</w:t>
            </w:r>
          </w:p>
        </w:tc>
        <w:tc>
          <w:tcPr>
            <w:tcW w:w="24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Issuer</w:t>
            </w:r>
          </w:p>
        </w:tc>
        <w:tc>
          <w:tcPr>
            <w:tcW w:w="30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Extra Space Storage Inc.</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Parent Guarantor</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Maryland</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ESS Holdings Business Trust I</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Subsidiary Guarantor</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Massachusetts </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ESS Holdings Business Trust II</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Subsidiary Guarantor</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Massachusetts</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Joseph D. Margolis,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Extra Space Storage Inc.;</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408" w:type="dxa"/>
        <w:jc w:val="center"/>
        <w:tblInd w:w="0" w:type="dxa"/>
        <w:tblLayout w:type="fixed"/>
        <w:tblCellMar>
          <w:top w:w="28" w:type="dxa"/>
          <w:left w:w="28" w:type="dxa"/>
          <w:bottom w:w="28" w:type="dxa"/>
          <w:right w:w="28" w:type="dxa"/>
        </w:tblCellMar>
      </w:tblPr>
      <w:tblGrid>
        <w:gridCol w:w="618"/>
        <w:gridCol w:w="544"/>
        <w:gridCol w:w="547"/>
        <w:gridCol w:w="208"/>
        <w:gridCol w:w="208"/>
        <w:gridCol w:w="213"/>
        <w:gridCol w:w="605"/>
        <w:gridCol w:w="605"/>
        <w:gridCol w:w="860"/>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D. Margolis</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Joseph D. Margolis</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Jeff Norman,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Extra Space Storage Inc.;</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778" w:type="dxa"/>
        <w:jc w:val="center"/>
        <w:tblInd w:w="0" w:type="dxa"/>
        <w:tblLayout w:type="fixed"/>
        <w:tblCellMar>
          <w:top w:w="28" w:type="dxa"/>
          <w:left w:w="28" w:type="dxa"/>
          <w:bottom w:w="28" w:type="dxa"/>
          <w:right w:w="28" w:type="dxa"/>
        </w:tblCellMar>
      </w:tblPr>
      <w:tblGrid>
        <w:gridCol w:w="618"/>
        <w:gridCol w:w="544"/>
        <w:gridCol w:w="547"/>
        <w:gridCol w:w="208"/>
        <w:gridCol w:w="208"/>
        <w:gridCol w:w="213"/>
        <w:gridCol w:w="1299"/>
        <w:gridCol w:w="1299"/>
        <w:gridCol w:w="1842"/>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 Norman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 Norman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 and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undersigned, the Chief Executive Officer of Extra Space Storage Inc. (the “Company”), hereby certifies to his knowledge on the date hereof, pursuant to 18 U.S.C. 1350(a), as adopted pursuant to Section 906 of the Sarbanes-Oxley Act of 2002, that the Quarterly Report on Form 10-Q for the quarter ended June 30, 2026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tbl>
      <w:tblPr>
        <w:tblW w:w="3041" w:type="dxa"/>
        <w:jc w:val="left"/>
        <w:tblInd w:w="0" w:type="dxa"/>
        <w:tblLayout w:type="fixed"/>
        <w:tblCellMar>
          <w:top w:w="28" w:type="dxa"/>
          <w:left w:w="28" w:type="dxa"/>
          <w:bottom w:w="28" w:type="dxa"/>
          <w:right w:w="28" w:type="dxa"/>
        </w:tblCellMar>
      </w:tblPr>
      <w:tblGrid>
        <w:gridCol w:w="124"/>
        <w:gridCol w:w="109"/>
        <w:gridCol w:w="109"/>
        <w:gridCol w:w="208"/>
        <w:gridCol w:w="208"/>
        <w:gridCol w:w="213"/>
        <w:gridCol w:w="605"/>
        <w:gridCol w:w="605"/>
        <w:gridCol w:w="8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D. Margolis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Joseph D. Margolis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undersigned, the Chief Financial Officer of Extra Space Storage Inc. (the “Company”), hereby certifies to his knowledge on the date hereof, pursuant to 18 U.S.C. 1350(a), as adopted pursuant to Section 906 of the Sarbanes-Oxley Act of 2002, that the Quarterly Report on Form 10-Q for the quarter ended June 30, 2026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tbl>
      <w:tblPr>
        <w:tblW w:w="5411" w:type="dxa"/>
        <w:jc w:val="left"/>
        <w:tblInd w:w="0" w:type="dxa"/>
        <w:tblLayout w:type="fixed"/>
        <w:tblCellMar>
          <w:top w:w="28" w:type="dxa"/>
          <w:left w:w="28" w:type="dxa"/>
          <w:bottom w:w="28" w:type="dxa"/>
          <w:right w:w="28" w:type="dxa"/>
        </w:tblCellMar>
      </w:tblPr>
      <w:tblGrid>
        <w:gridCol w:w="124"/>
        <w:gridCol w:w="109"/>
        <w:gridCol w:w="109"/>
        <w:gridCol w:w="208"/>
        <w:gridCol w:w="208"/>
        <w:gridCol w:w="213"/>
        <w:gridCol w:w="1299"/>
        <w:gridCol w:w="1299"/>
        <w:gridCol w:w="18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 Norman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 Norman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89490/000119312524096283/d741588dex12.htm" TargetMode="External"/><Relationship Id="rId3" Type="http://schemas.openxmlformats.org/officeDocument/2006/relationships/hyperlink" Target="https://www.sec.gov/Archives/edgar/data/1289490/000119312523089776/d487333dex21.htm" TargetMode="External"/><Relationship Id="rId4" Type="http://schemas.openxmlformats.org/officeDocument/2006/relationships/hyperlink" Target="https://www.sec.gov/Archives/edgar/data/1289490/000119312523149320/d486997dex21.htm" TargetMode="External"/><Relationship Id="rId5" Type="http://schemas.openxmlformats.org/officeDocument/2006/relationships/hyperlink" Target="https://www.sec.gov/Archives/edgar/data/1289490/000119312504136936/dex31.htm" TargetMode="External"/><Relationship Id="rId6" Type="http://schemas.openxmlformats.org/officeDocument/2006/relationships/hyperlink" Target="https://www.sec.gov/Archives/edgar/data/1289490/000110465907072983/a07-25208_1ex3d1.htm" TargetMode="External"/><Relationship Id="rId7" Type="http://schemas.openxmlformats.org/officeDocument/2006/relationships/hyperlink" Target="https://www.sec.gov/Archives/edgar/data/1289490/000110465913067080/a13-19441_1ex3d1.htm" TargetMode="External"/><Relationship Id="rId8" Type="http://schemas.openxmlformats.org/officeDocument/2006/relationships/hyperlink" Target="https://www.sec.gov/Archives/edgar/data/1289490/000110465914042025/a14-13799_1ex3d1.htm" TargetMode="External"/><Relationship Id="rId9" Type="http://schemas.openxmlformats.org/officeDocument/2006/relationships/hyperlink" Target="https://www.sec.gov/Archives/edgar/data/1289490/000162828018000388/exr-secondamendedandrestat.htm" TargetMode="External"/><Relationship Id="rId10" Type="http://schemas.openxmlformats.org/officeDocument/2006/relationships/hyperlink" Target="https://www.sec.gov/Archives/edgar/data/1289490/000110465913088877/a13-25830_1ex10d1.htm" TargetMode="External"/><Relationship Id="rId11" Type="http://schemas.openxmlformats.org/officeDocument/2006/relationships/hyperlink" Target="https://www.sec.gov/Archives/edgar/data/1289490/000104746910001564/a2196671zex-4_3.htm" TargetMode="External"/><Relationship Id="rId12" Type="http://schemas.openxmlformats.org/officeDocument/2006/relationships/hyperlink" Target="https://www.sec.gov/Archives/edgar/data/1289490/000162828020002202/ex46descriptionofsecur.htm" TargetMode="External"/><Relationship Id="rId13" Type="http://schemas.openxmlformats.org/officeDocument/2006/relationships/hyperlink" Target="https://www.sec.gov/Archives/edgar/data/1289490/000119312521157616/d469365dex41.htm" TargetMode="External"/><Relationship Id="rId14" Type="http://schemas.openxmlformats.org/officeDocument/2006/relationships/hyperlink" Target="https://www.sec.gov/Archives/edgar/data/1289490/000119312521157616/d469365dex42.htm" TargetMode="External"/><Relationship Id="rId15" Type="http://schemas.openxmlformats.org/officeDocument/2006/relationships/hyperlink" Target="https://www.sec.gov/Archives/edgar/data/1289490/000119312521279380/d192404dex42.htm" TargetMode="External"/><Relationship Id="rId16" Type="http://schemas.openxmlformats.org/officeDocument/2006/relationships/hyperlink" Target="https://www.sec.gov/Archives/edgar/data/1289490/000119312522092010/d323264dex42.htm" TargetMode="External"/><Relationship Id="rId17" Type="http://schemas.openxmlformats.org/officeDocument/2006/relationships/hyperlink" Target="https://www.sec.gov/Archives/edgar/data/1289490/000119312523082217/d472175dex42.htm" TargetMode="External"/><Relationship Id="rId18" Type="http://schemas.openxmlformats.org/officeDocument/2006/relationships/hyperlink" Target="https://www.sec.gov/Archives/edgar/data/1289490/000119312523168983/d523023dex42.htm" TargetMode="External"/><Relationship Id="rId19" Type="http://schemas.openxmlformats.org/officeDocument/2006/relationships/hyperlink" Target="https://www.sec.gov/Archives/edgar/data/1289490/000119312523193502/d541032dex45.htm" TargetMode="External"/><Relationship Id="rId20" Type="http://schemas.openxmlformats.org/officeDocument/2006/relationships/hyperlink" Target="https://www.sec.gov/Archives/edgar/data/1289490/000119312523193502/d541032dex46.htm" TargetMode="External"/><Relationship Id="rId21" Type="http://schemas.openxmlformats.org/officeDocument/2006/relationships/hyperlink" Target="https://www.sec.gov/Archives/edgar/data/1289490/000119312523193502/d541032dex47.htm" TargetMode="External"/><Relationship Id="rId22" Type="http://schemas.openxmlformats.org/officeDocument/2006/relationships/hyperlink" Target="https://www.sec.gov/Archives/edgar/data/1289490/000119312523193502/d541032dex48.htm" TargetMode="External"/><Relationship Id="rId23" Type="http://schemas.openxmlformats.org/officeDocument/2006/relationships/hyperlink" Target="https://www.sec.gov/Archives/edgar/data/1289490/000119312523287450/d931858dex42.htm" TargetMode="External"/><Relationship Id="rId24" Type="http://schemas.openxmlformats.org/officeDocument/2006/relationships/hyperlink" Target="https://www.sec.gov/Archives/edgar/data/1289490/000119312524011229/d698894dex42.htm" TargetMode="External"/><Relationship Id="rId25" Type="http://schemas.openxmlformats.org/officeDocument/2006/relationships/hyperlink" Target="https://www.sec.gov/Archives/edgar/data/1289490/000119312524198858/d697086dex42.htm" TargetMode="External"/><Relationship Id="rId26" Type="http://schemas.openxmlformats.org/officeDocument/2006/relationships/hyperlink" Target="https://www.sec.gov/Archives/edgar/data/1289490/000119312525057808/d831833dex42.htm" TargetMode="External"/><Relationship Id="rId27" Type="http://schemas.openxmlformats.org/officeDocument/2006/relationships/hyperlink" Target="https://www.sec.gov/Archives/edgar/data/1289490/000119312525176975/d847619dex42.htm" TargetMode="External"/><Relationship Id="rId28" Type="http://schemas.openxmlformats.org/officeDocument/2006/relationships/hyperlink" Target="https://www.sec.gov/Archives/edgar/data/1289490/000119312526296159/d152545dex42.htm" TargetMode="External"/><Relationship Id="rId29" Type="http://schemas.openxmlformats.org/officeDocument/2006/relationships/hyperlink" Target="https://www.sec.gov/Archives/edgar/data/944314/000119312516626433/d212449dex41.htm" TargetMode="External"/><Relationship Id="rId30" Type="http://schemas.openxmlformats.org/officeDocument/2006/relationships/hyperlink" Target="https://www.sec.gov/Archives/edgar/data/1289490/000119312523193502/d541032dex42.htm"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21039</Words>
  <Characters>116753</Characters>
  <CharactersWithSpaces>136222</CharactersWithSpaces>
  <Paragraphs>3694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