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81280</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75565</wp:posOffset>
            </wp:positionV>
            <wp:extent cx="3471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8"/>
                <w:szCs w:val="18"/>
                <w:b w:val="1"/>
                <w:bCs w:val="1"/>
                <w:color w:val="auto"/>
                <w:w w:val="78"/>
              </w:rPr>
              <w:t>.</w:t>
            </w:r>
          </w:p>
        </w:tc>
      </w:tr>
      <w:tr>
        <w:trPr>
          <w:trHeight w:val="237"/>
        </w:trPr>
        <w:tc>
          <w:tcPr>
            <w:tcW w:w="4900" w:type="dxa"/>
            <w:vAlign w:val="bottom"/>
            <w:gridSpan w:val="4"/>
          </w:tcPr>
          <w:p>
            <w:pPr>
              <w:ind w:left="1300"/>
              <w:spacing w:after="0"/>
              <w:rPr>
                <w:sz w:val="20"/>
                <w:szCs w:val="20"/>
                <w:color w:val="auto"/>
              </w:rPr>
            </w:pPr>
            <w:r>
              <w:rPr>
                <w:rFonts w:ascii="Arial" w:cs="Arial" w:eastAsia="Arial" w:hAnsi="Arial"/>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30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5" w:lineRule="exact"/>
        <w:rPr>
          <w:sz w:val="24"/>
          <w:szCs w:val="24"/>
          <w:color w:val="auto"/>
        </w:rPr>
      </w:pPr>
    </w:p>
    <w:p>
      <w:pPr>
        <w:ind w:left="2400"/>
        <w:spacing w:after="0"/>
        <w:tabs>
          <w:tab w:leader="none" w:pos="810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20-1076777</w:t>
      </w:r>
    </w:p>
    <w:p>
      <w:pPr>
        <w:spacing w:after="0" w:line="8" w:lineRule="exact"/>
        <w:rPr>
          <w:sz w:val="24"/>
          <w:szCs w:val="24"/>
          <w:color w:val="auto"/>
        </w:rPr>
      </w:pPr>
    </w:p>
    <w:p>
      <w:pPr>
        <w:ind w:left="1880"/>
        <w:spacing w:after="0"/>
        <w:tabs>
          <w:tab w:leader="none" w:pos="80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40"/>
        <w:spacing w:after="0"/>
        <w:tabs>
          <w:tab w:leader="none" w:pos="79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2795 East Cottonwood Parkway, Suite 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Salt Lake City, Utah 84121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(801) 365-4600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36"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20"/>
        </w:trPr>
        <w:tc>
          <w:tcPr>
            <w:tcW w:w="3840" w:type="dxa"/>
            <w:vAlign w:val="bottom"/>
            <w:gridSpan w:val="3"/>
          </w:tcPr>
          <w:p>
            <w:pPr>
              <w:jc w:val="center"/>
              <w:ind w:right="1520"/>
              <w:spacing w:after="0"/>
              <w:rPr>
                <w:sz w:val="20"/>
                <w:szCs w:val="20"/>
                <w:color w:val="auto"/>
              </w:rPr>
            </w:pPr>
            <w:r>
              <w:rPr>
                <w:rFonts w:ascii="Arial" w:cs="Arial" w:eastAsia="Arial" w:hAnsi="Arial"/>
                <w:sz w:val="18"/>
                <w:szCs w:val="18"/>
                <w:color w:val="auto"/>
                <w:w w:val="90"/>
              </w:rPr>
              <w:t>Common Stock, $0.01 par value</w:t>
            </w:r>
          </w:p>
        </w:tc>
        <w:tc>
          <w:tcPr>
            <w:tcW w:w="2760" w:type="dxa"/>
            <w:vAlign w:val="bottom"/>
            <w:gridSpan w:val="2"/>
          </w:tcPr>
          <w:p>
            <w:pPr>
              <w:jc w:val="center"/>
              <w:ind w:right="1520"/>
              <w:spacing w:after="0"/>
              <w:rPr>
                <w:sz w:val="20"/>
                <w:szCs w:val="20"/>
                <w:color w:val="auto"/>
              </w:rPr>
            </w:pPr>
            <w:r>
              <w:rPr>
                <w:rFonts w:ascii="Arial" w:cs="Arial" w:eastAsia="Arial" w:hAnsi="Arial"/>
                <w:sz w:val="18"/>
                <w:szCs w:val="18"/>
                <w:color w:val="auto"/>
                <w:w w:val="97"/>
              </w:rPr>
              <w:t>EXR</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339"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00"/>
          </w:cols>
          <w:pgMar w:left="320" w:top="544" w:right="379" w:bottom="1440" w:gutter="0" w:footer="0" w:header="0"/>
        </w:sectPr>
      </w:pP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par value $0.01 per share, as of August 2, 2021, was 133,807,322.</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60" w:type="dxa"/>
            <w:vAlign w:val="bottom"/>
            <w:gridSpan w:val="21"/>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w w:val="98"/>
              </w:rPr>
              <w:t>EXTRA SPACE STORAGE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6"/>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STATEMENT ON FORWARD-LOOKING INFORMATION</w:t>
              </w:r>
            </w:hyperlink>
          </w:p>
        </w:tc>
        <w:tc>
          <w:tcPr>
            <w:tcW w:w="11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gridSpan w:val="1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1620" w:type="dxa"/>
            <w:vAlign w:val="bottom"/>
            <w:gridSpan w:val="5"/>
          </w:tcPr>
          <w:p>
            <w:pPr>
              <w:spacing w:after="0"/>
              <w:rPr>
                <w:sz w:val="22"/>
                <w:szCs w:val="22"/>
                <w:color w:val="auto"/>
              </w:rPr>
            </w:pPr>
          </w:p>
        </w:tc>
        <w:tc>
          <w:tcPr>
            <w:tcW w:w="5340" w:type="dxa"/>
            <w:vAlign w:val="bottom"/>
            <w:gridSpan w:val="5"/>
          </w:tcPr>
          <w:p>
            <w:pPr>
              <w:spacing w:after="0"/>
              <w:rPr>
                <w:sz w:val="22"/>
                <w:szCs w:val="22"/>
                <w:color w:val="auto"/>
              </w:rPr>
            </w:pPr>
          </w:p>
        </w:tc>
        <w:tc>
          <w:tcPr>
            <w:tcW w:w="11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ITEM 1. FINANCIAL STATEMENTS (unaudited)</w:t>
              </w:r>
            </w:hyperlink>
          </w:p>
        </w:tc>
        <w:tc>
          <w:tcPr>
            <w:tcW w:w="11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980" w:type="dxa"/>
            <w:vAlign w:val="bottom"/>
            <w:gridSpan w:val="18"/>
          </w:tcPr>
          <w:p>
            <w:pPr>
              <w:spacing w:after="0"/>
              <w:rPr>
                <w:rFonts w:ascii="Arial" w:cs="Arial" w:eastAsia="Arial" w:hAnsi="Arial"/>
                <w:sz w:val="18"/>
                <w:szCs w:val="18"/>
                <w:b w:val="1"/>
                <w:bCs w:val="1"/>
                <w:color w:val="0000FF"/>
              </w:rPr>
            </w:pPr>
            <w:hyperlink w:anchor="page11">
              <w:r>
                <w:rPr>
                  <w:rFonts w:ascii="Arial" w:cs="Arial" w:eastAsia="Arial" w:hAnsi="Arial"/>
                  <w:sz w:val="18"/>
                  <w:szCs w:val="18"/>
                  <w:b w:val="1"/>
                  <w:bCs w:val="1"/>
                  <w:color w:val="0000FF"/>
                </w:rPr>
                <w:t>NOTES TO CONDENSED CONSOLIDATED FINANCIAL STATEMENTS</w:t>
              </w:r>
            </w:hyperlink>
          </w:p>
        </w:tc>
        <w:tc>
          <w:tcPr>
            <w:tcW w:w="112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0" w:type="dxa"/>
            <w:vAlign w:val="bottom"/>
            <w:tcBorders>
              <w:bottom w:val="single" w:sz="8" w:color="0000FF"/>
            </w:tcBorders>
            <w:gridSpan w:val="18"/>
          </w:tcPr>
          <w:p>
            <w:pPr>
              <w:ind w:left="20"/>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2. MANAGEMENT’S DISCUSSION AND ANALYSIS OF FINANCIAL CONDITION AND RESULTS OF</w:t>
              </w:r>
            </w:hyperlink>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82" w:lineRule="exact"/>
              <w:rPr>
                <w:rFonts w:ascii="Arial" w:cs="Arial" w:eastAsia="Arial" w:hAnsi="Arial"/>
                <w:sz w:val="18"/>
                <w:szCs w:val="18"/>
                <w:b w:val="1"/>
                <w:bCs w:val="1"/>
                <w:color w:val="0000FF"/>
                <w:w w:val="97"/>
              </w:rPr>
            </w:pPr>
            <w:hyperlink w:anchor="page26">
              <w:r>
                <w:rPr>
                  <w:rFonts w:ascii="Arial" w:cs="Arial" w:eastAsia="Arial" w:hAnsi="Arial"/>
                  <w:sz w:val="18"/>
                  <w:szCs w:val="18"/>
                  <w:b w:val="1"/>
                  <w:bCs w:val="1"/>
                  <w:color w:val="0000FF"/>
                  <w:w w:val="97"/>
                </w:rPr>
                <w:t>OPERATIONS</w:t>
              </w:r>
            </w:hyperlink>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0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1120" w:type="dxa"/>
            <w:vAlign w:val="bottom"/>
            <w:gridSpan w:val="3"/>
          </w:tcPr>
          <w:p>
            <w:pPr>
              <w:jc w:val="right"/>
              <w:spacing w:after="0" w:line="196" w:lineRule="exact"/>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9"/>
            <w:vMerge w:val="restart"/>
          </w:tcPr>
          <w:p>
            <w:pPr>
              <w:ind w:left="2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3. QUANTITATIVE AND QUALITATIVE DISCLOSURES ABOUT MARKET RISK</w:t>
              </w:r>
            </w:hyperlink>
          </w:p>
        </w:tc>
        <w:tc>
          <w:tcPr>
            <w:tcW w:w="94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19"/>
            <w:vMerge w:val="continue"/>
          </w:tcPr>
          <w:p>
            <w:pPr>
              <w:spacing w:after="0"/>
              <w:rPr>
                <w:sz w:val="17"/>
                <w:szCs w:val="17"/>
                <w:color w:val="auto"/>
              </w:rPr>
            </w:pPr>
          </w:p>
        </w:tc>
        <w:tc>
          <w:tcPr>
            <w:tcW w:w="1120" w:type="dxa"/>
            <w:vAlign w:val="bottom"/>
            <w:gridSpan w:val="3"/>
          </w:tcPr>
          <w:p>
            <w:pPr>
              <w:jc w:val="right"/>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60" w:type="dxa"/>
            <w:vAlign w:val="bottom"/>
            <w:tcBorders>
              <w:top w:val="single" w:sz="8" w:color="0000FF"/>
            </w:tcBorders>
            <w:gridSpan w:val="17"/>
          </w:tcPr>
          <w:p>
            <w:pPr>
              <w:ind w:left="2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4. CONTROLS AND PROCEDURES</w:t>
              </w:r>
            </w:hyperlink>
          </w:p>
        </w:tc>
        <w:tc>
          <w:tcPr>
            <w:tcW w:w="25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040" w:type="dxa"/>
            <w:vAlign w:val="bottom"/>
            <w:gridSpan w:val="20"/>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OTHER INFORMATION</w:t>
              </w:r>
            </w:hyperlink>
          </w:p>
        </w:tc>
        <w:tc>
          <w:tcPr>
            <w:tcW w:w="11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1. LEGAL PROCEEDINGS</w:t>
              </w:r>
            </w:hyperlink>
          </w:p>
        </w:tc>
        <w:tc>
          <w:tcPr>
            <w:tcW w:w="112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Borders>
              <w:top w:val="single" w:sz="8" w:color="0000FF"/>
              <w:bottom w:val="single" w:sz="8" w:color="0000FF"/>
            </w:tcBorders>
            <w:gridSpan w:val="6"/>
          </w:tcPr>
          <w:p>
            <w:pPr>
              <w:ind w:left="20"/>
              <w:spacing w:after="0"/>
              <w:rPr>
                <w:rFonts w:ascii="Arial" w:cs="Arial" w:eastAsia="Arial" w:hAnsi="Arial"/>
                <w:sz w:val="18"/>
                <w:szCs w:val="18"/>
                <w:b w:val="1"/>
                <w:bCs w:val="1"/>
                <w:color w:val="0000FF"/>
                <w:w w:val="99"/>
              </w:rPr>
            </w:pPr>
            <w:hyperlink w:anchor="page39">
              <w:r>
                <w:rPr>
                  <w:rFonts w:ascii="Arial" w:cs="Arial" w:eastAsia="Arial" w:hAnsi="Arial"/>
                  <w:sz w:val="18"/>
                  <w:szCs w:val="18"/>
                  <w:b w:val="1"/>
                  <w:bCs w:val="1"/>
                  <w:color w:val="0000FF"/>
                  <w:w w:val="99"/>
                </w:rPr>
                <w:t>ITEM 1A. RISK FACTORS</w:t>
              </w:r>
            </w:hyperlink>
          </w:p>
        </w:tc>
        <w:tc>
          <w:tcPr>
            <w:tcW w:w="520" w:type="dxa"/>
            <w:vAlign w:val="bottom"/>
            <w:tcBorders>
              <w:top w:val="single" w:sz="8" w:color="0000FF"/>
            </w:tcBorders>
            <w:gridSpan w:val="2"/>
          </w:tcPr>
          <w:p>
            <w:pPr>
              <w:spacing w:after="0"/>
              <w:rPr>
                <w:sz w:val="18"/>
                <w:szCs w:val="18"/>
                <w:color w:val="auto"/>
              </w:rPr>
            </w:pPr>
          </w:p>
        </w:tc>
        <w:tc>
          <w:tcPr>
            <w:tcW w:w="702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2. UNREGISTERED SALES OF EQUITY SECURITIES AND USE OF PROCEEDS</w:t>
              </w:r>
            </w:hyperlink>
          </w:p>
        </w:tc>
        <w:tc>
          <w:tcPr>
            <w:tcW w:w="112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tcBorders>
              <w:top w:val="single" w:sz="8" w:color="0000FF"/>
            </w:tcBorders>
            <w:gridSpan w:val="16"/>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3. DEFAULTS UPON SENIOR SECURITIES</w:t>
              </w:r>
            </w:hyperlink>
          </w:p>
        </w:tc>
        <w:tc>
          <w:tcPr>
            <w:tcW w:w="262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Borders>
              <w:top w:val="single" w:sz="8" w:color="0000FF"/>
              <w:bottom w:val="single" w:sz="8" w:color="0000FF"/>
            </w:tcBorders>
            <w:gridSpan w:val="10"/>
          </w:tcPr>
          <w:p>
            <w:pPr>
              <w:ind w:left="20"/>
              <w:spacing w:after="0"/>
              <w:rPr>
                <w:rFonts w:ascii="Arial" w:cs="Arial" w:eastAsia="Arial" w:hAnsi="Arial"/>
                <w:sz w:val="18"/>
                <w:szCs w:val="18"/>
                <w:b w:val="1"/>
                <w:bCs w:val="1"/>
                <w:color w:val="0000FF"/>
                <w:w w:val="99"/>
              </w:rPr>
            </w:pPr>
            <w:hyperlink w:anchor="page39">
              <w:r>
                <w:rPr>
                  <w:rFonts w:ascii="Arial" w:cs="Arial" w:eastAsia="Arial" w:hAnsi="Arial"/>
                  <w:sz w:val="18"/>
                  <w:szCs w:val="18"/>
                  <w:b w:val="1"/>
                  <w:bCs w:val="1"/>
                  <w:color w:val="0000FF"/>
                  <w:w w:val="99"/>
                </w:rPr>
                <w:t>ITEM 4. MINE SAFETY DISCLOSURES</w:t>
              </w:r>
            </w:hyperlink>
          </w:p>
        </w:tc>
        <w:tc>
          <w:tcPr>
            <w:tcW w:w="780" w:type="dxa"/>
            <w:vAlign w:val="bottom"/>
            <w:tcBorders>
              <w:top w:val="single" w:sz="8" w:color="0000FF"/>
            </w:tcBorders>
            <w:gridSpan w:val="3"/>
          </w:tcPr>
          <w:p>
            <w:pPr>
              <w:spacing w:after="0"/>
              <w:rPr>
                <w:sz w:val="18"/>
                <w:szCs w:val="18"/>
                <w:color w:val="auto"/>
              </w:rPr>
            </w:pPr>
          </w:p>
        </w:tc>
        <w:tc>
          <w:tcPr>
            <w:tcW w:w="566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Borders>
              <w:bottom w:val="single" w:sz="8" w:color="0000FF"/>
            </w:tcBorders>
            <w:gridSpan w:val="9"/>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5. OTHER INFORMATION</w:t>
              </w:r>
            </w:hyperlink>
          </w:p>
        </w:tc>
        <w:tc>
          <w:tcPr>
            <w:tcW w:w="6960" w:type="dxa"/>
            <w:vAlign w:val="bottom"/>
            <w:gridSpan w:val="10"/>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6. EXHIBITS</w:t>
              </w:r>
            </w:hyperlink>
          </w:p>
        </w:tc>
        <w:tc>
          <w:tcPr>
            <w:tcW w:w="112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0000FF"/>
            </w:tcBorders>
            <w:gridSpan w:val="4"/>
          </w:tcPr>
          <w:p>
            <w:pPr>
              <w:ind w:left="20"/>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SIGNATURES</w:t>
              </w:r>
            </w:hyperlink>
          </w:p>
        </w:tc>
        <w:tc>
          <w:tcPr>
            <w:tcW w:w="8140" w:type="dxa"/>
            <w:vAlign w:val="bottom"/>
            <w:gridSpan w:val="15"/>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3" w:lineRule="exact"/>
        <w:rPr>
          <w:rFonts w:ascii="Arial" w:cs="Arial" w:eastAsia="Arial" w:hAnsi="Arial"/>
          <w:sz w:val="18"/>
          <w:szCs w:val="18"/>
          <w:color w:val="auto"/>
        </w:rPr>
      </w:pPr>
    </w:p>
    <w:p>
      <w:pPr>
        <w:ind w:left="580" w:right="28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80" w:right="2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color w:val="auto"/>
        </w:rPr>
      </w:pPr>
    </w:p>
    <w:p>
      <w:pPr>
        <w:ind w:left="580" w:right="80" w:hanging="329"/>
        <w:spacing w:after="0" w:line="263"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21"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 w:type="dxa"/>
            <w:vAlign w:val="bottom"/>
          </w:tcPr>
          <w:p>
            <w:pPr>
              <w:spacing w:after="0"/>
              <w:rPr>
                <w:sz w:val="24"/>
                <w:szCs w:val="24"/>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Extra Space Storage Inc.</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08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color w:val="auto"/>
                <w:w w:val="87"/>
              </w:rPr>
              <w:t>(amounts in thousands, except share data)</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24"/>
                <w:szCs w:val="24"/>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7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Real estate assets,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8,113,074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7,893,802</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 estate assets - operating lease right-of-use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Investments in unconsolidated real estate entities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397,444</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in debt securities and notes receivable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593,810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109,124</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130,611</w:t>
            </w:r>
          </w:p>
        </w:tc>
        <w:tc>
          <w:tcPr>
            <w:tcW w:w="0" w:type="dxa"/>
            <w:vAlign w:val="bottom"/>
          </w:tcPr>
          <w:p>
            <w:pPr>
              <w:spacing w:after="0"/>
              <w:rPr>
                <w:sz w:val="1"/>
                <w:szCs w:val="1"/>
                <w:color w:val="auto"/>
              </w:rPr>
            </w:pPr>
          </w:p>
        </w:tc>
      </w:tr>
      <w:tr>
        <w:trPr>
          <w:trHeight w:val="248"/>
        </w:trPr>
        <w:tc>
          <w:tcPr>
            <w:tcW w:w="76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Noncontrolling Interests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payable,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4,797,303</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Revolving lines of credit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949,000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263,485</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Cash distributions in unconsolidated real estate ventures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62,704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47,126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272,798</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6,102,137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6,459,724</w:t>
            </w:r>
          </w:p>
        </w:tc>
        <w:tc>
          <w:tcPr>
            <w:tcW w:w="0" w:type="dxa"/>
            <w:vAlign w:val="bottom"/>
          </w:tcPr>
          <w:p>
            <w:pPr>
              <w:spacing w:after="0"/>
              <w:rPr>
                <w:sz w:val="1"/>
                <w:szCs w:val="1"/>
                <w:color w:val="auto"/>
              </w:rPr>
            </w:pP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 and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Extra Space Storage Inc. 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5"/>
              </w:rPr>
              <w:t>Common stock, $0.01 par value, 500,000,000 shares authorized, 133,791,109 and 131,357,961</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7840" w:type="dxa"/>
            <w:vAlign w:val="bottom"/>
            <w:gridSpan w:val="2"/>
          </w:tcPr>
          <w:p>
            <w:pPr>
              <w:ind w:left="520"/>
              <w:spacing w:after="0"/>
              <w:rPr>
                <w:sz w:val="20"/>
                <w:szCs w:val="20"/>
                <w:color w:val="auto"/>
              </w:rPr>
            </w:pPr>
            <w:r>
              <w:rPr>
                <w:rFonts w:ascii="Arial" w:cs="Arial" w:eastAsia="Arial" w:hAnsi="Arial"/>
                <w:sz w:val="18"/>
                <w:szCs w:val="18"/>
                <w:color w:val="auto"/>
              </w:rPr>
              <w:t>shares issued and outstanding at June 30, 2021 and December 31, 2020, respectively</w:t>
            </w: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3,288,852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3,000,458</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(99,093)</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Total Extra Space Storage Inc. stockholders' equity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2,968,088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2,547,779</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216,293</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noncontrolling interests and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3,360,955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2,936,124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Total liabilities, noncontrolling interests and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9,463,092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9,395,848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66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36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Property rental</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321,500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279,312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625,093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566,015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reinsurance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Management fees and other income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24,992</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378,630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659,698</w:t>
            </w:r>
          </w:p>
        </w:tc>
        <w:tc>
          <w:tcPr>
            <w:tcW w:w="0" w:type="dxa"/>
            <w:vAlign w:val="bottom"/>
          </w:tcPr>
          <w:p>
            <w:pPr>
              <w:spacing w:after="0"/>
              <w:rPr>
                <w:sz w:val="1"/>
                <w:szCs w:val="1"/>
                <w:color w:val="auto"/>
              </w:rPr>
            </w:pPr>
          </w:p>
        </w:tc>
      </w:tr>
      <w:tr>
        <w:trPr>
          <w:trHeight w:val="193"/>
        </w:trPr>
        <w:tc>
          <w:tcPr>
            <w:tcW w:w="61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89,040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179,337</w:t>
            </w: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Tenant reinsurance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13,536</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118,169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111,293</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352,514</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Gain on real estate transactions</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437,902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307,184</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(80,935)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(85,397)</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Non-cash interest expense related to amortization of discount on equity component of</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exchangeable senior notes</w:t>
            </w: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9"/>
              </w:rPr>
              <w:t>Income before equity in earnings and dividend income from unconsolidated real estate</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169,427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109,390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382,109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222,688</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ventures and income tax expense</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10,087</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Equity in earnings of unconsolidated real estate ventures - gain on sale of real estate assets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purchase of joint venture partner's interest</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227,419</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102,911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370,946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211,090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133,756,610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128,932,152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132,886,933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129,110,131</w:t>
            </w:r>
          </w:p>
        </w:tc>
        <w:tc>
          <w:tcPr>
            <w:tcW w:w="0" w:type="dxa"/>
            <w:vAlign w:val="bottom"/>
          </w:tcPr>
          <w:p>
            <w:pPr>
              <w:spacing w:after="0"/>
              <w:rPr>
                <w:sz w:val="1"/>
                <w:szCs w:val="1"/>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140,407,195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129,082,468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140,428,558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129,285,675</w:t>
            </w: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per common share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w w:val="93"/>
              </w:rPr>
              <w:t>For the Six Months Ended June</w:t>
            </w:r>
          </w:p>
        </w:tc>
      </w:tr>
      <w:tr>
        <w:trPr>
          <w:trHeight w:val="188"/>
        </w:trPr>
        <w:tc>
          <w:tcPr>
            <w:tcW w:w="7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Borders>
              <w:bottom w:val="single" w:sz="8" w:color="auto"/>
            </w:tcBorders>
          </w:tcPr>
          <w:p>
            <w:pPr>
              <w:spacing w:after="0"/>
              <w:rPr>
                <w:sz w:val="16"/>
                <w:szCs w:val="16"/>
                <w:color w:val="auto"/>
              </w:rPr>
            </w:pPr>
          </w:p>
        </w:tc>
      </w:tr>
      <w:tr>
        <w:trPr>
          <w:trHeight w:val="183"/>
        </w:trPr>
        <w:tc>
          <w:tcPr>
            <w:tcW w:w="7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r>
      <w:tr>
        <w:trPr>
          <w:trHeight w:val="211"/>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394,080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227,419</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fair value of interest rate swaps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(94,972)</w:t>
            </w:r>
          </w:p>
        </w:tc>
      </w:tr>
      <w:tr>
        <w:trPr>
          <w:trHeight w:val="206"/>
        </w:trPr>
        <w:tc>
          <w:tcPr>
            <w:tcW w:w="70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184,196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105,529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422,710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132,447</w:t>
            </w:r>
          </w:p>
        </w:tc>
      </w:tr>
      <w:tr>
        <w:trPr>
          <w:trHeight w:val="216"/>
        </w:trPr>
        <w:tc>
          <w:tcPr>
            <w:tcW w:w="7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8,034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24,501</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11,647</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173,298</w:t>
            </w:r>
          </w:p>
        </w:tc>
        <w:tc>
          <w:tcPr>
            <w:tcW w:w="1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97,495</w:t>
            </w:r>
          </w:p>
        </w:tc>
        <w:tc>
          <w:tcPr>
            <w:tcW w:w="1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398,209</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120,800</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Noncontrolling Interests and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3400" w:type="dxa"/>
        <w:tblCellMar>
          <w:top w:w="0" w:type="dxa"/>
          <w:left w:w="0" w:type="dxa"/>
          <w:bottom w:w="0" w:type="dxa"/>
          <w:right w:w="0" w:type="dxa"/>
        </w:tblCellMar>
      </w:tblPr>
      <w:tr>
        <w:trPr>
          <w:trHeight w:val="192"/>
        </w:trPr>
        <w:tc>
          <w:tcPr>
            <w:tcW w:w="2280" w:type="dxa"/>
            <w:vAlign w:val="bottom"/>
            <w:gridSpan w:val="3"/>
          </w:tcPr>
          <w:p>
            <w:pPr>
              <w:ind w:left="360"/>
              <w:spacing w:after="0"/>
              <w:rPr>
                <w:sz w:val="20"/>
                <w:szCs w:val="20"/>
                <w:color w:val="auto"/>
              </w:rPr>
            </w:pPr>
            <w:r>
              <w:rPr>
                <w:rFonts w:ascii="Arial" w:cs="Arial" w:eastAsia="Arial" w:hAnsi="Arial"/>
                <w:sz w:val="14"/>
                <w:szCs w:val="14"/>
                <w:b w:val="1"/>
                <w:bCs w:val="1"/>
                <w:color w:val="auto"/>
              </w:rPr>
              <w:t>Noncontrolling Interests</w:t>
            </w:r>
          </w:p>
        </w:tc>
        <w:tc>
          <w:tcPr>
            <w:tcW w:w="740" w:type="dxa"/>
            <w:vAlign w:val="bottom"/>
          </w:tcPr>
          <w:p>
            <w:pPr>
              <w:spacing w:after="0"/>
              <w:rPr>
                <w:sz w:val="16"/>
                <w:szCs w:val="16"/>
                <w:color w:val="auto"/>
              </w:rPr>
            </w:pPr>
          </w:p>
        </w:tc>
        <w:tc>
          <w:tcPr>
            <w:tcW w:w="3740" w:type="dxa"/>
            <w:vAlign w:val="bottom"/>
            <w:gridSpan w:val="4"/>
          </w:tcPr>
          <w:p>
            <w:pPr>
              <w:ind w:left="80"/>
              <w:spacing w:after="0"/>
              <w:rPr>
                <w:sz w:val="20"/>
                <w:szCs w:val="20"/>
                <w:color w:val="auto"/>
              </w:rPr>
            </w:pPr>
            <w:r>
              <w:rPr>
                <w:rFonts w:ascii="Arial" w:cs="Arial" w:eastAsia="Arial" w:hAnsi="Arial"/>
                <w:sz w:val="14"/>
                <w:szCs w:val="14"/>
                <w:b w:val="1"/>
                <w:bCs w:val="1"/>
                <w:color w:val="auto"/>
              </w:rPr>
              <w:t>Extra Space Storage Inc. Stockholders' 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Accumulated</w:t>
            </w:r>
          </w:p>
        </w:tc>
        <w:tc>
          <w:tcPr>
            <w:tcW w:w="900" w:type="dxa"/>
            <w:vAlign w:val="bottom"/>
            <w:tcBorders>
              <w:top w:val="single" w:sz="8" w:color="auto"/>
            </w:tcBorders>
          </w:tcPr>
          <w:p>
            <w:pPr>
              <w:spacing w:after="0"/>
              <w:rPr>
                <w:sz w:val="11"/>
                <w:szCs w:val="11"/>
                <w:color w:val="auto"/>
              </w:rPr>
            </w:pPr>
          </w:p>
        </w:tc>
        <w:tc>
          <w:tcPr>
            <w:tcW w:w="104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820" w:type="dxa"/>
            <w:vAlign w:val="bottom"/>
            <w:vMerge w:val="continue"/>
          </w:tcPr>
          <w:p>
            <w:pPr>
              <w:spacing w:after="0"/>
              <w:rPr>
                <w:sz w:val="11"/>
                <w:szCs w:val="11"/>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Operating</w:t>
            </w:r>
          </w:p>
        </w:tc>
        <w:tc>
          <w:tcPr>
            <w:tcW w:w="740" w:type="dxa"/>
            <w:vAlign w:val="bottom"/>
          </w:tcPr>
          <w:p>
            <w:pPr>
              <w:spacing w:after="0"/>
              <w:rPr>
                <w:sz w:val="11"/>
                <w:szCs w:val="11"/>
                <w:color w:val="auto"/>
              </w:rPr>
            </w:pPr>
          </w:p>
        </w:tc>
        <w:tc>
          <w:tcPr>
            <w:tcW w:w="8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7"/>
              </w:rPr>
              <w:t>Par</w:t>
            </w:r>
          </w:p>
        </w:tc>
        <w:tc>
          <w:tcPr>
            <w:tcW w:w="88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Operating</w:t>
            </w:r>
          </w:p>
        </w:tc>
        <w:tc>
          <w:tcPr>
            <w:tcW w:w="1460" w:type="dxa"/>
            <w:vAlign w:val="bottom"/>
            <w:gridSpan w:val="2"/>
            <w:vMerge w:val="continue"/>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8"/>
              </w:rPr>
              <w:t>Shares</w:t>
            </w:r>
          </w:p>
        </w:tc>
        <w:tc>
          <w:tcPr>
            <w:tcW w:w="86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vMerge w:val="continue"/>
          </w:tcPr>
          <w:p>
            <w:pPr>
              <w:spacing w:after="0"/>
              <w:rPr>
                <w:sz w:val="11"/>
                <w:szCs w:val="11"/>
                <w:color w:val="auto"/>
              </w:rPr>
            </w:pPr>
          </w:p>
        </w:tc>
        <w:tc>
          <w:tcPr>
            <w:tcW w:w="104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6"/>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Partnership  Other</w:t>
            </w:r>
          </w:p>
        </w:tc>
        <w:tc>
          <w:tcPr>
            <w:tcW w:w="740" w:type="dxa"/>
            <w:vAlign w:val="bottom"/>
            <w:vMerge w:val="continue"/>
          </w:tcPr>
          <w:p>
            <w:pPr>
              <w:spacing w:after="0"/>
              <w:rPr>
                <w:sz w:val="16"/>
                <w:szCs w:val="16"/>
                <w:color w:val="auto"/>
              </w:rPr>
            </w:pPr>
          </w:p>
        </w:tc>
        <w:tc>
          <w:tcPr>
            <w:tcW w:w="860" w:type="dxa"/>
            <w:vAlign w:val="bottom"/>
          </w:tcPr>
          <w:p>
            <w:pPr>
              <w:jc w:val="center"/>
              <w:ind w:left="168"/>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Balances at December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175,948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205,419</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$ 366</w:t>
            </w:r>
          </w:p>
        </w:tc>
        <w:tc>
          <w:tcPr>
            <w:tcW w:w="0" w:type="dxa"/>
            <w:vAlign w:val="bottom"/>
          </w:tcPr>
          <w:p>
            <w:pPr>
              <w:spacing w:after="0"/>
              <w:rPr>
                <w:sz w:val="1"/>
                <w:szCs w:val="1"/>
                <w:color w:val="auto"/>
              </w:rPr>
            </w:pPr>
          </w:p>
        </w:tc>
      </w:tr>
      <w:tr>
        <w:trPr>
          <w:trHeight w:val="162"/>
        </w:trPr>
        <w:tc>
          <w:tcPr>
            <w:tcW w:w="3400" w:type="dxa"/>
            <w:vAlign w:val="bottom"/>
          </w:tcPr>
          <w:p>
            <w:pPr>
              <w:spacing w:after="0" w:line="162"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2"/>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Buyback of common stock, net of offering costs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4,877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(3,178)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(5,327)</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w w:val="91"/>
              </w:rPr>
              <w:t>Dividends paid on common stock at $0.90 per share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Balances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175,319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200,832</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$ 360</w:t>
            </w:r>
          </w:p>
        </w:tc>
        <w:tc>
          <w:tcPr>
            <w:tcW w:w="0" w:type="dxa"/>
            <w:vAlign w:val="bottom"/>
          </w:tcPr>
          <w:p>
            <w:pPr>
              <w:spacing w:after="0"/>
              <w:rPr>
                <w:sz w:val="1"/>
                <w:szCs w:val="1"/>
                <w:color w:val="auto"/>
              </w:rPr>
            </w:pPr>
          </w:p>
        </w:tc>
      </w:tr>
      <w:tr>
        <w:trPr>
          <w:trHeight w:val="151"/>
        </w:trPr>
        <w:tc>
          <w:tcPr>
            <w:tcW w:w="3400" w:type="dxa"/>
            <w:vAlign w:val="bottom"/>
          </w:tcPr>
          <w:p>
            <w:pPr>
              <w:spacing w:after="0" w:line="152"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2"/>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based compensation</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Buyback of common stock, net of offering costs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(3,675)</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6"/>
              </w:rPr>
              <w:t>Redemption of Preferred D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Partnership for Stock</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venture</w:t>
            </w: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5,216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line="171" w:lineRule="exact"/>
              <w:rPr>
                <w:sz w:val="20"/>
                <w:szCs w:val="20"/>
                <w:color w:val="auto"/>
              </w:rPr>
            </w:pPr>
            <w:r>
              <w:rPr>
                <w:rFonts w:ascii="Arial" w:cs="Arial" w:eastAsia="Arial" w:hAnsi="Arial"/>
                <w:sz w:val="16"/>
                <w:szCs w:val="16"/>
                <w:color w:val="auto"/>
                <w:w w:val="93"/>
              </w:rPr>
              <w:t>Distributions to Operating Partnership units held by</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(3,151)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(5,235)</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6"/>
                <w:szCs w:val="16"/>
                <w:color w:val="auto"/>
                <w:w w:val="91"/>
              </w:rPr>
              <w:t>Dividends paid on common stock at $0.90 per share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Balances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172,542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196,867</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-3830955</wp:posOffset>
            </wp:positionV>
            <wp:extent cx="71323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-3453765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-3076575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-2802255</wp:posOffset>
            </wp:positionV>
            <wp:extent cx="71323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-2425065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-2039620</wp:posOffset>
            </wp:positionV>
            <wp:extent cx="7132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-1662430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-1285240</wp:posOffset>
            </wp:positionV>
            <wp:extent cx="71323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-805180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-530860</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-153670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129,534,407</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$1,295</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$2,868,681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(28,966)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(301,049)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2,921,694</w:t>
            </w:r>
          </w:p>
        </w:tc>
      </w:tr>
      <w:tr>
        <w:trPr>
          <w:trHeight w:val="374"/>
        </w:trPr>
        <w:tc>
          <w:tcPr>
            <w:tcW w:w="940" w:type="dxa"/>
            <w:vAlign w:val="bottom"/>
          </w:tcPr>
          <w:p>
            <w:pPr>
              <w:jc w:val="right"/>
              <w:spacing w:after="0"/>
              <w:rPr>
                <w:sz w:val="20"/>
                <w:szCs w:val="20"/>
                <w:color w:val="auto"/>
              </w:rPr>
            </w:pPr>
            <w:r>
              <w:rPr>
                <w:rFonts w:ascii="Arial" w:cs="Arial" w:eastAsia="Arial" w:hAnsi="Arial"/>
                <w:sz w:val="16"/>
                <w:szCs w:val="16"/>
                <w:color w:val="auto"/>
              </w:rPr>
              <w:t>77,400</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73,602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(1,767)</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(653,597)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(52,197)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(52,204)</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8,862</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116,162</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(89,244)</w:t>
            </w:r>
          </w:p>
        </w:tc>
      </w:tr>
      <w:tr>
        <w:trPr>
          <w:trHeight w:val="378"/>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(8,505)</w:t>
            </w:r>
          </w:p>
        </w:tc>
      </w:tr>
      <w:tr>
        <w:trPr>
          <w:trHeight w:val="219"/>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(117,197)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(117,197)</w:t>
            </w:r>
          </w:p>
        </w:tc>
      </w:tr>
      <w:tr>
        <w:trPr>
          <w:trHeight w:val="210"/>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129,038,907</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2,872,933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(113,840)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(362,264)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2,774,630</w:t>
            </w:r>
          </w:p>
        </w:tc>
      </w:tr>
      <w:tr>
        <w:trPr>
          <w:trHeight w:val="355"/>
        </w:trPr>
        <w:tc>
          <w:tcPr>
            <w:tcW w:w="940" w:type="dxa"/>
            <w:vAlign w:val="bottom"/>
          </w:tcPr>
          <w:p>
            <w:pPr>
              <w:jc w:val="right"/>
              <w:spacing w:after="0"/>
              <w:rPr>
                <w:sz w:val="20"/>
                <w:szCs w:val="20"/>
                <w:color w:val="auto"/>
              </w:rPr>
            </w:pPr>
            <w:r>
              <w:rPr>
                <w:rFonts w:ascii="Arial" w:cs="Arial" w:eastAsia="Arial" w:hAnsi="Arial"/>
                <w:sz w:val="16"/>
                <w:szCs w:val="16"/>
                <w:color w:val="auto"/>
              </w:rPr>
              <w:t>13,610</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60,032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4,884</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(889)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(172,600)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(15,615)</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30,495</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102,911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111,257</w:t>
            </w:r>
          </w:p>
        </w:tc>
      </w:tr>
      <w:tr>
        <w:trPr>
          <w:trHeight w:val="216"/>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(5,728)</w:t>
            </w:r>
          </w:p>
        </w:tc>
      </w:tr>
      <w:tr>
        <w:trPr>
          <w:trHeight w:val="378"/>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(8,386)</w:t>
            </w:r>
          </w:p>
        </w:tc>
      </w:tr>
      <w:tr>
        <w:trPr>
          <w:trHeight w:val="219"/>
        </w:trPr>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(116,318)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(116,318)</w:t>
            </w:r>
          </w:p>
        </w:tc>
      </w:tr>
      <w:tr>
        <w:trPr>
          <w:trHeight w:val="210"/>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129,069,555</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1,291</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2,884,940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(119,256)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(391,285)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2,745,518</w:t>
            </w:r>
          </w:p>
        </w:tc>
      </w:tr>
    </w:tbl>
    <w:p>
      <w:pPr>
        <w:spacing w:after="0" w:line="200" w:lineRule="exact"/>
        <w:rPr>
          <w:sz w:val="20"/>
          <w:szCs w:val="20"/>
          <w:color w:val="auto"/>
        </w:rPr>
      </w:pPr>
    </w:p>
    <w:p>
      <w:pPr>
        <w:sectPr>
          <w:pgSz w:w="11900" w:h="16838" w:orient="portrait"/>
          <w:cols w:equalWidth="0" w:num="2">
            <w:col w:w="5600" w:space="80"/>
            <w:col w:w="554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3740" w:type="dxa"/>
            <w:vAlign w:val="bottom"/>
            <w:gridSpan w:val="10"/>
          </w:tcPr>
          <w:p>
            <w:pPr>
              <w:ind w:left="800"/>
              <w:spacing w:after="0"/>
              <w:rPr>
                <w:sz w:val="20"/>
                <w:szCs w:val="20"/>
                <w:color w:val="auto"/>
              </w:rPr>
            </w:pPr>
            <w:r>
              <w:rPr>
                <w:rFonts w:ascii="Arial" w:cs="Arial" w:eastAsia="Arial" w:hAnsi="Arial"/>
                <w:sz w:val="14"/>
                <w:szCs w:val="14"/>
                <w:b w:val="1"/>
                <w:bCs w:val="1"/>
                <w:color w:val="auto"/>
                <w:w w:val="95"/>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172,052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215,892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$ 401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131,357,961</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$1,314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$3,000,458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(99,093)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(354,900)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2,936,124</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56,722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89,793</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2,185,685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273,720</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8,828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215,501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23,013</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(3,224)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(5,801)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(132,540)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(132,540)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172,652</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219,682</w:t>
            </w:r>
          </w:p>
        </w:tc>
        <w:tc>
          <w:tcPr>
            <w:tcW w:w="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$ 346</w:t>
            </w:r>
          </w:p>
        </w:tc>
        <w:tc>
          <w:tcPr>
            <w:tcW w:w="8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133,692,662</w:t>
            </w:r>
          </w:p>
        </w:tc>
        <w:tc>
          <w:tcPr>
            <w:tcW w:w="8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1,336</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3,282,255</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(77,180)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(284,442)</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3,314,649</w:t>
            </w:r>
          </w:p>
        </w:tc>
        <w:tc>
          <w:tcPr>
            <w:tcW w:w="0" w:type="dxa"/>
            <w:vAlign w:val="bottom"/>
          </w:tcPr>
          <w:p>
            <w:pPr>
              <w:spacing w:after="0"/>
              <w:rPr>
                <w:sz w:val="1"/>
                <w:szCs w:val="1"/>
                <w:color w:val="auto"/>
              </w:rPr>
            </w:pPr>
          </w:p>
        </w:tc>
      </w:tr>
      <w:tr>
        <w:trPr>
          <w:trHeight w:val="148"/>
        </w:trPr>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Issuance of common stock in connection with share</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44,990</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(4,972)</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Offering costs associated with previous stock</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(2,185)</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58,429</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Redemption of Operating Partnership units for cash</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Repayment of receivable with Operating</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Partnership units pledged as collateral</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7,190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167,948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178,579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5,617</w:t>
            </w:r>
          </w:p>
        </w:tc>
        <w:tc>
          <w:tcPr>
            <w:tcW w:w="0" w:type="dxa"/>
            <w:vAlign w:val="bottom"/>
          </w:tcPr>
          <w:p>
            <w:pPr>
              <w:spacing w:after="0"/>
              <w:rPr>
                <w:sz w:val="1"/>
                <w:szCs w:val="1"/>
                <w:color w:val="auto"/>
              </w:rPr>
            </w:pPr>
          </w:p>
        </w:tc>
      </w:tr>
      <w:tr>
        <w:trPr>
          <w:trHeight w:val="166"/>
        </w:trPr>
        <w:tc>
          <w:tcPr>
            <w:tcW w:w="34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(3,223)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(5,751)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(8,974)</w:t>
            </w:r>
          </w:p>
        </w:tc>
        <w:tc>
          <w:tcPr>
            <w:tcW w:w="0" w:type="dxa"/>
            <w:vAlign w:val="bottom"/>
          </w:tcPr>
          <w:p>
            <w:pPr>
              <w:spacing w:after="0"/>
              <w:rPr>
                <w:sz w:val="1"/>
                <w:szCs w:val="1"/>
                <w:color w:val="auto"/>
              </w:rPr>
            </w:pPr>
          </w:p>
        </w:tc>
      </w:tr>
      <w:tr>
        <w:trPr>
          <w:trHeight w:val="209"/>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(133,777)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(133,777)</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June 30, 2021</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172,902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219,466</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$ 499</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133,791,109</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1,337</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3,288,852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(71,830)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(250,271)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3,360,955</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394,080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227,419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118,169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111,293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financing costs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0" w:type="dxa"/>
            <w:vAlign w:val="bottom"/>
          </w:tcPr>
          <w:p>
            <w:pPr>
              <w:spacing w:after="0"/>
              <w:rPr>
                <w:sz w:val="1"/>
                <w:szCs w:val="1"/>
                <w:color w:val="auto"/>
              </w:rPr>
            </w:pPr>
          </w:p>
        </w:tc>
      </w:tr>
      <w:tr>
        <w:trPr>
          <w:trHeight w:val="166"/>
        </w:trPr>
        <w:tc>
          <w:tcPr>
            <w:tcW w:w="7840" w:type="dxa"/>
            <w:vAlign w:val="bottom"/>
          </w:tcPr>
          <w:p>
            <w:pPr>
              <w:ind w:left="680"/>
              <w:spacing w:after="0" w:line="166" w:lineRule="exact"/>
              <w:rPr>
                <w:sz w:val="20"/>
                <w:szCs w:val="20"/>
                <w:color w:val="auto"/>
              </w:rPr>
            </w:pPr>
            <w:r>
              <w:rPr>
                <w:rFonts w:ascii="Arial" w:cs="Arial" w:eastAsia="Arial" w:hAnsi="Arial"/>
                <w:sz w:val="16"/>
                <w:szCs w:val="16"/>
                <w:color w:val="auto"/>
                <w:w w:val="94"/>
              </w:rPr>
              <w:t>Non-cash interest expense related to amortization of discount on equity component of exchangeable senior</w:t>
            </w:r>
          </w:p>
        </w:tc>
        <w:tc>
          <w:tcPr>
            <w:tcW w:w="3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09"/>
        </w:trPr>
        <w:tc>
          <w:tcPr>
            <w:tcW w:w="7840" w:type="dxa"/>
            <w:vAlign w:val="bottom"/>
          </w:tcPr>
          <w:p>
            <w:pPr>
              <w:ind w:left="680"/>
              <w:spacing w:after="0"/>
              <w:rPr>
                <w:sz w:val="20"/>
                <w:szCs w:val="20"/>
                <w:color w:val="auto"/>
              </w:rPr>
            </w:pPr>
            <w:r>
              <w:rPr>
                <w:rFonts w:ascii="Arial" w:cs="Arial" w:eastAsia="Arial" w:hAnsi="Arial"/>
                <w:sz w:val="16"/>
                <w:szCs w:val="16"/>
                <w:color w:val="auto"/>
              </w:rPr>
              <w:t>notes</w:t>
            </w:r>
          </w:p>
        </w:tc>
        <w:tc>
          <w:tcPr>
            <w:tcW w:w="3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lease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Compensation expense related to stock-based awards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7,864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Accrual of interest income added to principal of debt securities and notes receivable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Gain on real estate transactions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(63,883)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840" w:type="dxa"/>
            <w:vAlign w:val="bottom"/>
            <w:shd w:val="clear" w:color="auto" w:fill="CCEEFF"/>
          </w:tcPr>
          <w:p>
            <w:pPr>
              <w:ind w:left="680"/>
              <w:spacing w:after="0" w:line="169" w:lineRule="exact"/>
              <w:rPr>
                <w:sz w:val="20"/>
                <w:szCs w:val="20"/>
                <w:color w:val="auto"/>
              </w:rPr>
            </w:pPr>
            <w:r>
              <w:rPr>
                <w:rFonts w:ascii="Arial" w:cs="Arial" w:eastAsia="Arial" w:hAnsi="Arial"/>
                <w:sz w:val="16"/>
                <w:szCs w:val="16"/>
                <w:color w:val="auto"/>
                <w:w w:val="92"/>
              </w:rPr>
              <w:t>Equity in earnings of unconsolidated real estate ventures - gain on sale of real estate assets and purchase of</w:t>
            </w:r>
          </w:p>
        </w:tc>
        <w:tc>
          <w:tcPr>
            <w:tcW w:w="3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joint venture partner's interest</w:t>
            </w:r>
          </w:p>
        </w:tc>
        <w:tc>
          <w:tcPr>
            <w:tcW w:w="3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12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(10,185)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19,963</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23,647</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463,688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392,073</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real estate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(45,246)</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Development and redevelopment of real estate assets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(29,991)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real estate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Investment in unconsolidated real estate entities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of investment in unconsolidated real estate ventures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Issuance and purchase of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(68,523)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(24,325)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payments received from notes receivable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sale of notes receivable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87,298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equipment and fixtures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(111,868)</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the sale of common stock, net of offering costs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273,509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notes payable and revolving lines of credit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594,000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(3,193,025)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(566,689)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public bonds,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proceeds from exercise of stock options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(67,819)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Operating Partnership units held by noncontrolling interests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Proceeds from principal payments on note receivable collateralized by OP Units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Dividends paid on common stock</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(266,317)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(233,515)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(16,890)</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(386,646)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(289,187)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(8,982)</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61,751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560" w:type="dxa"/>
            <w:vAlign w:val="bottom"/>
            <w:tcBorders>
              <w:bottom w:val="single" w:sz="8" w:color="auto"/>
            </w:tcBorders>
          </w:tcPr>
          <w:p>
            <w:pPr>
              <w:spacing w:after="0"/>
              <w:rPr>
                <w:sz w:val="16"/>
                <w:szCs w:val="16"/>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76,289</w:t>
            </w:r>
          </w:p>
        </w:tc>
        <w:tc>
          <w:tcPr>
            <w:tcW w:w="12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81,950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Noncontrolling interests in Operating Partnership</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(2,378)</w:t>
            </w:r>
          </w:p>
        </w:tc>
        <w:tc>
          <w:tcPr>
            <w:tcW w:w="12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(4,005)</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and paid-in capital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Establishment of operating lease right of use assets and lease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 - operating lease right-of-use assets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(6,779)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Real estate assets, net</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real estate assets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Preferred Operating Partnership units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(2,724)</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Establishment of finance lease assets and lease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 net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8,514</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(40,993)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(8,514)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unconsolidated real estate ventures received on sale of stores to joint venture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33,878</w:t>
            </w:r>
          </w:p>
        </w:tc>
        <w:tc>
          <w:tcPr>
            <w:tcW w:w="12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(33,878)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invests in stores by acquiring wholly-owned stores or by acquiring an equity interest in real estate entities. At June 30, 2021, the Company had direct and indirect equity interests in 1,205 stores. In addition, the Company managed 768 stores for third parties, bringing the total number of stores which it owns and/or manages to 1,973. These stores are located in 40 states and Washington, D.C. The Company also offers tenant reinsurance at its owned and managed stores that insures the value of goods in the storage units.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results for the three and six months ended June 30, 2021 are not necessarily indicative of results that may be expected for the year ending December 31, 2021. The condensed consolidated balance sheet as of December 31, 2020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2020, as filed with the Securities and Exchange Commission.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In March 2020, the Financial Accounting Standards Board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ASU 2020-04 and subsequent amendments contain practical expedients for reference rate reform related activities that impact debt, leases, derivatives and other contracts. The guidance in ASU 2020-04 is optional and may be elected over time as reference rate reform activities occur through December 31, 2022. The Company continues to evaluate the impact of the guidance and may apply other elections as applicable as additional changes in the market occur.</w:t>
      </w:r>
    </w:p>
    <w:p>
      <w:pPr>
        <w:spacing w:after="0" w:line="18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ASU 2020-06 simplifies the accounting for convertible instruments and contracts in an entity's own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and amended related earnings per share guidance. The guidance in ASU 2020-06 becomes effective for fiscal years beginning after December 15, 2021. Early adoption is permitted no earlier than the fiscal years beginning after December 15, 2020. The guidance may be adopted on a modified or fully retrospective basis. The Company is currently assessing the impact of the adoption of ASU 2020-06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June 30, 2021,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June 30, 2021, aggregated by the level in the fair value hierarchy within which those measurements fall.</w:t>
      </w: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Identical Assets (Level</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69,551</w:t>
            </w:r>
          </w:p>
        </w:tc>
        <w:tc>
          <w:tcPr>
            <w:tcW w:w="100" w:type="dxa"/>
            <w:vAlign w:val="bottom"/>
          </w:tcPr>
          <w:p>
            <w:pPr>
              <w:spacing w:after="0"/>
              <w:rPr>
                <w:sz w:val="20"/>
                <w:szCs w:val="20"/>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June 30, 2021 or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June 30, 2021, the Company had 17 operating stores classified as held for sale which are included in real estate assets, net.</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June 30, 2021 and December 31, 2020 approximate fair value. Restricted cash is comprised of funds deposited with financial institutions located throughout the United States primarily relating to earnest money deposits on potential acquisitions.</w:t>
      </w:r>
    </w:p>
    <w:p>
      <w:pPr>
        <w:spacing w:after="0" w:line="19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700"/>
              <w:spacing w:after="0"/>
              <w:rPr>
                <w:sz w:val="20"/>
                <w:szCs w:val="20"/>
                <w:color w:val="auto"/>
              </w:rPr>
            </w:pPr>
            <w:r>
              <w:rPr>
                <w:rFonts w:ascii="Arial" w:cs="Arial" w:eastAsia="Arial" w:hAnsi="Arial"/>
                <w:sz w:val="16"/>
                <w:szCs w:val="16"/>
                <w:b w:val="1"/>
                <w:bCs w:val="1"/>
                <w:color w:val="auto"/>
              </w:rPr>
              <w:t>June 30, 2021</w:t>
            </w:r>
          </w:p>
        </w:tc>
        <w:tc>
          <w:tcPr>
            <w:tcW w:w="320" w:type="dxa"/>
            <w:vAlign w:val="bottom"/>
          </w:tcPr>
          <w:p>
            <w:pPr>
              <w:spacing w:after="0"/>
              <w:rPr>
                <w:sz w:val="18"/>
                <w:szCs w:val="18"/>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55"/>
        </w:trPr>
        <w:tc>
          <w:tcPr>
            <w:tcW w:w="5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Notes receivable from Preferred and Common Operating Partnership</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100,458</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101,900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102,333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102,311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rate notes receivable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107,454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114,145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4,001,843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EARNINGS PER COMMON SHARE</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and six months ended June 30, 2021 and 2020, there were no anti-dilutive options.</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June 30, 2021 and 2020 was $149.81 and $92.95, respectively.</w:t>
      </w:r>
    </w:p>
    <w:p>
      <w:pPr>
        <w:spacing w:after="0" w:line="198"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62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 June 30,</w:t>
            </w:r>
          </w:p>
        </w:tc>
        <w:tc>
          <w:tcPr>
            <w:tcW w:w="348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For the Six Months Ended June 30,</w:t>
            </w:r>
          </w:p>
        </w:tc>
      </w:tr>
      <w:tr>
        <w:trPr>
          <w:trHeight w:val="187"/>
        </w:trPr>
        <w:tc>
          <w:tcPr>
            <w:tcW w:w="414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30"/>
        </w:trPr>
        <w:tc>
          <w:tcPr>
            <w:tcW w:w="414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r>
      <w:tr>
        <w:trPr>
          <w:trHeight w:val="188"/>
        </w:trPr>
        <w:tc>
          <w:tcPr>
            <w:tcW w:w="414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converted)</w:t>
            </w: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converted)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converted)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converted)</w:t>
            </w:r>
          </w:p>
        </w:tc>
      </w:tr>
      <w:tr>
        <w:trPr>
          <w:trHeight w:val="21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OP Units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5,876,356</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5,898,029</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Series A Units (Variable Only)</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875,480</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875,480</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273,027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450,803</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301,483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425,446</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Series D Units</w:t>
            </w:r>
          </w:p>
        </w:tc>
        <w:tc>
          <w:tcPr>
            <w:tcW w:w="1620" w:type="dxa"/>
            <w:vAlign w:val="bottom"/>
          </w:tcPr>
          <w:p>
            <w:pPr>
              <w:jc w:val="right"/>
              <w:spacing w:after="0"/>
              <w:rPr>
                <w:sz w:val="20"/>
                <w:szCs w:val="20"/>
                <w:color w:val="auto"/>
              </w:rPr>
            </w:pPr>
            <w:r>
              <w:rPr>
                <w:rFonts w:ascii="Arial" w:cs="Arial" w:eastAsia="Arial" w:hAnsi="Arial"/>
                <w:sz w:val="16"/>
                <w:szCs w:val="16"/>
                <w:color w:val="auto"/>
              </w:rPr>
              <w:t>783,406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1,282,322</w:t>
            </w:r>
          </w:p>
        </w:tc>
        <w:tc>
          <w:tcPr>
            <w:tcW w:w="1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1,214,732</w:t>
            </w:r>
          </w:p>
        </w:tc>
      </w:tr>
      <w:tr>
        <w:trPr>
          <w:trHeight w:val="234"/>
        </w:trPr>
        <w:tc>
          <w:tcPr>
            <w:tcW w:w="414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8,484,961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8,413,687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the Operating Partnership had no exchangeable senior notes issued or outstanding. The Operating Partnership had $575,000 of its</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3.125% Exchangeable Senior Notes due 2035 (the “2015 Notes”) issued and outstanding as of June 30, 2020. In October and November 2020, a portion of the 2015 Notes were exchanged for cash and shares of the Company’s common stock and the remaining 2015 Notes were redeemed for cash. The 2015 Notes could potentially have had a dilutive impact on the Company’s earnings per share calculations. The 2015 Notes were exchangeable by holders into shares of the Company’s common stock under certain circumstances per the terms of the indenture governing the 2015 Notes. The Company had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20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Although the Company had retained the right to satisfy the exchange obligation in excess of the accreted principal amount of the 2015 Notes in cash and/or common stock,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that those shares be included in the Company’s calculation of weighted average common shares outstanding for the diluted earnings per share computation. For the three and six months ended June 30, 2021 and 2020, zero and 121,283 shares, respectively, related to the 2015 Notes were included in the computation for diluted earnings per share.</w:t>
      </w:r>
    </w:p>
    <w:p>
      <w:pPr>
        <w:spacing w:after="0" w:line="211"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is as follows for the periods presented: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3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211,090</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Earnings for basic computations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210,754</w:t>
            </w:r>
          </w:p>
        </w:tc>
        <w:tc>
          <w:tcPr>
            <w:tcW w:w="0" w:type="dxa"/>
            <w:vAlign w:val="bottom"/>
          </w:tcPr>
          <w:p>
            <w:pPr>
              <w:spacing w:after="0"/>
              <w:rPr>
                <w:sz w:val="1"/>
                <w:szCs w:val="1"/>
                <w:color w:val="auto"/>
              </w:rPr>
            </w:pPr>
          </w:p>
        </w:tc>
      </w:tr>
      <w:tr>
        <w:trPr>
          <w:trHeight w:val="166"/>
        </w:trPr>
        <w:tc>
          <w:tcPr>
            <w:tcW w:w="6040" w:type="dxa"/>
            <w:vAlign w:val="bottom"/>
          </w:tcPr>
          <w:p>
            <w:pPr>
              <w:ind w:left="500"/>
              <w:spacing w:after="0" w:line="166" w:lineRule="exact"/>
              <w:rPr>
                <w:sz w:val="20"/>
                <w:szCs w:val="20"/>
                <w:color w:val="auto"/>
              </w:rPr>
            </w:pPr>
            <w:r>
              <w:rPr>
                <w:rFonts w:ascii="Arial" w:cs="Arial" w:eastAsia="Arial" w:hAnsi="Arial"/>
                <w:sz w:val="16"/>
                <w:szCs w:val="16"/>
                <w:color w:val="auto"/>
                <w:w w:val="94"/>
              </w:rPr>
              <w:t>Income allocated to noncontrolling interest - Preferred Operating Partnership Units</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8,833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21,889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40" w:type="dxa"/>
            <w:vAlign w:val="bottom"/>
          </w:tcPr>
          <w:p>
            <w:pPr>
              <w:ind w:left="500"/>
              <w:spacing w:after="0"/>
              <w:rPr>
                <w:sz w:val="20"/>
                <w:szCs w:val="20"/>
                <w:color w:val="auto"/>
              </w:rPr>
            </w:pPr>
            <w:r>
              <w:rPr>
                <w:rFonts w:ascii="Arial" w:cs="Arial" w:eastAsia="Arial" w:hAnsi="Arial"/>
                <w:sz w:val="16"/>
                <w:szCs w:val="16"/>
                <w:color w:val="auto"/>
              </w:rPr>
              <w:t>and Operating Partnership Units</w:t>
            </w: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4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color w:val="auto"/>
              </w:rPr>
              <w:t>Fixed component of income allocated to noncontrolling interest - Preferred</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Operating Partnership (Series A Units)</w:t>
            </w: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40" w:type="dxa"/>
            <w:vAlign w:val="bottom"/>
          </w:tcPr>
          <w:p>
            <w:pPr>
              <w:spacing w:after="0"/>
              <w:rPr>
                <w:sz w:val="20"/>
                <w:szCs w:val="20"/>
                <w:color w:val="auto"/>
              </w:rPr>
            </w:pPr>
            <w:r>
              <w:rPr>
                <w:rFonts w:ascii="Arial" w:cs="Arial" w:eastAsia="Arial" w:hAnsi="Arial"/>
                <w:sz w:val="16"/>
                <w:szCs w:val="16"/>
                <w:color w:val="auto"/>
              </w:rPr>
              <w:t>Net income for diluted computations</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175,977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102,738</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391,150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210,754</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Average number of common shares outstanding - basic</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133,756,610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128,932,152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132,886,933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129,110,131</w:t>
            </w: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OP Units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5,767,460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5,784,003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Series A Units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Series D Units</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865,056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150,316</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175,544</w:t>
            </w:r>
          </w:p>
        </w:tc>
        <w:tc>
          <w:tcPr>
            <w:tcW w:w="0" w:type="dxa"/>
            <w:vAlign w:val="bottom"/>
          </w:tcPr>
          <w:p>
            <w:pPr>
              <w:spacing w:after="0"/>
              <w:rPr>
                <w:sz w:val="1"/>
                <w:szCs w:val="1"/>
                <w:color w:val="auto"/>
              </w:rPr>
            </w:pPr>
          </w:p>
        </w:tc>
      </w:tr>
      <w:tr>
        <w:trPr>
          <w:trHeight w:val="207"/>
        </w:trPr>
        <w:tc>
          <w:tcPr>
            <w:tcW w:w="6040" w:type="dxa"/>
            <w:vAlign w:val="bottom"/>
          </w:tcPr>
          <w:p>
            <w:pPr>
              <w:spacing w:after="0"/>
              <w:rPr>
                <w:sz w:val="20"/>
                <w:szCs w:val="20"/>
                <w:color w:val="auto"/>
              </w:rPr>
            </w:pPr>
            <w:r>
              <w:rPr>
                <w:rFonts w:ascii="Arial" w:cs="Arial" w:eastAsia="Arial" w:hAnsi="Arial"/>
                <w:sz w:val="16"/>
                <w:szCs w:val="16"/>
                <w:color w:val="auto"/>
              </w:rPr>
              <w:t>Average number of common shares outstanding - diluted</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140,407,195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129,082,468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140,428,558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129,285,675</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Earnings per common share</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5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 w:name="page17"/>
    <w:bookmarkEnd w:id="16"/>
    <w:p>
      <w:pPr>
        <w:ind w:left="73"/>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
        <w:spacing w:after="0"/>
        <w:tabs>
          <w:tab w:leader="none" w:pos="373"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STORE ACQUISITIONS AND DISPOSITIONS</w:t>
      </w:r>
    </w:p>
    <w:p>
      <w:pPr>
        <w:spacing w:after="0" w:line="256" w:lineRule="exact"/>
        <w:rPr>
          <w:sz w:val="20"/>
          <w:szCs w:val="20"/>
          <w:color w:val="auto"/>
        </w:rPr>
      </w:pPr>
    </w:p>
    <w:p>
      <w:pPr>
        <w:ind w:left="73"/>
        <w:spacing w:after="0"/>
        <w:rPr>
          <w:sz w:val="20"/>
          <w:szCs w:val="20"/>
          <w:color w:val="auto"/>
        </w:rPr>
      </w:pPr>
      <w:r>
        <w:rPr>
          <w:rFonts w:ascii="Arial" w:cs="Arial" w:eastAsia="Arial" w:hAnsi="Arial"/>
          <w:sz w:val="18"/>
          <w:szCs w:val="18"/>
          <w:i w:val="1"/>
          <w:iCs w:val="1"/>
          <w:color w:val="auto"/>
        </w:rPr>
        <w:t>Store Acquisitions</w:t>
      </w:r>
    </w:p>
    <w:p>
      <w:pPr>
        <w:spacing w:after="0" w:line="252" w:lineRule="exact"/>
        <w:rPr>
          <w:sz w:val="20"/>
          <w:szCs w:val="20"/>
          <w:color w:val="auto"/>
        </w:rPr>
      </w:pPr>
    </w:p>
    <w:p>
      <w:pPr>
        <w:ind w:left="73" w:right="140"/>
        <w:spacing w:after="0" w:line="262" w:lineRule="auto"/>
        <w:rPr>
          <w:sz w:val="20"/>
          <w:szCs w:val="20"/>
          <w:color w:val="auto"/>
        </w:rPr>
      </w:pPr>
      <w:r>
        <w:rPr>
          <w:rFonts w:ascii="Arial" w:cs="Arial" w:eastAsia="Arial" w:hAnsi="Arial"/>
          <w:sz w:val="18"/>
          <w:szCs w:val="18"/>
          <w:color w:val="auto"/>
        </w:rPr>
        <w:t>The following table shows the Company’s acquisitions of stores for the three and six months ended June 30, 2021 and 2020. The table excludes purchases of raw land and improvements made to existing assets. All acquisitions are considered asset acquisitions under ASU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 Clarifying the Definition of a Business</w:t>
      </w:r>
      <w:r>
        <w:rPr>
          <w:rFonts w:ascii="Arial" w:cs="Arial" w:eastAsia="Arial" w:hAnsi="Arial"/>
          <w:sz w:val="18"/>
          <w:szCs w:val="18"/>
          <w:color w:val="auto"/>
        </w:rPr>
        <w:t>."</w:t>
      </w:r>
    </w:p>
    <w:p>
      <w:pPr>
        <w:spacing w:after="0" w:line="2" w:lineRule="exact"/>
        <w:rPr>
          <w:sz w:val="20"/>
          <w:szCs w:val="20"/>
          <w:color w:val="auto"/>
        </w:rPr>
      </w:pPr>
    </w:p>
    <w:tbl>
      <w:tblPr>
        <w:tblLayout w:type="fixed"/>
        <w:tblInd w:w="73"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Consideration Paid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1"/>
              </w:rPr>
              <w:t>Investments in</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35"/>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w:t>
            </w:r>
          </w:p>
        </w:tc>
        <w:tc>
          <w:tcPr>
            <w:tcW w:w="9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Paid</w:t>
            </w:r>
          </w:p>
        </w:tc>
        <w:tc>
          <w:tcPr>
            <w:tcW w:w="100" w:type="dxa"/>
            <w:vAlign w:val="bottom"/>
          </w:tcPr>
          <w:p>
            <w:pPr>
              <w:spacing w:after="0"/>
              <w:rPr>
                <w:sz w:val="11"/>
                <w:szCs w:val="11"/>
                <w:color w:val="auto"/>
              </w:rPr>
            </w:pPr>
          </w:p>
        </w:tc>
        <w:tc>
          <w:tcPr>
            <w:tcW w:w="98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(Assets)</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0"/>
              </w:rPr>
              <w:t>Ventures</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Assumed</w:t>
            </w:r>
          </w:p>
        </w:tc>
        <w:tc>
          <w:tcPr>
            <w:tcW w:w="120" w:type="dxa"/>
            <w:vAlign w:val="bottom"/>
          </w:tcPr>
          <w:p>
            <w:pPr>
              <w:spacing w:after="0"/>
              <w:rPr>
                <w:sz w:val="16"/>
                <w:szCs w:val="16"/>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11"/>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Q2 2021</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400" w:type="dxa"/>
            <w:vAlign w:val="bottom"/>
            <w:tcBorders>
              <w:top w:val="single" w:sz="8" w:color="CCEEFF"/>
            </w:tcBorders>
            <w:shd w:val="clear" w:color="auto" w:fill="CCEEFF"/>
          </w:tcPr>
          <w:p>
            <w:pPr>
              <w:jc w:val="right"/>
              <w:ind w:right="182"/>
              <w:spacing w:after="0" w:line="137" w:lineRule="exact"/>
              <w:rPr>
                <w:sz w:val="20"/>
                <w:szCs w:val="20"/>
                <w:color w:val="auto"/>
              </w:rPr>
            </w:pPr>
            <w:r>
              <w:rPr>
                <w:rFonts w:ascii="Arial" w:cs="Arial" w:eastAsia="Arial" w:hAnsi="Arial"/>
                <w:sz w:val="12"/>
                <w:szCs w:val="12"/>
                <w:color w:val="auto"/>
                <w:w w:val="95"/>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193,783</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Q1 2021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151,884</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24</w:t>
            </w:r>
          </w:p>
        </w:tc>
        <w:tc>
          <w:tcPr>
            <w:tcW w:w="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345,667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339,669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345,667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Q2 2020</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Q1 2020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19,399</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4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19,399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33" w:right="240" w:hanging="333"/>
        <w:spacing w:after="0" w:line="286" w:lineRule="auto"/>
        <w:tabs>
          <w:tab w:leader="none" w:pos="264"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Store acquisitions for the three months ended June 30, 2021 include the acquisition of two stores previously held in joint ventures where the Company held a noncontrolling interest. The Company purchased its partners' equity interests in these joint ventures, and the properties owned by the joint ventures became wholly owned by the Company. No gain or loss was recognized as a result of these acquisitions.</w:t>
      </w:r>
    </w:p>
    <w:p>
      <w:pPr>
        <w:spacing w:after="0" w:line="192" w:lineRule="exact"/>
        <w:rPr>
          <w:sz w:val="20"/>
          <w:szCs w:val="20"/>
          <w:color w:val="auto"/>
        </w:rPr>
      </w:pPr>
    </w:p>
    <w:p>
      <w:pPr>
        <w:ind w:left="73"/>
        <w:spacing w:after="0"/>
        <w:rPr>
          <w:sz w:val="20"/>
          <w:szCs w:val="20"/>
          <w:color w:val="auto"/>
        </w:rPr>
      </w:pPr>
      <w:r>
        <w:rPr>
          <w:rFonts w:ascii="Arial" w:cs="Arial" w:eastAsia="Arial" w:hAnsi="Arial"/>
          <w:sz w:val="18"/>
          <w:szCs w:val="18"/>
          <w:i w:val="1"/>
          <w:iCs w:val="1"/>
          <w:color w:val="auto"/>
        </w:rPr>
        <w:t>Store Dispositions</w:t>
      </w:r>
    </w:p>
    <w:p>
      <w:pPr>
        <w:spacing w:after="0" w:line="252" w:lineRule="exact"/>
        <w:rPr>
          <w:sz w:val="20"/>
          <w:szCs w:val="20"/>
          <w:color w:val="auto"/>
        </w:rPr>
      </w:pPr>
    </w:p>
    <w:p>
      <w:pPr>
        <w:jc w:val="both"/>
        <w:ind w:left="73" w:right="60"/>
        <w:spacing w:after="0" w:line="263" w:lineRule="auto"/>
        <w:rPr>
          <w:sz w:val="20"/>
          <w:szCs w:val="20"/>
          <w:color w:val="auto"/>
        </w:rPr>
      </w:pPr>
      <w:r>
        <w:rPr>
          <w:rFonts w:ascii="Arial" w:cs="Arial" w:eastAsia="Arial" w:hAnsi="Arial"/>
          <w:sz w:val="18"/>
          <w:szCs w:val="18"/>
          <w:color w:val="auto"/>
        </w:rPr>
        <w:t>On March 1, 2021, the Company sold 16 stores that had been classified as held for sale to a newly established unconsolidated joint venture. The Company received cash of $132,759 and maintained a 55% interest in the new joint venture valued at $33,878. The Company recognized a gain of $64,804 related to the sale of these properties.</w:t>
      </w:r>
    </w:p>
    <w:p>
      <w:pPr>
        <w:spacing w:after="0" w:line="288" w:lineRule="exact"/>
        <w:rPr>
          <w:sz w:val="20"/>
          <w:szCs w:val="20"/>
          <w:color w:val="auto"/>
        </w:rPr>
      </w:pPr>
    </w:p>
    <w:p>
      <w:pPr>
        <w:ind w:left="73"/>
        <w:spacing w:after="0"/>
        <w:tabs>
          <w:tab w:leader="none" w:pos="373" w:val="left"/>
        </w:tabs>
        <w:rPr>
          <w:sz w:val="20"/>
          <w:szCs w:val="20"/>
          <w:color w:val="auto"/>
        </w:rPr>
      </w:pPr>
      <w:r>
        <w:rPr>
          <w:rFonts w:ascii="Arial" w:cs="Arial" w:eastAsia="Arial" w:hAnsi="Arial"/>
          <w:sz w:val="18"/>
          <w:szCs w:val="18"/>
          <w:b w:val="1"/>
          <w:bCs w:val="1"/>
          <w:color w:val="auto"/>
        </w:rPr>
        <w:t>6.</w:t>
        <w:tab/>
        <w:t>INVESTMENTS IN UNCONSOLIDATED REAL ESTATE ENTITIES</w:t>
      </w:r>
    </w:p>
    <w:p>
      <w:pPr>
        <w:spacing w:after="0" w:line="229" w:lineRule="exact"/>
        <w:rPr>
          <w:sz w:val="20"/>
          <w:szCs w:val="20"/>
          <w:color w:val="auto"/>
        </w:rPr>
      </w:pPr>
    </w:p>
    <w:p>
      <w:pPr>
        <w:ind w:left="73" w:right="20"/>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ind w:left="73" w:right="140"/>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211" w:lineRule="exact"/>
        <w:rPr>
          <w:sz w:val="20"/>
          <w:szCs w:val="20"/>
          <w:color w:val="auto"/>
        </w:rPr>
      </w:pPr>
    </w:p>
    <w:p>
      <w:pPr>
        <w:ind w:left="73" w:right="80"/>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35"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 xml:space="preserve">Excess Profit % </w:t>
            </w:r>
            <w:r>
              <w:rPr>
                <w:rFonts w:ascii="Arial" w:cs="Arial" w:eastAsia="Arial" w:hAnsi="Arial"/>
                <w:sz w:val="18"/>
                <w:szCs w:val="18"/>
                <w:b w:val="1"/>
                <w:bCs w:val="1"/>
                <w:color w:val="auto"/>
                <w:w w:val="90"/>
                <w:vertAlign w:val="superscript"/>
              </w:rPr>
              <w:t>(1)</w:t>
            </w:r>
          </w:p>
        </w:tc>
        <w:tc>
          <w:tcPr>
            <w:tcW w:w="240" w:type="dxa"/>
            <w:vAlign w:val="bottom"/>
          </w:tcPr>
          <w:p>
            <w:pPr>
              <w:spacing w:after="0"/>
              <w:rPr>
                <w:sz w:val="3"/>
                <w:szCs w:val="3"/>
                <w:color w:val="auto"/>
              </w:rPr>
            </w:pPr>
          </w:p>
        </w:tc>
        <w:tc>
          <w:tcPr>
            <w:tcW w:w="10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Ownership %</w:t>
            </w: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EXR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60,092</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WICNN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ESS-CA TIVS JV LP </w:t>
            </w:r>
            <w:r>
              <w:rPr>
                <w:rFonts w:ascii="Arial" w:cs="Arial" w:eastAsia="Arial" w:hAnsi="Arial"/>
                <w:sz w:val="23"/>
                <w:szCs w:val="23"/>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GFN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18,397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ESS-NYFL JV LP</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PRISA Self Storage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Alan Jathoo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IV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Portfolio III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ESS Bristol Investments LLC</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Extra Space Northern Properties Six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II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VRS Self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(39,144)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minority owned stores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SmartStop Self Storage REIT, Inc. Preferred Stock </w:t>
            </w:r>
            <w:r>
              <w:rPr>
                <w:rFonts w:ascii="Arial" w:cs="Arial" w:eastAsia="Arial" w:hAnsi="Arial"/>
                <w:sz w:val="23"/>
                <w:szCs w:val="23"/>
                <w:color w:val="auto"/>
                <w:vertAlign w:val="superscript"/>
              </w:rPr>
              <w:t>(3)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Investments in and Cash distributions in unconsolidated real</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247</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298,524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350,318</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estate entities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pro-rata equity ownership share and maximum potential promoted interest.</w:t>
      </w:r>
    </w:p>
    <w:p>
      <w:pPr>
        <w:spacing w:after="0" w:line="117" w:lineRule="exact"/>
        <w:rPr>
          <w:rFonts w:ascii="Arial" w:cs="Arial" w:eastAsia="Arial" w:hAnsi="Arial"/>
          <w:sz w:val="18"/>
          <w:szCs w:val="18"/>
          <w:color w:val="auto"/>
        </w:rPr>
      </w:pPr>
    </w:p>
    <w:p>
      <w:pPr>
        <w:ind w:left="340" w:right="100" w:hanging="332"/>
        <w:spacing w:after="0" w:line="286" w:lineRule="auto"/>
        <w:tabs>
          <w:tab w:leader="none" w:pos="27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sold 16 operating stores to this newly formed joint venture in March 2021. The Company received cash of $132,759 and an interest in the new joint venture valued at $33,878. This joint venture is unconsolidated and the Company accounts for its investment under the equity method of accounting as the Company does not have voting control but does exercise significant influence over the joint venture.</w:t>
      </w:r>
    </w:p>
    <w:p>
      <w:pPr>
        <w:spacing w:after="0" w:line="57" w:lineRule="exact"/>
        <w:rPr>
          <w:rFonts w:ascii="Arial" w:cs="Arial" w:eastAsia="Arial" w:hAnsi="Arial"/>
          <w:sz w:val="17"/>
          <w:szCs w:val="17"/>
          <w:color w:val="auto"/>
        </w:rPr>
      </w:pPr>
    </w:p>
    <w:p>
      <w:pPr>
        <w:ind w:left="340" w:right="100" w:hanging="332"/>
        <w:spacing w:after="0" w:line="259"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six months ended June 30, 2021, the Company contributed a total of $7,174 of cash to its joint ventures, including its pro-rata portion of the purchase price of five operating stores and other capital contributions related to cash flow requirements for lease up stores.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2021, the Company sold its interest in two unconsolidated joint ventures to its joint venture partner. The Company received proceeds of $1,888 in cash, and recorded a gain of $525 which is included in Equity in earnings of unconsolidated real estate ventures - gain on sale of real estate assets and purchase of joint venture partner's interest in the Company's condensed consolidated statements of operations. The Company also purchased its joint venture partners' interests in two unconsolidated joint ventures.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2021, the WICNN JV LLC and GFN JV, LLC joint ventures sold all 17 of the stores owned by the joint ventures to a third party. Subsequent to the sales, these joint ventures were dissolved. As a result of these transactions, the Company recorded a gain of $5,739, which is included in Equity in earnings of unconsolidated real estate ventures - gain on sale of real estate assets and purchase of joint venture partner's interest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DEBT SECURITIES AND NOTES RECEIVABLE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2020</w:t>
            </w: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 NexPoint Series A Preferred Stock</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Debt securities - NexPoint Series B Preferred Stock</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Receivable-Bridge Loans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Notes Receivable-Senior Mezzanine Loan,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101,830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101,553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Receivable</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r>
      <w:tr>
        <w:trPr>
          <w:trHeight w:val="223"/>
        </w:trPr>
        <w:tc>
          <w:tcPr>
            <w:tcW w:w="76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568,781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593,810</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2020, the Company invested $300,000 in the preferred stock of JCAP in connection with the acquisition of JCAP by affiliates of NexPoint Advisors, L.P. This investment consists of 200,000 Series A Preferred Shares valued at a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 not retired after five years, the preferred dividends increase annually.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2020, the Company purchased a senior mezzanine note receivable with a principal amount of $103,000. This note receivable bears interest at 5.5%, matures in December 2023 and is collateralized through an equity interest in which it or its subsidiaries wholly own 62 storage facilities. The Company paid cash of $101,142 for the loan receivable and accounts for the discount at amortized cost. The discount is being amortized over the term of the loan receivable.</w:t>
      </w: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provides bridge loan financing to third-party self-storage operators. These notes receivable consist of primary mortgage and mezzanine loans receivable, collateralized by self-storage properties. These notes receivable typically have a term of three years with two one-year extensions, and have variable interest rates. The Company intends to sell the majority of the mortgage receivables and keep the mezzanine receivables to maturity. During the six months ended June 30, 2021 the Company sold a total principal amount of $87,812 of its mortgage bridge loans receivable to third parties for a total of $87,298 in cash and closed on $68,523 in new mortgage and mezzanine bridge loans.</w:t>
      </w: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NET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2021, the Operating Partnership executed its initial public bond issuance by selling $450.0 million principal amount of 2.550% Senior Notes due 2031 (the "Notes"). Interest on the Notes is paid semi-annually in arrears on June 1 and December 1 of each year. The Notes will mature on June 1, 2031, and the Operating Partnership may redeem the Notes at its option and sole discretion at any time prior to March 31, 2031 for cash equal to the outstanding principal amount plus the present value of the remaining scheduled interest payments, plus any accrued but unpaid interest. The Notes are unsecured, and are fully and unconditionally guaranteed by the Company, ESS Holdings Business Trust I, and ESS Holdings Business Trust II (the "Guarantors," and together with the Operating Partnership, the "Obligated Group"), on a joint and several basis. The guarantee of the Notes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six months ended June 30, 2021 and 2020, such derivatives were used to hedge the variable cash flows associated with existing variable-rate debt. In the coming 12 months, the Company estimates that $35,455 will be reclassified and increase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20 derivative financial instruments which had a total combined notional amount of $1,989,896 as of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Asset / Liability Derivatives</w:t>
            </w:r>
          </w:p>
        </w:tc>
      </w:tr>
      <w:tr>
        <w:trPr>
          <w:trHeight w:val="199"/>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7"/>
                <w:szCs w:val="17"/>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2020</w:t>
            </w:r>
          </w:p>
        </w:tc>
      </w:tr>
      <w:tr>
        <w:trPr>
          <w:trHeight w:val="226"/>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69,551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98,325</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Gain (loss) recognized in OCI For the Three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Location of amounts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Gain (loss) reclassified from OCI For the Three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w w:val="93"/>
              </w:rPr>
              <w:t>Months Ended June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tcPr>
          <w:p>
            <w:pPr>
              <w:jc w:val="right"/>
              <w:spacing w:after="0" w:line="135" w:lineRule="exact"/>
              <w:rPr>
                <w:sz w:val="20"/>
                <w:szCs w:val="20"/>
                <w:color w:val="auto"/>
              </w:rPr>
            </w:pPr>
            <w:r>
              <w:rPr>
                <w:rFonts w:ascii="Arial" w:cs="Arial" w:eastAsia="Arial" w:hAnsi="Arial"/>
                <w:sz w:val="14"/>
                <w:szCs w:val="14"/>
                <w:b w:val="1"/>
                <w:bCs w:val="1"/>
                <w:color w:val="auto"/>
              </w:rPr>
              <w:t>Months Ended June 30,</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720" w:type="dxa"/>
            <w:vAlign w:val="bottom"/>
            <w:gridSpan w:val="3"/>
            <w:vMerge w:val="restart"/>
          </w:tcPr>
          <w:p>
            <w:pPr>
              <w:jc w:val="center"/>
              <w:ind w:right="140"/>
              <w:spacing w:after="0" w:line="122" w:lineRule="exact"/>
              <w:rPr>
                <w:sz w:val="20"/>
                <w:szCs w:val="20"/>
                <w:color w:val="auto"/>
              </w:rPr>
            </w:pPr>
            <w:r>
              <w:rPr>
                <w:rFonts w:ascii="Arial" w:cs="Arial" w:eastAsia="Arial" w:hAnsi="Arial"/>
                <w:sz w:val="14"/>
                <w:szCs w:val="14"/>
                <w:b w:val="1"/>
                <w:bCs w:val="1"/>
                <w:color w:val="auto"/>
                <w:w w:val="95"/>
              </w:rPr>
              <w:t>reclassified from OCI</w:t>
            </w: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vMerge w:val="restart"/>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into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1000" w:type="dxa"/>
            <w:vAlign w:val="bottom"/>
            <w:tcBorders>
              <w:bottom w:val="single" w:sz="8" w:color="auto"/>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Gain (loss) recognized in OCI For the Six Months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Location of amounts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Gain (loss) reclassified from OCI For the Six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3"/>
              </w:rPr>
              <w:t>Ended June 30,</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gridSpan w:val="6"/>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Months Ended June 30,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Type</w:t>
            </w:r>
          </w:p>
        </w:tc>
        <w:tc>
          <w:tcPr>
            <w:tcW w:w="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20" w:type="dxa"/>
            <w:vAlign w:val="bottom"/>
            <w:gridSpan w:val="3"/>
            <w:vMerge w:val="restart"/>
          </w:tcPr>
          <w:p>
            <w:pPr>
              <w:jc w:val="center"/>
              <w:ind w:right="20"/>
              <w:spacing w:after="0" w:line="95" w:lineRule="exact"/>
              <w:rPr>
                <w:sz w:val="20"/>
                <w:szCs w:val="20"/>
                <w:color w:val="auto"/>
              </w:rPr>
            </w:pPr>
            <w:r>
              <w:rPr>
                <w:rFonts w:ascii="Arial" w:cs="Arial" w:eastAsia="Arial" w:hAnsi="Arial"/>
                <w:sz w:val="10"/>
                <w:szCs w:val="10"/>
                <w:b w:val="1"/>
                <w:bCs w:val="1"/>
                <w:color w:val="auto"/>
              </w:rPr>
              <w:t>reclassified from OCI into</w:t>
            </w: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gridSpan w:val="2"/>
            <w:vMerge w:val="continue"/>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10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11,052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Interest expense</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2021, the fair value of derivatives in a net liability position, which includes accrued interest but excludes any adjustment for nonperformance risk, related to these agreements was $71,694. As of June 30, 2021, the Company had not posted any collateral related to these agreements. If the Company had breached any of these provisions as of June 30, 2021, it could have been required to cash settle its obligations under the agreements at their termination value of $71,694, including accrued interest.</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EXCHANGEABLE SENIOR NOTES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represented the estimated term based on the first available redemption date, and are included in exchangeable senior notes, net, in the condensed consolidated balance sheets. Prior to the full redemption of the 2015 Notes in November 2020 as described below, the 2015 Notes were general unsecured senior obligations of the Operating Partnership and were fully guaranteed by the Company. Interest was payable on April 1 and October 1 of each year beginning April 1, 2016, until the maturity date of October 1, 2035. The 2015 Notes bore interest at 3.125% per annum and contained an exchange settlement feature, which provided that the 2015 Notes could have been, under certain circumstances, exchangeable for cash (for the principal amount of the 2015 Notes) and, with respect to any excess exchange value, for cash, shares of the Company’s common stock, or a combination of cash and shares of the Company’s common stock, at the Company’s option.</w:t>
      </w:r>
    </w:p>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components of the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were amortized as interest expense over the remaining period of the debt through its first redemption date of October 1, 2020. The effective interest rate on the liability components of the 2015 Notes was 4.0%, which approximated the market rate of interest of similar debt without exchange features (i.e. nonconvertible debt) at the time of issuance.</w:t>
      </w:r>
    </w:p>
    <w:p>
      <w:pPr>
        <w:spacing w:after="0" w:line="204"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of the Notes were as follows for the periods indicated:</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40" w:type="dxa"/>
            <w:vAlign w:val="bottom"/>
            <w:gridSpan w:val="6"/>
          </w:tcPr>
          <w:p>
            <w:pPr>
              <w:ind w:left="40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8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For the Six Months Ended June 30,</w:t>
            </w:r>
          </w:p>
        </w:tc>
      </w:tr>
      <w:tr>
        <w:trPr>
          <w:trHeight w:val="187"/>
        </w:trPr>
        <w:tc>
          <w:tcPr>
            <w:tcW w:w="47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Amortization of discount</w:t>
            </w:r>
          </w:p>
        </w:tc>
        <w:tc>
          <w:tcPr>
            <w:tcW w:w="10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2,442</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and the Company redeemed the remaining $55 of outstanding principal amount of the 2015 Notes. The Company paid cash of $503,487 for the principal amount and issued 1,198,962 shares of common stock with a value of $138,900 for the exchange value in excess of the principal amount.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15, 2019, the Company filed its $500,000 "at the market" equity program with the Securities and Exchange Commission using a shelf registration statement on Form S-3, and entered into separate equity distribution agreements with nine sales agents.</w:t>
      </w:r>
    </w:p>
    <w:p>
      <w:pPr>
        <w:spacing w:after="0" w:line="19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During the six months ended June 30, 2021, the Company sold 585,685 shares of common stock under its "at the market" equity program resulting in net proceeds of $66,937. As of June 30, 2021, the Company did not have an active ATM program,</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and anticipates filing a new plan in the third quarter of 2021. On March 23, 2021, the Company sold 1,600,000 shares of its common stock in a registered offering structured as a bought deal at a price of $129.13 per share resulting in net proceeds of $206,573.</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15, 2020, the Company's board of directors authorized a new share repurchase program allowing for the repurchase of shares with an aggregate value up to $400,000. No shares were repurchased during the six months ended June 30, 2021.</w:t>
      </w: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At June 30, 2021 and December 31, 2020,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June 30, 2021 and December 31, 2020,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Units</w:t>
            </w:r>
          </w:p>
        </w:tc>
        <w:tc>
          <w:tcPr>
            <w:tcW w:w="152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Series B Units</w:t>
            </w:r>
          </w:p>
        </w:tc>
        <w:tc>
          <w:tcPr>
            <w:tcW w:w="1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40,902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40,902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 Units</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117,362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117,362</w:t>
            </w:r>
          </w:p>
        </w:tc>
      </w:tr>
      <w:tr>
        <w:trPr>
          <w:trHeight w:val="223"/>
        </w:trPr>
        <w:tc>
          <w:tcPr>
            <w:tcW w:w="6700" w:type="dxa"/>
            <w:vAlign w:val="bottom"/>
          </w:tcPr>
          <w:p>
            <w:pPr>
              <w:spacing w:after="0"/>
              <w:rPr>
                <w:sz w:val="19"/>
                <w:szCs w:val="19"/>
                <w:color w:val="auto"/>
              </w:rPr>
            </w:pPr>
          </w:p>
        </w:tc>
        <w:tc>
          <w:tcPr>
            <w:tcW w:w="152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172,902</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172,052</w:t>
            </w:r>
          </w:p>
        </w:tc>
      </w:tr>
      <w:tr>
        <w:trPr>
          <w:trHeight w:val="20"/>
        </w:trPr>
        <w:tc>
          <w:tcPr>
            <w:tcW w:w="67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Series B Units were issued in 2013 and 2014 and have a liquidation value of $25.00 per unit for a fixed liquidation value of $40,902, which represents 1,636,087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21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 2018, certain holders of the Series C Units converted their Series C Units into OP Units, with a total of 407,996 Series C Units being converted into a total of 373,113 OP Units. On April 25, 2019, the remaining 296,020 Series C Units were converted into 270,709 OP Units. The remaining outstanding balance of the loan receivable of $1,900 is shown as a reduction of the noncontrolling interests related to the OP Units as of June 30, 2021 and December 31, 2020. See footnote 13 for further discussion of noncontrolling interests.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Series D Units have been issued at various times from 2014 to 2019. The Series D Units have a liquidation value of $25.00 per unit, for a fixed liquidation value of $117,362, which represents 4,694,485 Series D Units. Holders of the Series D Units receive distributions at an annual rate between</w:t>
      </w:r>
    </w:p>
    <w:p>
      <w:pPr>
        <w:spacing w:after="0" w:line="273" w:lineRule="auto"/>
        <w:rPr>
          <w:sz w:val="20"/>
          <w:szCs w:val="20"/>
          <w:color w:val="auto"/>
        </w:rPr>
      </w:pPr>
      <w:r>
        <w:rPr>
          <w:rFonts w:ascii="Arial" w:cs="Arial" w:eastAsia="Arial" w:hAnsi="Arial"/>
          <w:sz w:val="17"/>
          <w:szCs w:val="17"/>
          <w:color w:val="auto"/>
        </w:rPr>
        <w:t>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interest in its stores is held through the Operating Partnership. Between its general partner and limited partner interests, the Company held a 94.6% ownership interest in the Operating Partnership as of June 30, 2021. The remaining ownership interests in the Operating Partnership (including Preferred OP Units) of 5.4% are held by certain former owners of assets acquired by the Operating Partnership. As of June 30, 2021 and December 31, 2020, the noncontrolling interests in the Operating Partnership are shown on the balance sheet net of notes receivable of $1,900 and $2,311, respectively, because the borrowers under the loan receivable are also holders of OP Units (Note 12). This loan receivable bears interest at 5.0% per annum and matures on December 15, 2024.</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June 30, 2021, the ten-day average closing price of the Company's common stock was $163.63 and there were 5,734,356 OP Units outstanding. Assuming that all of the OP Unit holders exercised their right to redeem all of their OP Units on June 30, 2021 and the Company elected to pay the OP Unit holders cash, the Company would have paid $938,313 in cash consideration to redeem the units.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680" w:type="dxa"/>
            <w:vAlign w:val="bottom"/>
            <w:tcBorders>
              <w:bottom w:val="single" w:sz="8" w:color="auto"/>
            </w:tcBorders>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63,429</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108,862</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 Units redeemed for cash</w:t>
            </w:r>
          </w:p>
        </w:tc>
        <w:tc>
          <w:tcPr>
            <w:tcW w:w="12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 Units redeemed</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26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Other noncontrolling interests represent the ownership interests of third parties in three consolidated joint ventures as of June 30, 2021. One joint venture owns four operating stores, another joint venture owns two operating stores, and the last owns one property that is under development. The voting interests of the third-party owners are between 5.0% and 20.0%.</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SEGMENT INFORMATION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4" w:right="339" w:bottom="1440" w:gutter="0" w:footer="0" w:header="0"/>
        </w:sectPr>
      </w:pPr>
    </w:p>
    <w:p>
      <w:pPr>
        <w:spacing w:after="0" w:line="1"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34925</wp:posOffset>
            </wp:positionV>
            <wp:extent cx="24860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9" w:lineRule="exact"/>
        <w:rPr>
          <w:sz w:val="20"/>
          <w:szCs w:val="20"/>
          <w:color w:val="auto"/>
        </w:rPr>
      </w:pPr>
    </w:p>
    <w:p>
      <w:pPr>
        <w:ind w:left="4500"/>
        <w:spacing w:after="0"/>
        <w:tabs>
          <w:tab w:leader="none" w:pos="64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34925</wp:posOffset>
            </wp:positionV>
            <wp:extent cx="2151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49"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6" w:lineRule="exact"/>
        <w:rPr>
          <w:sz w:val="20"/>
          <w:szCs w:val="20"/>
          <w:color w:val="auto"/>
        </w:rPr>
      </w:pPr>
    </w:p>
    <w:p>
      <w:pPr>
        <w:sectPr>
          <w:pgSz w:w="11900" w:h="16838" w:orient="portrait"/>
          <w:cols w:equalWidth="0" w:num="2">
            <w:col w:w="7600" w:space="720"/>
            <w:col w:w="29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680" w:type="dxa"/>
            <w:vAlign w:val="bottom"/>
          </w:tcPr>
          <w:p>
            <w:pPr>
              <w:ind w:left="20"/>
              <w:spacing w:after="0"/>
              <w:rPr>
                <w:sz w:val="20"/>
                <w:szCs w:val="20"/>
                <w:color w:val="auto"/>
              </w:rPr>
            </w:pPr>
            <w:r>
              <w:rPr>
                <w:rFonts w:ascii="Arial" w:cs="Arial" w:eastAsia="Arial" w:hAnsi="Arial"/>
                <w:sz w:val="16"/>
                <w:szCs w:val="16"/>
                <w:color w:val="auto"/>
              </w:rPr>
              <w:t>Revenues:</w:t>
            </w:r>
          </w:p>
        </w:tc>
        <w:tc>
          <w:tcPr>
            <w:tcW w:w="7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Self-Storage Operations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321,500</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279,312</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625,093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566,015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Tenant Reinsurance</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42,334</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81,953</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68,691</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revenues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363,834</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314,390</w:t>
            </w:r>
          </w:p>
        </w:tc>
        <w:tc>
          <w:tcPr>
            <w:tcW w:w="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707,046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634,706</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6"/>
                <w:szCs w:val="16"/>
                <w:color w:val="auto"/>
              </w:rPr>
              <w:t>Self-Storage Operations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89,155</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89,040</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181,522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179,337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Reinsurance</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segment operating expenses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95,890</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95,898</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195,418</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192,873</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Self-Storage Operations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232,345</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190,272</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386,678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Tenant Reinsurance</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35,599</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28,220</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68,057</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net operating income:</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267,944</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218,492</w:t>
            </w:r>
          </w:p>
        </w:tc>
        <w:tc>
          <w:tcPr>
            <w:tcW w:w="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511,628</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441,833</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components of net income:</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20"/>
              <w:spacing w:after="0"/>
              <w:rPr>
                <w:sz w:val="20"/>
                <w:szCs w:val="20"/>
                <w:color w:val="auto"/>
              </w:rPr>
            </w:pPr>
            <w:r>
              <w:rPr>
                <w:rFonts w:ascii="Arial" w:cs="Arial" w:eastAsia="Arial" w:hAnsi="Arial"/>
                <w:sz w:val="16"/>
                <w:szCs w:val="16"/>
                <w:color w:val="auto"/>
              </w:rPr>
              <w:t>Management fees and other income</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14,796</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12,856</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30,441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24,992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(26,341)</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(25,337)</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(49,881)</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0" w:type="dxa"/>
            <w:vAlign w:val="bottom"/>
          </w:tcPr>
          <w:p>
            <w:pPr>
              <w:spacing w:after="0"/>
              <w:rPr>
                <w:sz w:val="1"/>
                <w:szCs w:val="1"/>
                <w:color w:val="auto"/>
              </w:rPr>
            </w:pPr>
          </w:p>
        </w:tc>
      </w:tr>
      <w:tr>
        <w:trPr>
          <w:trHeight w:val="230"/>
        </w:trPr>
        <w:tc>
          <w:tcPr>
            <w:tcW w:w="36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(59,570)</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(56,018)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(118,169)</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(111,293)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real estate transactions</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(40,240)</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(41,039)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(80,935)</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(85,397)</w:t>
            </w:r>
          </w:p>
        </w:tc>
        <w:tc>
          <w:tcPr>
            <w:tcW w:w="0" w:type="dxa"/>
            <w:vAlign w:val="bottom"/>
          </w:tcPr>
          <w:p>
            <w:pPr>
              <w:spacing w:after="0"/>
              <w:rPr>
                <w:sz w:val="1"/>
                <w:szCs w:val="1"/>
                <w:color w:val="auto"/>
              </w:rPr>
            </w:pPr>
          </w:p>
        </w:tc>
      </w:tr>
      <w:tr>
        <w:trPr>
          <w:trHeight w:val="166"/>
        </w:trPr>
        <w:tc>
          <w:tcPr>
            <w:tcW w:w="368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w w:val="92"/>
              </w:rPr>
              <w:t>Non-cash interest expense related to amortization of</w:t>
            </w:r>
          </w:p>
        </w:tc>
        <w:tc>
          <w:tcPr>
            <w:tcW w:w="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discount on equity component of exchangeable</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senior notes</w:t>
            </w: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12,838</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25,142</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166"/>
        </w:trPr>
        <w:tc>
          <w:tcPr>
            <w:tcW w:w="368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Equity in earnings and dividend income from</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5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unconsolidated real estate entities</w:t>
            </w: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80" w:type="dxa"/>
            <w:vAlign w:val="bottom"/>
          </w:tcPr>
          <w:p>
            <w:pPr>
              <w:ind w:left="220"/>
              <w:spacing w:after="0" w:line="166" w:lineRule="exact"/>
              <w:rPr>
                <w:sz w:val="20"/>
                <w:szCs w:val="20"/>
                <w:color w:val="auto"/>
              </w:rPr>
            </w:pPr>
            <w:r>
              <w:rPr>
                <w:rFonts w:ascii="Arial" w:cs="Arial" w:eastAsia="Arial" w:hAnsi="Arial"/>
                <w:sz w:val="16"/>
                <w:szCs w:val="16"/>
                <w:color w:val="auto"/>
              </w:rPr>
              <w:t>Equity in earnings of unconsolidated real estate</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20"/>
              <w:spacing w:after="0" w:line="162" w:lineRule="exact"/>
              <w:rPr>
                <w:sz w:val="20"/>
                <w:szCs w:val="20"/>
                <w:color w:val="auto"/>
              </w:rPr>
            </w:pPr>
            <w:r>
              <w:rPr>
                <w:rFonts w:ascii="Arial" w:cs="Arial" w:eastAsia="Arial" w:hAnsi="Arial"/>
                <w:sz w:val="16"/>
                <w:szCs w:val="16"/>
                <w:color w:val="auto"/>
              </w:rPr>
              <w:t>ventures - gain on sale of real estate assets and</w:t>
            </w:r>
          </w:p>
        </w:tc>
        <w:tc>
          <w:tcPr>
            <w:tcW w:w="7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6,251</w:t>
            </w:r>
          </w:p>
        </w:tc>
        <w:tc>
          <w:tcPr>
            <w:tcW w:w="700" w:type="dxa"/>
            <w:vAlign w:val="bottom"/>
          </w:tcPr>
          <w:p>
            <w:pPr>
              <w:spacing w:after="0"/>
              <w:rPr>
                <w:sz w:val="14"/>
                <w:szCs w:val="14"/>
                <w:color w:val="auto"/>
              </w:rPr>
            </w:pPr>
          </w:p>
        </w:tc>
        <w:tc>
          <w:tcPr>
            <w:tcW w:w="15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6,251</w:t>
            </w:r>
          </w:p>
        </w:tc>
        <w:tc>
          <w:tcPr>
            <w:tcW w:w="5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80" w:type="dxa"/>
            <w:vAlign w:val="bottom"/>
          </w:tcPr>
          <w:p>
            <w:pPr>
              <w:ind w:left="220"/>
              <w:spacing w:after="0"/>
              <w:rPr>
                <w:sz w:val="20"/>
                <w:szCs w:val="20"/>
                <w:color w:val="auto"/>
              </w:rPr>
            </w:pPr>
            <w:r>
              <w:rPr>
                <w:rFonts w:ascii="Arial" w:cs="Arial" w:eastAsia="Arial" w:hAnsi="Arial"/>
                <w:sz w:val="16"/>
                <w:szCs w:val="16"/>
                <w:color w:val="auto"/>
              </w:rPr>
              <w:t>purchase of joint venture partner's interest</w:t>
            </w:r>
          </w:p>
        </w:tc>
        <w:tc>
          <w:tcPr>
            <w:tcW w:w="7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expense</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23"/>
        </w:trPr>
        <w:tc>
          <w:tcPr>
            <w:tcW w:w="3680" w:type="dxa"/>
            <w:vAlign w:val="bottom"/>
          </w:tcPr>
          <w:p>
            <w:pPr>
              <w:ind w:left="460"/>
              <w:spacing w:after="0"/>
              <w:rPr>
                <w:sz w:val="20"/>
                <w:szCs w:val="20"/>
                <w:color w:val="auto"/>
              </w:rPr>
            </w:pPr>
            <w:r>
              <w:rPr>
                <w:rFonts w:ascii="Arial" w:cs="Arial" w:eastAsia="Arial" w:hAnsi="Arial"/>
                <w:sz w:val="16"/>
                <w:szCs w:val="16"/>
                <w:color w:val="auto"/>
              </w:rPr>
              <w:t>Net income</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178,579</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111,257</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394,080</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2021,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9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June 30, 2021, the Company was under agreement to acquire three stores at a total purchase price of $28,850. All three stores are scheduled to close in 2021. Additionally, the Company is under agreement to acquire seven stores with joint venture partners, for a total investment of $9,890. These stores are also expected to close in 2021.</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following discussion and analysis should be read in conjunction with our unaudited </w:t>
      </w:r>
      <w:r>
        <w:rPr>
          <w:rFonts w:ascii="Arial" w:cs="Arial" w:eastAsia="Arial" w:hAnsi="Arial"/>
          <w:sz w:val="18"/>
          <w:szCs w:val="18"/>
          <w:i w:val="1"/>
          <w:iCs w:val="1"/>
          <w:color w:val="auto"/>
        </w:rPr>
        <w:t>“Condensed Consolidated Financial Statements”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Condensed Consolidated Financial Statements (unaudited)” </w:t>
      </w:r>
      <w:r>
        <w:rPr>
          <w:rFonts w:ascii="Arial" w:cs="Arial" w:eastAsia="Arial" w:hAnsi="Arial"/>
          <w:sz w:val="18"/>
          <w:szCs w:val="18"/>
          <w:color w:val="auto"/>
        </w:rPr>
        <w:t>appearing elsewhere in this report and the</w:t>
      </w:r>
      <w:r>
        <w:rPr>
          <w:rFonts w:ascii="Arial" w:cs="Arial" w:eastAsia="Arial" w:hAnsi="Arial"/>
          <w:sz w:val="18"/>
          <w:szCs w:val="18"/>
          <w:i w:val="1"/>
          <w:iCs w:val="1"/>
          <w:color w:val="auto"/>
        </w:rPr>
        <w:t xml:space="preserve"> “Consolidated Financial Statements,” “Notes to 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contained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2020.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 Information</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2020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7" w:name="page28"/>
    <w:bookmarkEnd w:id="27"/>
    <w:p>
      <w:pPr>
        <w:spacing w:after="0" w:line="19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United States and other countries around the world continue to be impacted by the COVID-19 pandemic, which has created considerable instability and disruption in the U.S. and world economies. Governmental authorities in impacted regions have taken various actions in an effort to slow the spread of COVID-19, including issuance of varying forms of states of emergency orders. In response to these evolving orders and the COVID-19 pandemic,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Although we have started to see certain governmental restrictions lifted and certain work practices return to normal, our customers may continue to be impacted by the COVID-19 pandemic and related governmental responses, including through unemployment, which may impact their ability to pay rent or renew their leases. With the lifting of many governmental restrictions, we have seen record occupancy in our stores. However, given the uncertainty resulting from the pandemic, our business may be impacted by the COVID-19 pandemic including additional governmental restrictions.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June 30, 2021, we owned or had ownership interests in 1,205 operating stores. Of these stores, 952 are wholly-owned, six are in consolidated joint ventures, and 247 are in unconsolidated joint ventures. In addition, we managed an additional 768 stores for third parties bringing the total number of stores which we own and/or manage to 1,973. These stores are located in 40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30, 2021, approximately 1,215,000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June 30, 2021, the average length of stay was approximately 15.3 months.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$17.09 for the three months ended June 30, 2021, compared to $15.69 for the three months ended June 30, 2020. Average annual rent per square foot for new leases was $20.65 for the three months ended June 30, 2021, compared to $12.81 for the three months ended June 30, 2020. The average discounts, as a percentage of rental revenues, at all stabilized properties during these periods were 3.5% and 3.2%, respectively.</w:t>
      </w:r>
    </w:p>
    <w:p>
      <w:pPr>
        <w:spacing w:after="0" w:line="21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June 30, 2021</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REIT Owned</w:t>
            </w:r>
          </w:p>
        </w:tc>
        <w:tc>
          <w:tcPr>
            <w:tcW w:w="2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Joint Venture Owned</w:t>
            </w:r>
          </w:p>
        </w:tc>
        <w:tc>
          <w:tcPr>
            <w:tcW w:w="224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Managed</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8"/>
        </w:trPr>
        <w:tc>
          <w:tcPr>
            <w:tcW w:w="232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Property</w:t>
            </w:r>
          </w:p>
        </w:tc>
        <w:tc>
          <w:tcPr>
            <w:tcW w:w="130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Count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Count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688,412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75,801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1,004,509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1,768,722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1,623,418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555,273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1,604,902</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300" w:type="dxa"/>
            <w:vAlign w:val="bottom"/>
          </w:tcPr>
          <w:p>
            <w:pPr>
              <w:jc w:val="right"/>
              <w:spacing w:after="0"/>
              <w:rPr>
                <w:sz w:val="20"/>
                <w:szCs w:val="20"/>
                <w:color w:val="auto"/>
              </w:rPr>
            </w:pPr>
            <w:r>
              <w:rPr>
                <w:rFonts w:ascii="Arial" w:cs="Arial" w:eastAsia="Arial" w:hAnsi="Arial"/>
                <w:sz w:val="16"/>
                <w:szCs w:val="16"/>
                <w:color w:val="auto"/>
              </w:rPr>
              <w:t>3,783,593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12,542,076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3,436,170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7,133,574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23,111,820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1,152,806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186,209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1,907,966</w:t>
            </w: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300" w:type="dxa"/>
            <w:vAlign w:val="bottom"/>
          </w:tcPr>
          <w:p>
            <w:pPr>
              <w:jc w:val="right"/>
              <w:spacing w:after="0"/>
              <w:rPr>
                <w:sz w:val="20"/>
                <w:szCs w:val="20"/>
                <w:color w:val="auto"/>
              </w:rPr>
            </w:pPr>
            <w:r>
              <w:rPr>
                <w:rFonts w:ascii="Arial" w:cs="Arial" w:eastAsia="Arial" w:hAnsi="Arial"/>
                <w:sz w:val="16"/>
                <w:szCs w:val="16"/>
                <w:color w:val="auto"/>
              </w:rPr>
              <w:t>3,246,981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531,451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489,573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489,443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1,510,467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76,645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138,479</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215,124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7,473,508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2,456,339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8,955,413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18,885,260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5,193,294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434,433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1,953,401</w:t>
            </w: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1300" w:type="dxa"/>
            <w:vAlign w:val="bottom"/>
          </w:tcPr>
          <w:p>
            <w:pPr>
              <w:jc w:val="right"/>
              <w:spacing w:after="0"/>
              <w:rPr>
                <w:sz w:val="20"/>
                <w:szCs w:val="20"/>
                <w:color w:val="auto"/>
              </w:rPr>
            </w:pPr>
            <w:r>
              <w:rPr>
                <w:rFonts w:ascii="Arial" w:cs="Arial" w:eastAsia="Arial" w:hAnsi="Arial"/>
                <w:sz w:val="16"/>
                <w:szCs w:val="16"/>
                <w:color w:val="auto"/>
              </w:rPr>
              <w:t>7,581,128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862,996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211,854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1,074,850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131,589</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300" w:type="dxa"/>
            <w:vAlign w:val="bottom"/>
          </w:tcPr>
          <w:p>
            <w:pPr>
              <w:jc w:val="right"/>
              <w:spacing w:after="0"/>
              <w:rPr>
                <w:sz w:val="20"/>
                <w:szCs w:val="20"/>
                <w:color w:val="auto"/>
              </w:rPr>
            </w:pPr>
            <w:r>
              <w:rPr>
                <w:rFonts w:ascii="Arial" w:cs="Arial" w:eastAsia="Arial" w:hAnsi="Arial"/>
                <w:sz w:val="16"/>
                <w:szCs w:val="16"/>
                <w:color w:val="auto"/>
              </w:rPr>
              <w:t>131,589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2,733,764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674,573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1,933,850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5,342,187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950,223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58,166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1,183,558</w:t>
            </w: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300" w:type="dxa"/>
            <w:vAlign w:val="bottom"/>
          </w:tcPr>
          <w:p>
            <w:pPr>
              <w:jc w:val="right"/>
              <w:spacing w:after="0"/>
              <w:rPr>
                <w:sz w:val="20"/>
                <w:szCs w:val="20"/>
                <w:color w:val="auto"/>
              </w:rPr>
            </w:pPr>
            <w:r>
              <w:rPr>
                <w:rFonts w:ascii="Arial" w:cs="Arial" w:eastAsia="Arial" w:hAnsi="Arial"/>
                <w:sz w:val="16"/>
                <w:szCs w:val="16"/>
                <w:color w:val="auto"/>
              </w:rPr>
              <w:t>2,191,947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50,209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108,920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472,359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631,488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930,785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51,148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507,098</w:t>
            </w: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300" w:type="dxa"/>
            <w:vAlign w:val="bottom"/>
          </w:tcPr>
          <w:p>
            <w:pPr>
              <w:jc w:val="right"/>
              <w:spacing w:after="0"/>
              <w:rPr>
                <w:sz w:val="20"/>
                <w:szCs w:val="20"/>
                <w:color w:val="auto"/>
              </w:rPr>
            </w:pPr>
            <w:r>
              <w:rPr>
                <w:rFonts w:ascii="Arial" w:cs="Arial" w:eastAsia="Arial" w:hAnsi="Arial"/>
                <w:sz w:val="16"/>
                <w:szCs w:val="16"/>
                <w:color w:val="auto"/>
              </w:rPr>
              <w:t>1,489,031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164,114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702,348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866,462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2,763,170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550,819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2,633,281</w:t>
            </w: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1300" w:type="dxa"/>
            <w:vAlign w:val="bottom"/>
          </w:tcPr>
          <w:p>
            <w:pPr>
              <w:jc w:val="right"/>
              <w:spacing w:after="0"/>
              <w:rPr>
                <w:sz w:val="20"/>
                <w:szCs w:val="20"/>
                <w:color w:val="auto"/>
              </w:rPr>
            </w:pPr>
            <w:r>
              <w:rPr>
                <w:rFonts w:ascii="Arial" w:cs="Arial" w:eastAsia="Arial" w:hAnsi="Arial"/>
                <w:sz w:val="16"/>
                <w:szCs w:val="16"/>
                <w:color w:val="auto"/>
              </w:rPr>
              <w:t>5,947,270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2,966,289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640,779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981,649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4,588,717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567,629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309,086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341,028</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300" w:type="dxa"/>
            <w:vAlign w:val="bottom"/>
          </w:tcPr>
          <w:p>
            <w:pPr>
              <w:jc w:val="right"/>
              <w:spacing w:after="0"/>
              <w:rPr>
                <w:sz w:val="20"/>
                <w:szCs w:val="20"/>
                <w:color w:val="auto"/>
              </w:rPr>
            </w:pPr>
            <w:r>
              <w:rPr>
                <w:rFonts w:ascii="Arial" w:cs="Arial" w:eastAsia="Arial" w:hAnsi="Arial"/>
                <w:sz w:val="16"/>
                <w:szCs w:val="16"/>
                <w:color w:val="auto"/>
              </w:rPr>
              <w:t>1,217,743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509,241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305,846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1,107,912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1,922,999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221,957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83,015</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spacing w:after="0"/>
              <w:rPr>
                <w:sz w:val="20"/>
                <w:szCs w:val="20"/>
                <w:color w:val="auto"/>
              </w:rPr>
            </w:pPr>
            <w:r>
              <w:rPr>
                <w:rFonts w:ascii="Arial" w:cs="Arial" w:eastAsia="Arial" w:hAnsi="Arial"/>
                <w:sz w:val="16"/>
                <w:szCs w:val="16"/>
                <w:color w:val="auto"/>
              </w:rPr>
              <w:t>304,972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332,820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119,275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757,593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1,209,688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278,391</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278,391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1,040,063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473,751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709,158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2,222,972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135,835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84,693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192,052</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412,580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4,821,988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1,142,042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1,840,990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7,805,020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718,360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355,243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958,516</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300" w:type="dxa"/>
            <w:vAlign w:val="bottom"/>
          </w:tcPr>
          <w:p>
            <w:pPr>
              <w:jc w:val="right"/>
              <w:spacing w:after="0"/>
              <w:rPr>
                <w:sz w:val="20"/>
                <w:szCs w:val="20"/>
                <w:color w:val="auto"/>
              </w:rPr>
            </w:pPr>
            <w:r>
              <w:rPr>
                <w:rFonts w:ascii="Arial" w:cs="Arial" w:eastAsia="Arial" w:hAnsi="Arial"/>
                <w:sz w:val="16"/>
                <w:szCs w:val="16"/>
                <w:color w:val="auto"/>
              </w:rPr>
              <w:t>2,032,119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2,029,942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1,467,061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1,516,443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5,013,446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1,505,344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298,667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1,429,920</w:t>
            </w: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300" w:type="dxa"/>
            <w:vAlign w:val="bottom"/>
          </w:tcPr>
          <w:p>
            <w:pPr>
              <w:jc w:val="right"/>
              <w:spacing w:after="0"/>
              <w:rPr>
                <w:sz w:val="20"/>
                <w:szCs w:val="20"/>
                <w:color w:val="auto"/>
              </w:rPr>
            </w:pPr>
            <w:r>
              <w:rPr>
                <w:rFonts w:ascii="Arial" w:cs="Arial" w:eastAsia="Arial" w:hAnsi="Arial"/>
                <w:sz w:val="16"/>
                <w:szCs w:val="16"/>
                <w:color w:val="auto"/>
              </w:rPr>
              <w:t>3,233,931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1,316,224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325,713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573,101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2,215,038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1,612,383</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color w:val="auto"/>
              </w:rPr>
              <w:t>1,612,383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552,184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65,285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728,678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1,346,147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1,537,085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513,427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2,118,628</w:t>
            </w: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300" w:type="dxa"/>
            <w:vAlign w:val="bottom"/>
          </w:tcPr>
          <w:p>
            <w:pPr>
              <w:jc w:val="right"/>
              <w:spacing w:after="0"/>
              <w:rPr>
                <w:sz w:val="20"/>
                <w:szCs w:val="20"/>
                <w:color w:val="auto"/>
              </w:rPr>
            </w:pPr>
            <w:r>
              <w:rPr>
                <w:rFonts w:ascii="Arial" w:cs="Arial" w:eastAsia="Arial" w:hAnsi="Arial"/>
                <w:sz w:val="16"/>
                <w:szCs w:val="16"/>
                <w:color w:val="auto"/>
              </w:rPr>
              <w:t>4,169,140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133,582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231,840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365,422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1,812,228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537,319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1,409,789</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300" w:type="dxa"/>
            <w:vAlign w:val="bottom"/>
          </w:tcPr>
          <w:p>
            <w:pPr>
              <w:jc w:val="right"/>
              <w:spacing w:after="0"/>
              <w:rPr>
                <w:sz w:val="20"/>
                <w:szCs w:val="20"/>
                <w:color w:val="auto"/>
              </w:rPr>
            </w:pPr>
            <w:r>
              <w:rPr>
                <w:rFonts w:ascii="Arial" w:cs="Arial" w:eastAsia="Arial" w:hAnsi="Arial"/>
                <w:sz w:val="16"/>
                <w:szCs w:val="16"/>
                <w:color w:val="auto"/>
              </w:rPr>
              <w:t>3,759,336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1,772,988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807,403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841,847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3,422,238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8,937,221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1,339,415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5,845,808</w:t>
            </w:r>
          </w:p>
        </w:tc>
        <w:tc>
          <w:tcPr>
            <w:tcW w:w="860" w:type="dxa"/>
            <w:vAlign w:val="bottom"/>
          </w:tcPr>
          <w:p>
            <w:pPr>
              <w:jc w:val="right"/>
              <w:spacing w:after="0"/>
              <w:rPr>
                <w:sz w:val="20"/>
                <w:szCs w:val="20"/>
                <w:color w:val="auto"/>
              </w:rPr>
            </w:pPr>
            <w:r>
              <w:rPr>
                <w:rFonts w:ascii="Arial" w:cs="Arial" w:eastAsia="Arial" w:hAnsi="Arial"/>
                <w:sz w:val="16"/>
                <w:szCs w:val="16"/>
                <w:color w:val="auto"/>
              </w:rPr>
              <w:t>194</w:t>
            </w:r>
          </w:p>
        </w:tc>
        <w:tc>
          <w:tcPr>
            <w:tcW w:w="1300" w:type="dxa"/>
            <w:vAlign w:val="bottom"/>
          </w:tcPr>
          <w:p>
            <w:pPr>
              <w:jc w:val="right"/>
              <w:spacing w:after="0"/>
              <w:rPr>
                <w:sz w:val="20"/>
                <w:szCs w:val="20"/>
                <w:color w:val="auto"/>
              </w:rPr>
            </w:pPr>
            <w:r>
              <w:rPr>
                <w:rFonts w:ascii="Arial" w:cs="Arial" w:eastAsia="Arial" w:hAnsi="Arial"/>
                <w:sz w:val="16"/>
                <w:szCs w:val="16"/>
                <w:color w:val="auto"/>
              </w:rPr>
              <w:t>16,122,444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710,457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1,857,803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2,568,260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3,784,709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628,603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1,794,470</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300" w:type="dxa"/>
            <w:vAlign w:val="bottom"/>
          </w:tcPr>
          <w:p>
            <w:pPr>
              <w:jc w:val="right"/>
              <w:spacing w:after="0"/>
              <w:rPr>
                <w:sz w:val="20"/>
                <w:szCs w:val="20"/>
                <w:color w:val="auto"/>
              </w:rPr>
            </w:pPr>
            <w:r>
              <w:rPr>
                <w:rFonts w:ascii="Arial" w:cs="Arial" w:eastAsia="Arial" w:hAnsi="Arial"/>
                <w:sz w:val="16"/>
                <w:szCs w:val="16"/>
                <w:color w:val="auto"/>
              </w:rPr>
              <w:t>6,207,782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624,614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1,039,984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1,664,598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100,039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103,731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534,855</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300" w:type="dxa"/>
            <w:vAlign w:val="bottom"/>
          </w:tcPr>
          <w:p>
            <w:pPr>
              <w:jc w:val="right"/>
              <w:spacing w:after="0"/>
              <w:rPr>
                <w:sz w:val="20"/>
                <w:szCs w:val="20"/>
                <w:color w:val="auto"/>
              </w:rPr>
            </w:pPr>
            <w:r>
              <w:rPr>
                <w:rFonts w:ascii="Arial" w:cs="Arial" w:eastAsia="Arial" w:hAnsi="Arial"/>
                <w:sz w:val="16"/>
                <w:szCs w:val="16"/>
                <w:color w:val="auto"/>
              </w:rPr>
              <w:t>738,625</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430,343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430,343</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958</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73,791,025</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18,671,408</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768</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60,179,820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152,642,253</w:t>
            </w:r>
          </w:p>
        </w:tc>
        <w:tc>
          <w:tcPr>
            <w:tcW w:w="0" w:type="dxa"/>
            <w:vAlign w:val="bottom"/>
          </w:tcPr>
          <w:p>
            <w:pPr>
              <w:spacing w:after="0"/>
              <w:rPr>
                <w:sz w:val="1"/>
                <w:szCs w:val="1"/>
                <w:color w:val="auto"/>
              </w:rPr>
            </w:pPr>
          </w:p>
        </w:tc>
      </w:tr>
      <w:tr>
        <w:trPr>
          <w:trHeight w:val="24"/>
        </w:trPr>
        <w:tc>
          <w:tcPr>
            <w:tcW w:w="2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six consolidated joint venture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Results for the three and six months ended June 30, 2021 included the operations of 1,205 stores (952 wholly-owned, six in consolidated joint ventures, and 247 in joint ventures accounted for using the equity method) compared to the results for the three and six months ended June 30, 2020, which included the operations of 1,178 stores (927 wholly-owned, six in consolidated joint ventures, and 245 in joint ventures accounted for using the equity method).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For the Six Months Ended June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321,500</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279,312</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42,188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625,093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566,015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59,078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10.4 %</w:t>
            </w:r>
          </w:p>
        </w:tc>
      </w:tr>
      <w:tr>
        <w:trPr>
          <w:trHeight w:val="229"/>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81,953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r>
      <w:tr>
        <w:trPr>
          <w:trHeight w:val="176"/>
        </w:trPr>
        <w:tc>
          <w:tcPr>
            <w:tcW w:w="2780" w:type="dxa"/>
            <w:vAlign w:val="bottom"/>
          </w:tcPr>
          <w:p>
            <w:pPr>
              <w:ind w:left="400"/>
              <w:spacing w:after="0" w:line="176" w:lineRule="exact"/>
              <w:rPr>
                <w:sz w:val="20"/>
                <w:szCs w:val="20"/>
                <w:color w:val="auto"/>
              </w:rPr>
            </w:pPr>
            <w:r>
              <w:rPr>
                <w:rFonts w:ascii="Arial" w:cs="Arial" w:eastAsia="Arial" w:hAnsi="Arial"/>
                <w:sz w:val="18"/>
                <w:szCs w:val="18"/>
                <w:color w:val="auto"/>
              </w:rPr>
              <w:t>Management fees and other</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27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14,796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30,441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5,449</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21.8 %</w:t>
            </w:r>
          </w:p>
        </w:tc>
      </w:tr>
      <w:tr>
        <w:trPr>
          <w:trHeight w:val="235"/>
        </w:trPr>
        <w:tc>
          <w:tcPr>
            <w:tcW w:w="2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378,630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51,384</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737,487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77,789</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increase in property rental revenues for the three and six months ended June 30, 2021 was primarily the result of an increase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$35,122 and $46,928, respectively, related to higher occupancy and increased rental rates at our stabilized stores. An additional increase of $9,417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$15,013, respectively, was attributable to store acquisitions completed in 2021 and 2020. We acquired 24 wholly-owned stores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a total of 23 stores during the year ended December 31, 2020.</w:t>
      </w:r>
    </w:p>
    <w:p>
      <w:pPr>
        <w:spacing w:after="0" w:line="23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our tenant reinsurance revenues was due primarily to an increase in the number of stores operated and higher</w:t>
      </w:r>
      <w:r>
        <w:rPr>
          <w:rFonts w:ascii="Arial" w:cs="Arial" w:eastAsia="Arial" w:hAnsi="Arial"/>
          <w:sz w:val="18"/>
          <w:szCs w:val="18"/>
          <w:b w:val="1"/>
          <w:bCs w:val="1"/>
          <w:color w:val="auto"/>
        </w:rPr>
        <w:t xml:space="preserve"> </w:t>
      </w:r>
      <w:r>
        <w:rPr>
          <w:rFonts w:ascii="Arial" w:cs="Arial" w:eastAsia="Arial" w:hAnsi="Arial"/>
          <w:sz w:val="18"/>
          <w:szCs w:val="18"/>
          <w:color w:val="auto"/>
        </w:rPr>
        <w:t>occupancy. We operated 1,973 stores at June 30, 2021 compared to 1,878 stores at June 30, 2020.</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primarily represent the fee collected for our management of stores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and unconsolidated joint ventures and other transaction fee income. The increase for the three and six months ended June 30, 2021 was primarily due to an increase in the number of stores managed and other transaction fee income. As of June 30, 2021, we managed 1,021 stores for joint ventures and third parties, compared to 951 stores as of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8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2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282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89,155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89,040</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0.1 %</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181,522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179,337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30"/>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29"/>
        </w:trPr>
        <w:tc>
          <w:tcPr>
            <w:tcW w:w="2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25,337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49,881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48,348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1,533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30"/>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111,293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6,876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09"/>
        </w:trPr>
        <w:tc>
          <w:tcPr>
            <w:tcW w:w="282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181,801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177,253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4,548</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363,468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352,514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10,954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ind w:right="60"/>
        <w:spacing w:after="0" w:line="258"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during the three and six months ended June 30, 2021 was due primarily to an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of $3,345 and $5,972, respectively, attributable to store acquisitions completed in 2021 and 2020. We acquired 24 wholly-owned stores during the six months ended June 30, 2021 and a total of 23 stores during the year ended December 31, 2020. The property operations increase was partially offset by decreases in payroll and marketing expenses of $1,997 and $2,118, respectively, at stabilized stores and by decreases of $1,590 and $2,304, respectively, due to stores sold in 2021 and 2020.</w:t>
      </w:r>
    </w:p>
    <w:p>
      <w:pPr>
        <w:spacing w:after="0" w:line="21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We operated 1,973 stores at</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2021 compared to 1,878 stores at June 30, 2020.</w:t>
      </w:r>
    </w:p>
    <w:p>
      <w:pPr>
        <w:spacing w:after="0" w:line="189"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office expense, office rent, travel and professional fees. We did not observe any material trends in specific payroll, travel or other expenses apart from the increase due to the management of additional stores.</w:t>
      </w:r>
    </w:p>
    <w:p>
      <w:pPr>
        <w:spacing w:after="0" w:line="203" w:lineRule="exact"/>
        <w:rPr>
          <w:sz w:val="20"/>
          <w:szCs w:val="20"/>
          <w:color w:val="auto"/>
        </w:rPr>
      </w:pPr>
    </w:p>
    <w:p>
      <w:pPr>
        <w:jc w:val="both"/>
        <w:ind w:right="240"/>
        <w:spacing w:after="0" w:line="312"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24 wholly-owned stores during the six months ended June 30, 2021 and a total of 23 stores during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For the Six Months Ended June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real estate transactions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(80,935)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Non-cash interest expense related to</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2,442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amortization of discount on equity</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component of exchangeable senior notes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11,169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669.2 %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21,799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652.1 %</w:t>
            </w: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Equity in earnings and dividend income</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8,322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5,044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3,278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15,278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5,191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51.5 %</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from unconsolidated real estate entities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line="166" w:lineRule="exact"/>
              <w:rPr>
                <w:sz w:val="20"/>
                <w:szCs w:val="20"/>
                <w:color w:val="auto"/>
              </w:rPr>
            </w:pPr>
            <w:r>
              <w:rPr>
                <w:rFonts w:ascii="Arial" w:cs="Arial" w:eastAsia="Arial" w:hAnsi="Arial"/>
                <w:sz w:val="16"/>
                <w:szCs w:val="16"/>
                <w:color w:val="auto"/>
                <w:w w:val="97"/>
              </w:rPr>
              <w:t>Equity in earnings of unconsolidated real</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w w:val="91"/>
              </w:rPr>
              <w:t>estate ventures - gain on sale of real estate</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assets and purchase of joint venture</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6,251</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color w:val="auto"/>
              </w:rPr>
              <w:t>partner's interest</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78.5 %</w:t>
            </w:r>
          </w:p>
        </w:tc>
        <w:tc>
          <w:tcPr>
            <w:tcW w:w="0" w:type="dxa"/>
            <w:vAlign w:val="bottom"/>
          </w:tcPr>
          <w:p>
            <w:pPr>
              <w:spacing w:after="0"/>
              <w:rPr>
                <w:sz w:val="1"/>
                <w:szCs w:val="1"/>
                <w:color w:val="auto"/>
              </w:rPr>
            </w:pPr>
          </w:p>
        </w:tc>
      </w:tr>
      <w:tr>
        <w:trPr>
          <w:trHeight w:val="206"/>
        </w:trPr>
        <w:tc>
          <w:tcPr>
            <w:tcW w:w="2860" w:type="dxa"/>
            <w:vAlign w:val="bottom"/>
          </w:tcPr>
          <w:p>
            <w:pPr>
              <w:ind w:left="140"/>
              <w:spacing w:after="0"/>
              <w:rPr>
                <w:sz w:val="20"/>
                <w:szCs w:val="20"/>
                <w:color w:val="auto"/>
              </w:rPr>
            </w:pPr>
            <w:r>
              <w:rPr>
                <w:rFonts w:ascii="Arial" w:cs="Arial" w:eastAsia="Arial" w:hAnsi="Arial"/>
                <w:sz w:val="16"/>
                <w:szCs w:val="16"/>
                <w:color w:val="auto"/>
              </w:rPr>
              <w:t>Total other revenues &amp; expenses,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20,486</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99,826</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Gain on Real Estate Transactions—</w:t>
      </w:r>
      <w:r>
        <w:rPr>
          <w:rFonts w:ascii="Arial" w:cs="Arial" w:eastAsia="Arial" w:hAnsi="Arial"/>
          <w:sz w:val="18"/>
          <w:szCs w:val="18"/>
          <w:color w:val="auto"/>
        </w:rPr>
        <w:t>During the six months ended June 30, 2021, we sold 16 stores to a newly established unconsolidated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We recognized a total gain of $64,804 related to this transaction. This gain was partially offset by losses related to the sale of notes receivable and solar assets.</w:t>
      </w:r>
    </w:p>
    <w:p>
      <w:pPr>
        <w:spacing w:after="0" w:line="203"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6"/>
          <w:szCs w:val="16"/>
          <w:color w:val="auto"/>
        </w:rPr>
        <w:t>The decrease in interest expense during the six months ended June 30, 2021 was primarily the result of a lower weighted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rate compared to the same period in the prior year, as well as a shift in outstanding balances between fixed- and variable-rate debt.</w:t>
      </w:r>
    </w:p>
    <w:p>
      <w:pPr>
        <w:spacing w:after="0" w:line="14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discounts related to the equity components of the exchangeable senior notes issued by our Operating Partnership. The 2015 Notes had an effective interest rate of 4.0% relative to the carrying amount of the liability. The exchangeable senior notes were paid off in full during October and November 2020.</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interest earned on bridge loans, notes receivable and debt securities and income earned on notes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from Common and Preferred Operating Partnership unit holders. The increase in interest income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120"/>
        <w:spacing w:after="0" w:line="279" w:lineRule="auto"/>
        <w:rPr>
          <w:sz w:val="20"/>
          <w:szCs w:val="20"/>
          <w:color w:val="auto"/>
        </w:rPr>
      </w:pPr>
      <w:r>
        <w:rPr>
          <w:rFonts w:ascii="Arial" w:cs="Arial" w:eastAsia="Arial" w:hAnsi="Arial"/>
          <w:sz w:val="17"/>
          <w:szCs w:val="17"/>
          <w:color w:val="auto"/>
        </w:rPr>
        <w:t>during the three and six months ended June 30, 2021 was primarily the result of interest earned on these loans as well as interest earned from a senior mezzanine note receivable with a principal amount of $103,000, which was purchased in July 2020, and our investment in preferred stock of JCAP, which was purchased in November 2020 for $300,000. The interest related to this investment accrues quarterly. A portion of the interest accrued will be paid out each quarter beginning on the first anniversary of the issuance date, with the remainder to be received upon maturity.</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color w:val="auto"/>
        </w:rPr>
        <w:t>Equity in Earnings and Dividend Income from Unconsolidated Real Estate Entities—</w:t>
      </w:r>
      <w:r>
        <w:rPr>
          <w:rFonts w:ascii="Arial" w:cs="Arial" w:eastAsia="Arial" w:hAnsi="Arial"/>
          <w:sz w:val="16"/>
          <w:szCs w:val="16"/>
          <w:color w:val="auto"/>
        </w:rPr>
        <w:t>Equity in earnings of unconsolidated real estate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for $150,000 with another $50,000 invested in October 2020. The increase for the three and six months ended June 30, 2021 related primarily to the dividend income from the additional SmartStop preferred stock purchased in October 2020.</w:t>
      </w:r>
    </w:p>
    <w:p>
      <w:pPr>
        <w:spacing w:after="0" w:line="18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Equity in Earnings of Unconsolidated Real Estate Ventures - Gain on Sale of Real Estate Assets and Purchase of Joint Venture Partner's Interest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June 2021, the Company sold its interest in two unconsolidated joint ventures to its joint venture partner. The Company received proceeds of $1,888 in cash, and recorded a gain of $525. Also in June 2021, the WICNN JV LLC and GFN JV, LLC joint ventures sold all 17 of the stores owned by the joint ventures to a third party. Subsequent to the sales, these joint ventures were dissolved. As a result of these transactions, the Company recorded a gain of $5,739.</w:t>
      </w:r>
    </w:p>
    <w:p>
      <w:pPr>
        <w:spacing w:after="0" w:line="21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and six months ended June 30, 2021, the increase in income tax expense was the result of an increase in income</w:t>
      </w:r>
      <w:r>
        <w:rPr>
          <w:rFonts w:ascii="Arial" w:cs="Arial" w:eastAsia="Arial" w:hAnsi="Arial"/>
          <w:sz w:val="18"/>
          <w:szCs w:val="18"/>
          <w:b w:val="1"/>
          <w:bCs w:val="1"/>
          <w:color w:val="auto"/>
        </w:rPr>
        <w:t xml:space="preserve"> </w:t>
      </w:r>
      <w:r>
        <w:rPr>
          <w:rFonts w:ascii="Arial" w:cs="Arial" w:eastAsia="Arial" w:hAnsi="Arial"/>
          <w:sz w:val="18"/>
          <w:szCs w:val="18"/>
          <w:color w:val="auto"/>
        </w:rPr>
        <w:t>earned by our taxable REIT subsidiary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56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23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211,090</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106,293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Gain on real estate transactions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line="176" w:lineRule="exact"/>
              <w:rPr>
                <w:sz w:val="20"/>
                <w:szCs w:val="20"/>
                <w:color w:val="auto"/>
              </w:rPr>
            </w:pPr>
            <w:r>
              <w:rPr>
                <w:rFonts w:ascii="Arial" w:cs="Arial" w:eastAsia="Arial" w:hAnsi="Arial"/>
                <w:sz w:val="18"/>
                <w:szCs w:val="18"/>
                <w:color w:val="auto"/>
                <w:w w:val="99"/>
              </w:rPr>
              <w:t>Unconsolidated joint venture gain on sale of real estate assets and purchase of</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partner's interest</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Funds from operations attributable to common stockholders and unit holders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338,111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same-store pool for the periods presented consists of 860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212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w w:val="99"/>
              </w:rPr>
              <w:t>For the Six Months Ended June</w:t>
            </w:r>
          </w:p>
        </w:tc>
        <w:tc>
          <w:tcPr>
            <w:tcW w:w="11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259,585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573,653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526,318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154,608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182,985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420,917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Same-store square foot occupancy as of quarter end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17"/>
              <w:spacing w:after="0" w:line="203" w:lineRule="exact"/>
              <w:rPr>
                <w:sz w:val="20"/>
                <w:szCs w:val="20"/>
                <w:color w:val="auto"/>
              </w:rPr>
            </w:pPr>
            <w:r>
              <w:rPr>
                <w:rFonts w:ascii="Arial" w:cs="Arial" w:eastAsia="Arial" w:hAnsi="Arial"/>
                <w:sz w:val="18"/>
                <w:szCs w:val="18"/>
                <w:color w:val="auto"/>
                <w:w w:val="90"/>
              </w:rPr>
              <w:t>97.0%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153"/>
              <w:spacing w:after="0" w:line="203" w:lineRule="exact"/>
              <w:rPr>
                <w:sz w:val="20"/>
                <w:szCs w:val="20"/>
                <w:color w:val="auto"/>
              </w:rPr>
            </w:pPr>
            <w:r>
              <w:rPr>
                <w:rFonts w:ascii="Arial" w:cs="Arial" w:eastAsia="Arial" w:hAnsi="Arial"/>
                <w:sz w:val="18"/>
                <w:szCs w:val="18"/>
                <w:color w:val="auto"/>
                <w:w w:val="90"/>
              </w:rPr>
              <w:t>94.2%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33"/>
              <w:spacing w:after="0" w:line="203" w:lineRule="exact"/>
              <w:rPr>
                <w:sz w:val="20"/>
                <w:szCs w:val="20"/>
                <w:color w:val="auto"/>
              </w:rPr>
            </w:pPr>
            <w:r>
              <w:rPr>
                <w:rFonts w:ascii="Arial" w:cs="Arial" w:eastAsia="Arial" w:hAnsi="Arial"/>
                <w:sz w:val="18"/>
                <w:szCs w:val="18"/>
                <w:color w:val="auto"/>
                <w:w w:val="90"/>
              </w:rPr>
              <w:t>97.0%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93"/>
              <w:spacing w:after="0" w:line="203" w:lineRule="exact"/>
              <w:rPr>
                <w:sz w:val="20"/>
                <w:szCs w:val="20"/>
                <w:color w:val="auto"/>
              </w:rPr>
            </w:pPr>
            <w:r>
              <w:rPr>
                <w:rFonts w:ascii="Arial" w:cs="Arial" w:eastAsia="Arial" w:hAnsi="Arial"/>
                <w:sz w:val="18"/>
                <w:szCs w:val="18"/>
                <w:color w:val="auto"/>
                <w:w w:val="93"/>
              </w:rPr>
              <w:t>94.2%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3"/>
              </w:rPr>
              <w:t>860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53"/>
              <w:spacing w:after="0"/>
              <w:rPr>
                <w:sz w:val="20"/>
                <w:szCs w:val="20"/>
                <w:color w:val="auto"/>
              </w:rPr>
            </w:pPr>
            <w:r>
              <w:rPr>
                <w:rFonts w:ascii="Arial" w:cs="Arial" w:eastAsia="Arial" w:hAnsi="Arial"/>
                <w:sz w:val="18"/>
                <w:szCs w:val="18"/>
                <w:color w:val="auto"/>
                <w:w w:val="86"/>
              </w:rPr>
              <w:t>860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86"/>
              </w:rPr>
              <w:t>860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3"/>
              </w:rPr>
              <w:t>860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Same-store revenues for the three and six months ended June 30, 2021 increased due to higher average occupancy and higher average rates to new and existing customers. For the three months ended June 30, 2021, revenue also increased due to higher late fees and lower bad debt, partially offset by higher discounts. Same-store expenses were lower for the three and six months ended June 30, 2021 due to decreases in payroll and marketing expense, partially offset by increases in property taxes and credit card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ind w:right="220"/>
        <w:spacing w:after="0" w:line="269"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236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187"/>
        </w:trPr>
        <w:tc>
          <w:tcPr>
            <w:tcW w:w="59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227,419</w:t>
            </w: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Adjusted to exclude: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960" w:type="dxa"/>
            <w:vAlign w:val="bottom"/>
          </w:tcPr>
          <w:p>
            <w:pPr>
              <w:ind w:left="220"/>
              <w:spacing w:after="0" w:line="176" w:lineRule="exact"/>
              <w:rPr>
                <w:sz w:val="20"/>
                <w:szCs w:val="20"/>
                <w:color w:val="auto"/>
              </w:rPr>
            </w:pPr>
            <w:r>
              <w:rPr>
                <w:rFonts w:ascii="Arial" w:cs="Arial" w:eastAsia="Arial" w:hAnsi="Arial"/>
                <w:sz w:val="18"/>
                <w:szCs w:val="18"/>
                <w:color w:val="auto"/>
              </w:rPr>
              <w:t>Equity in earnings and dividend income from unconsolidated real estate</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(8,322)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(5,044)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(15,278)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entities</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Equity in earnings of unconsolidated real estate ventures - gain on sale of real</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estate assets and purchase of joint venture partner's interest</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80,935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87,839</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111,293</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Management fees, other income and interest income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(28,335)</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tenant insurance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Non-same store rental revenue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(39,697)</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Non-same store operating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Total same-store net 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219,924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182,985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420,917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371,710</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Same-store rental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294,772</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259,585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573,653</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526,318</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Same-store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74,848</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154,608</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Same-store net 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219,924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182,985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420,917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flows from operating activities for the six months ended June 30, 2021 increased when compared to the same period in the prior year as a result of our continued total revenue growth. This growth was due to an increase in the number of stores we own and operate and higher average occupancy at our stores.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significant components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187"/>
        </w:trPr>
        <w:tc>
          <w:tcPr>
            <w:tcW w:w="8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(111,868)</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(289,187)</w:t>
            </w:r>
          </w:p>
        </w:tc>
      </w:tr>
      <w:tr>
        <w:trPr>
          <w:trHeight w:val="270"/>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394,080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227,419</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111,293</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on real estate transactions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development of real estate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(75,237)</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sale of real estate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and purchase of notes receivable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(24,325)</w:t>
            </w: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Proceeds from sale of notes receivable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common stock, net of offering costs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notes payable and revolving lines of credit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594,000</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notes payable and revolving lines of credit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(566,689)</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issuance of public bonds,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paid on common stock</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(233,515)</w:t>
            </w:r>
          </w:p>
        </w:tc>
      </w:tr>
    </w:tbl>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1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expect to generate positive cash flow from operations in 2021,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2021, we had $56,006 available in cash and cash equivalents. Our cash and cash equivalents are held in accounts managed by third party financial institutions and consist of invested cash and cash in our operating accounts. During 2021 and 2020, we experienced no loss or lack of access to our cash or cash equivalents; however, there can be no assurance that access to our cash and cash equivalents will not be impacted by adverse conditions in the financial markets.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June 30, 2021, we had $5,396,746 face value of debt, resulting in a debt to total enterprise value ratio of 18.9%. As of June 30, 2021, the ratio of total fixed-rate debt and other instruments to total debt was 72.7% ($3,925,841 total fixed-rate debt including $1,999,896 on which we have interest rate swaps that have been included as fixed-rate debt). The weighted average interest rate of the total of fixed- and variable-rate debt at June 30, 2021 was 2.8%. Certain of our real estate assets are pledged as collateral for our debt. We are subject to certain restrictive covenants relating to our outstanding debt. We were in compliance with all financial covenants at June 30, 2021.</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currently hold a BBB/Stable rating from S&amp;P and a Baa2 rating from Moody's Investors Service. We intend to manage our balance sheet to maintain these ratings.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The following table presents our secured and unsecured debt:</w:t>
            </w: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7"/>
        </w:trPr>
        <w:tc>
          <w:tcPr>
            <w:tcW w:w="6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bottom w:val="single" w:sz="8" w:color="CCEEFF"/>
            </w:tcBorders>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Average Rate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Fixed-rate debt: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950,841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Secured Variable-rate debt: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871,904</w:t>
            </w:r>
          </w:p>
        </w:tc>
        <w:tc>
          <w:tcPr>
            <w:tcW w:w="23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1.6%</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Fixed-rate debt:</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w:t>
            </w:r>
          </w:p>
        </w:tc>
        <w:tc>
          <w:tcPr>
            <w:tcW w:w="2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3.2%</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Variable-rate debt:</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599,000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1.4%</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Face Value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5,396,745</w:t>
            </w:r>
          </w:p>
        </w:tc>
        <w:tc>
          <w:tcPr>
            <w:tcW w:w="2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schedule of maturities for our face value of debt including available extensions as of June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w:t>
            </w:r>
          </w:p>
        </w:tc>
        <w:tc>
          <w:tcPr>
            <w:tcW w:w="360" w:type="dxa"/>
            <w:vAlign w:val="bottom"/>
          </w:tcPr>
          <w:p>
            <w:pPr>
              <w:spacing w:after="0"/>
              <w:rPr>
                <w:sz w:val="17"/>
                <w:szCs w:val="17"/>
                <w:color w:val="auto"/>
              </w:rPr>
            </w:pPr>
          </w:p>
        </w:tc>
        <w:tc>
          <w:tcPr>
            <w:tcW w:w="16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Unsecured</w:t>
            </w:r>
          </w:p>
        </w:tc>
        <w:tc>
          <w:tcPr>
            <w:tcW w:w="480" w:type="dxa"/>
            <w:vAlign w:val="bottom"/>
          </w:tcPr>
          <w:p>
            <w:pPr>
              <w:spacing w:after="0"/>
              <w:rPr>
                <w:sz w:val="17"/>
                <w:szCs w:val="17"/>
                <w:color w:val="auto"/>
              </w:rPr>
            </w:pPr>
          </w:p>
        </w:tc>
        <w:tc>
          <w:tcPr>
            <w:tcW w:w="15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Secured</w:t>
            </w:r>
          </w:p>
        </w:tc>
        <w:tc>
          <w:tcPr>
            <w:tcW w:w="500" w:type="dxa"/>
            <w:vAlign w:val="bottom"/>
          </w:tcPr>
          <w:p>
            <w:pPr>
              <w:spacing w:after="0"/>
              <w:rPr>
                <w:sz w:val="17"/>
                <w:szCs w:val="17"/>
                <w:color w:val="auto"/>
              </w:rPr>
            </w:pPr>
          </w:p>
        </w:tc>
        <w:tc>
          <w:tcPr>
            <w:tcW w:w="1580" w:type="dxa"/>
            <w:vAlign w:val="bottom"/>
            <w:gridSpan w:val="2"/>
            <w:vMerge w:val="restart"/>
          </w:tcPr>
          <w:p>
            <w:pPr>
              <w:jc w:val="right"/>
              <w:ind w:right="730"/>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vMerge w:val="continue"/>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w:t>
            </w:r>
          </w:p>
        </w:tc>
        <w:tc>
          <w:tcPr>
            <w:tcW w:w="20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493,384</w:t>
            </w:r>
          </w:p>
        </w:tc>
        <w:tc>
          <w:tcPr>
            <w:tcW w:w="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493,384</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138,292</w:t>
            </w: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138,292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425,000</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305,690</w:t>
            </w:r>
          </w:p>
        </w:tc>
        <w:tc>
          <w:tcPr>
            <w:tcW w:w="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730,690</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1.8%</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685,077</w:t>
            </w: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930,077</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729,000</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854,000</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713,135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300,000</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53,840</w:t>
            </w:r>
          </w:p>
        </w:tc>
        <w:tc>
          <w:tcPr>
            <w:tcW w:w="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353,840</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4.0%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2030</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425,000</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8,327</w:t>
            </w:r>
          </w:p>
        </w:tc>
        <w:tc>
          <w:tcPr>
            <w:tcW w:w="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433,327</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3,574,000</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1,822,745</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5,396,745</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2480" w:type="dxa"/>
            <w:vAlign w:val="bottom"/>
            <w:tcBorders>
              <w:bottom w:val="single" w:sz="8" w:color="auto"/>
            </w:tcBorders>
            <w:gridSpan w:val="3"/>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960" w:type="dxa"/>
            <w:vAlign w:val="bottom"/>
            <w:gridSpan w:val="4"/>
          </w:tcPr>
          <w:p>
            <w:pPr>
              <w:spacing w:after="0"/>
              <w:rPr>
                <w:sz w:val="20"/>
                <w:szCs w:val="20"/>
                <w:color w:val="auto"/>
              </w:rPr>
            </w:pPr>
            <w:r>
              <w:rPr>
                <w:rFonts w:ascii="Arial" w:cs="Arial" w:eastAsia="Arial" w:hAnsi="Arial"/>
                <w:sz w:val="18"/>
                <w:szCs w:val="18"/>
                <w:color w:val="auto"/>
                <w:w w:val="95"/>
              </w:rPr>
              <w:t>Unencumbered stores as defined by our revolving credit facility are as follows:</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7"/>
              </w:rPr>
              <w:t>June 30, 2021</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Unencumbered Stores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Unencumbered Asset Value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10,676,376</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Asset Value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16,469,940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unencumbered asset value as calculated per our Revolving Credit Facility.</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asset value as calculated per our Revolving Credit Facility.</w:t>
      </w:r>
    </w:p>
    <w:p>
      <w:pPr>
        <w:spacing w:after="0" w:line="200" w:lineRule="exact"/>
        <w:rPr>
          <w:sz w:val="20"/>
          <w:szCs w:val="20"/>
          <w:color w:val="auto"/>
        </w:rPr>
      </w:pPr>
    </w:p>
    <w:p>
      <w:pPr>
        <w:spacing w:after="0" w:line="28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2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COVID-19 pandemic has had negative impacts on capital markets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of the impact on our future plans if these negative trends were to persist for a long period of time or intensify.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2021, we had approximately $5.4 billion in total face value of debt, of which approximately $1.5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$14.7 million annually.</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1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could materially affect our business, financial condition and results of operations. There have been no material changes to the risk factors described in the “Risk Factors” section in our Annual Report on Form 10-K for the year ended December 31, 2020.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380" w:lineRule="exact"/>
        <w:rPr>
          <w:sz w:val="20"/>
          <w:szCs w:val="20"/>
          <w:color w:val="auto"/>
        </w:rPr>
      </w:pPr>
    </w:p>
    <w:p>
      <w:pPr>
        <w:ind w:left="580" w:right="100" w:hanging="566"/>
        <w:spacing w:after="0" w:line="263" w:lineRule="auto"/>
        <w:tabs>
          <w:tab w:leader="none" w:pos="5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64">
        <w:r>
          <w:rPr>
            <w:rFonts w:ascii="Arial" w:cs="Arial" w:eastAsia="Arial" w:hAnsi="Arial"/>
            <w:sz w:val="18"/>
            <w:szCs w:val="18"/>
            <w:u w:val="single" w:color="auto"/>
            <w:color w:val="0000FF"/>
          </w:rPr>
          <w:t>Indenture, dated as of May 11, 2021, among Extra Space Storage LP, as issuer, Extra Space Storage Inc., ESS Holdings Business Trust I and ESS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Holdings Business Trust II, as guarantors, and Wells Fargo Bank, National Association, as trustee (incorporated by reference to the Current</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Report on Form 8-K filed May 11, 2021).</w:t>
        </w:r>
      </w:hyperlink>
    </w:p>
    <w:p>
      <w:pPr>
        <w:spacing w:after="0" w:line="130" w:lineRule="exact"/>
        <w:rPr>
          <w:rFonts w:ascii="Arial" w:cs="Arial" w:eastAsia="Arial" w:hAnsi="Arial"/>
          <w:sz w:val="18"/>
          <w:szCs w:val="18"/>
          <w:u w:val="single" w:color="auto"/>
          <w:color w:val="0000FF"/>
        </w:rPr>
      </w:pPr>
    </w:p>
    <w:p>
      <w:pPr>
        <w:ind w:left="580" w:right="80" w:hanging="566"/>
        <w:spacing w:after="0" w:line="286" w:lineRule="auto"/>
        <w:tabs>
          <w:tab w:leader="none" w:pos="56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r:id="rId65">
        <w:r>
          <w:rPr>
            <w:rFonts w:ascii="Arial" w:cs="Arial" w:eastAsia="Arial" w:hAnsi="Arial"/>
            <w:sz w:val="17"/>
            <w:szCs w:val="17"/>
            <w:u w:val="single" w:color="auto"/>
            <w:color w:val="0000FF"/>
          </w:rPr>
          <w:t>First Supplemental Indenture, dated as of May 11, 2021, among Extra Space Storage LP, as issuer, Extra Space Storage Inc., ESS Holdings</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Business Trust I and ESS Holdings Business Trust II, as guarantors, and Wells Fargo Bank, National Association, as trustee, including the form</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of the Notes and the Guarantee (incorporated by reference to the Current Report on Form 8-K filed May 11, 2021).</w:t>
        </w:r>
      </w:hyperlink>
    </w:p>
    <w:p>
      <w:pPr>
        <w:spacing w:after="0" w:line="111" w:lineRule="exact"/>
        <w:rPr>
          <w:rFonts w:ascii="Arial" w:cs="Arial" w:eastAsia="Arial" w:hAnsi="Arial"/>
          <w:sz w:val="17"/>
          <w:szCs w:val="17"/>
          <w:u w:val="single" w:color="auto"/>
          <w:color w:val="0000FF"/>
        </w:rPr>
      </w:pPr>
    </w:p>
    <w:p>
      <w:pPr>
        <w:ind w:left="660" w:right="120" w:hanging="566"/>
        <w:spacing w:after="0" w:line="259" w:lineRule="auto"/>
        <w:tabs>
          <w:tab w:leader="none" w:pos="6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66">
        <w:r>
          <w:rPr>
            <w:rFonts w:ascii="Arial" w:cs="Arial" w:eastAsia="Arial" w:hAnsi="Arial"/>
            <w:sz w:val="18"/>
            <w:szCs w:val="18"/>
            <w:u w:val="single" w:color="auto"/>
            <w:color w:val="0000FF"/>
          </w:rPr>
          <w:t>Second Amended and Restated Credit Agreement, dated as of June 22, 2021, by and among Extra Space Storage Inc., Extra Space Storage LP,</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U.S. Bank National Association, as administrative agent, certain other financial institutions acting as syndication agents, documentation agents</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and lead arrangers and book runners, and certain lenders party thereto (incorporated by reference to the Current Report on Form 8-K filed June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25, 2021).</w:t>
        </w:r>
      </w:hyperlink>
    </w:p>
    <w:p>
      <w:pPr>
        <w:spacing w:after="0" w:line="133" w:lineRule="exact"/>
        <w:rPr>
          <w:rFonts w:ascii="Arial" w:cs="Arial" w:eastAsia="Arial" w:hAnsi="Arial"/>
          <w:sz w:val="18"/>
          <w:szCs w:val="18"/>
          <w:u w:val="single" w:color="auto"/>
          <w:color w:val="0000FF"/>
        </w:rPr>
      </w:pPr>
    </w:p>
    <w:p>
      <w:pPr>
        <w:ind w:left="180"/>
        <w:spacing w:after="0"/>
        <w:tabs>
          <w:tab w:leader="none" w:pos="640" w:val="left"/>
        </w:tabs>
        <w:rPr>
          <w:rFonts w:ascii="Arial" w:cs="Arial" w:eastAsia="Arial" w:hAnsi="Arial"/>
          <w:sz w:val="15"/>
          <w:szCs w:val="15"/>
          <w:u w:val="single" w:color="auto"/>
          <w:color w:val="0000FF"/>
        </w:rPr>
      </w:pPr>
      <w:r>
        <w:rPr>
          <w:rFonts w:ascii="Arial" w:cs="Arial" w:eastAsia="Arial" w:hAnsi="Arial"/>
          <w:sz w:val="18"/>
          <w:szCs w:val="18"/>
          <w:color w:val="auto"/>
        </w:rPr>
        <w:t>22.1</w:t>
      </w:r>
      <w:r>
        <w:rPr>
          <w:sz w:val="20"/>
          <w:szCs w:val="20"/>
          <w:color w:val="auto"/>
        </w:rPr>
        <w:tab/>
      </w:r>
      <w:hyperlink w:anchor="page42">
        <w:r>
          <w:rPr>
            <w:rFonts w:ascii="Arial" w:cs="Arial" w:eastAsia="Arial" w:hAnsi="Arial"/>
            <w:sz w:val="15"/>
            <w:szCs w:val="15"/>
            <w:u w:val="single" w:color="auto"/>
            <w:color w:val="0000FF"/>
          </w:rPr>
          <w:t>Issuer and Guarantors of Guaranteed Securities</w:t>
        </w:r>
      </w:hyperlink>
    </w:p>
    <w:p>
      <w:pPr>
        <w:spacing w:after="0" w:line="171" w:lineRule="exact"/>
        <w:rPr>
          <w:rFonts w:ascii="Arial" w:cs="Arial" w:eastAsia="Arial" w:hAnsi="Arial"/>
          <w:sz w:val="18"/>
          <w:szCs w:val="18"/>
          <w:u w:val="single" w:color="auto"/>
          <w:color w:val="0000FF"/>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3">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171" w:lineRule="exact"/>
        <w:rPr>
          <w:rFonts w:ascii="Arial" w:cs="Arial" w:eastAsia="Arial" w:hAnsi="Arial"/>
          <w:sz w:val="18"/>
          <w:szCs w:val="18"/>
          <w:u w:val="single" w:color="auto"/>
          <w:color w:val="0000FF"/>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4">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171" w:lineRule="exact"/>
        <w:rPr>
          <w:rFonts w:ascii="Arial" w:cs="Arial" w:eastAsia="Arial" w:hAnsi="Arial"/>
          <w:sz w:val="18"/>
          <w:szCs w:val="18"/>
          <w:u w:val="single" w:color="auto"/>
          <w:color w:val="0000FF"/>
        </w:rPr>
      </w:pPr>
    </w:p>
    <w:p>
      <w:pPr>
        <w:ind w:left="700" w:hanging="566"/>
        <w:spacing w:after="0" w:line="277"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5">
        <w:r>
          <w:rPr>
            <w:rFonts w:ascii="Arial" w:cs="Arial" w:eastAsia="Arial" w:hAnsi="Arial"/>
            <w:sz w:val="18"/>
            <w:szCs w:val="18"/>
            <w:u w:val="single" w:color="auto"/>
            <w:color w:val="0000FF"/>
          </w:rPr>
          <w:t>Certifications of the Chief Executive Officer and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of the Sarbanes-Oxley Act of 2002.</w:t>
        </w:r>
      </w:hyperlink>
    </w:p>
    <w:p>
      <w:pPr>
        <w:spacing w:after="0" w:line="116" w:lineRule="exact"/>
        <w:rPr>
          <w:sz w:val="20"/>
          <w:szCs w:val="20"/>
          <w:color w:val="auto"/>
        </w:rPr>
      </w:pPr>
    </w:p>
    <w:p>
      <w:pPr>
        <w:ind w:left="740" w:hanging="570"/>
        <w:spacing w:after="0" w:line="301" w:lineRule="auto"/>
        <w:tabs>
          <w:tab w:leader="none" w:pos="6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June 30, 2021,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3" w:lineRule="exact"/>
        <w:rPr>
          <w:sz w:val="20"/>
          <w:szCs w:val="20"/>
          <w:color w:val="auto"/>
        </w:rPr>
      </w:pPr>
    </w:p>
    <w:p>
      <w:pPr>
        <w:ind w:left="660" w:hanging="45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EXTRA SPACE STORAGE INC.</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Registrant</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August 5, 2021</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176"/>
        </w:trPr>
        <w:tc>
          <w:tcPr>
            <w:tcW w:w="6300" w:type="dxa"/>
            <w:vAlign w:val="bottom"/>
          </w:tcPr>
          <w:p>
            <w:pPr>
              <w:spacing w:after="0"/>
              <w:rPr>
                <w:sz w:val="15"/>
                <w:szCs w:val="15"/>
                <w:color w:val="auto"/>
              </w:rPr>
            </w:pPr>
          </w:p>
        </w:tc>
        <w:tc>
          <w:tcPr>
            <w:tcW w:w="48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August 5, 2021</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17"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and Guarantors of Guaranteed Securities</w:t>
      </w:r>
    </w:p>
    <w:p>
      <w:pPr>
        <w:spacing w:after="0" w:line="200" w:lineRule="exact"/>
        <w:rPr>
          <w:sz w:val="20"/>
          <w:szCs w:val="20"/>
          <w:color w:val="auto"/>
        </w:rPr>
      </w:pPr>
    </w:p>
    <w:p>
      <w:pPr>
        <w:spacing w:after="0" w:line="27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entities are included in the Obligated Group, as defined in the Quarterly Report on Form 10-Q of Extra Space Storage Inc. to which this document is being filed as an exhibit, for the 2.550% Senior Notes due 2031. The guarantors have fully and unconditionally guaranteed the 2.550% Senior Notes due 2031 on a joint and several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Issuer or Guarantor</w:t>
            </w:r>
          </w:p>
        </w:tc>
        <w:tc>
          <w:tcPr>
            <w:tcW w:w="32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w w:val="96"/>
              </w:rPr>
              <w:t>Reported as Issuer or Guarantor</w:t>
            </w:r>
          </w:p>
        </w:tc>
        <w:tc>
          <w:tcPr>
            <w:tcW w:w="3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28"/>
        </w:trPr>
        <w:tc>
          <w:tcPr>
            <w:tcW w:w="3380" w:type="dxa"/>
            <w:vAlign w:val="bottom"/>
          </w:tcPr>
          <w:p>
            <w:pPr>
              <w:ind w:left="20"/>
              <w:spacing w:after="0"/>
              <w:rPr>
                <w:sz w:val="20"/>
                <w:szCs w:val="20"/>
                <w:color w:val="auto"/>
              </w:rPr>
            </w:pPr>
            <w:r>
              <w:rPr>
                <w:rFonts w:ascii="Arial" w:cs="Arial" w:eastAsia="Arial" w:hAnsi="Arial"/>
                <w:sz w:val="18"/>
                <w:szCs w:val="18"/>
                <w:color w:val="auto"/>
              </w:rPr>
              <w:t>Extra Space Storage LP</w:t>
            </w:r>
          </w:p>
        </w:tc>
        <w:tc>
          <w:tcPr>
            <w:tcW w:w="3280" w:type="dxa"/>
            <w:vAlign w:val="bottom"/>
          </w:tcPr>
          <w:p>
            <w:pPr>
              <w:ind w:left="1080"/>
              <w:spacing w:after="0"/>
              <w:rPr>
                <w:sz w:val="20"/>
                <w:szCs w:val="20"/>
                <w:color w:val="auto"/>
              </w:rPr>
            </w:pPr>
            <w:r>
              <w:rPr>
                <w:rFonts w:ascii="Arial" w:cs="Arial" w:eastAsia="Arial" w:hAnsi="Arial"/>
                <w:sz w:val="18"/>
                <w:szCs w:val="18"/>
                <w:color w:val="auto"/>
              </w:rPr>
              <w:t>Issuer</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Extra Space Storage Inc.</w:t>
            </w:r>
          </w:p>
        </w:tc>
        <w:tc>
          <w:tcPr>
            <w:tcW w:w="3280" w:type="dxa"/>
            <w:vAlign w:val="bottom"/>
          </w:tcPr>
          <w:p>
            <w:pPr>
              <w:ind w:left="1080"/>
              <w:spacing w:after="0"/>
              <w:rPr>
                <w:sz w:val="20"/>
                <w:szCs w:val="20"/>
                <w:color w:val="auto"/>
              </w:rPr>
            </w:pPr>
            <w:r>
              <w:rPr>
                <w:rFonts w:ascii="Arial" w:cs="Arial" w:eastAsia="Arial" w:hAnsi="Arial"/>
                <w:sz w:val="18"/>
                <w:szCs w:val="18"/>
                <w:color w:val="auto"/>
              </w:rPr>
              <w:t>Parent Guarantor</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ESS Holdings Business Trust I</w:t>
            </w:r>
          </w:p>
        </w:tc>
        <w:tc>
          <w:tcPr>
            <w:tcW w:w="3280" w:type="dxa"/>
            <w:vAlign w:val="bottom"/>
          </w:tcPr>
          <w:p>
            <w:pPr>
              <w:ind w:left="1080"/>
              <w:spacing w:after="0"/>
              <w:rPr>
                <w:sz w:val="20"/>
                <w:szCs w:val="20"/>
                <w:color w:val="auto"/>
              </w:rPr>
            </w:pPr>
            <w:r>
              <w:rPr>
                <w:rFonts w:ascii="Arial" w:cs="Arial" w:eastAsia="Arial" w:hAnsi="Arial"/>
                <w:sz w:val="18"/>
                <w:szCs w:val="18"/>
                <w:color w:val="auto"/>
              </w:rPr>
              <w:t>Subsidiary Guarantor</w:t>
            </w:r>
          </w:p>
        </w:tc>
        <w:tc>
          <w:tcPr>
            <w:tcW w:w="31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ESS Holdings Business Trust II</w:t>
            </w:r>
          </w:p>
        </w:tc>
        <w:tc>
          <w:tcPr>
            <w:tcW w:w="3280" w:type="dxa"/>
            <w:vAlign w:val="bottom"/>
          </w:tcPr>
          <w:p>
            <w:pPr>
              <w:ind w:left="1080"/>
              <w:spacing w:after="0"/>
              <w:rPr>
                <w:sz w:val="20"/>
                <w:szCs w:val="20"/>
                <w:color w:val="auto"/>
              </w:rPr>
            </w:pPr>
            <w:r>
              <w:rPr>
                <w:rFonts w:ascii="Arial" w:cs="Arial" w:eastAsia="Arial" w:hAnsi="Arial"/>
                <w:sz w:val="18"/>
                <w:szCs w:val="18"/>
                <w:color w:val="auto"/>
              </w:rPr>
              <w:t>Subsidiary Guarantor</w:t>
            </w:r>
          </w:p>
        </w:tc>
        <w:tc>
          <w:tcPr>
            <w:tcW w:w="31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August 5, 2021</w:t>
            </w:r>
          </w:p>
        </w:tc>
        <w:tc>
          <w:tcPr>
            <w:tcW w:w="2000" w:type="dxa"/>
            <w:vAlign w:val="bottom"/>
          </w:tcPr>
          <w:p>
            <w:pPr>
              <w:ind w:left="14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/s/ Joseph D. Margolis</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0" w:type="dxa"/>
            <w:vAlign w:val="bottom"/>
            <w:vMerge w:val="restart"/>
          </w:tcPr>
          <w:p>
            <w:pPr>
              <w:ind w:left="1420"/>
              <w:spacing w:after="0"/>
              <w:rPr>
                <w:sz w:val="20"/>
                <w:szCs w:val="20"/>
                <w:color w:val="auto"/>
              </w:rPr>
            </w:pPr>
            <w:r>
              <w:rPr>
                <w:rFonts w:ascii="Arial" w:cs="Arial" w:eastAsia="Arial" w:hAnsi="Arial"/>
                <w:sz w:val="18"/>
                <w:szCs w:val="18"/>
                <w:color w:val="auto"/>
              </w:rPr>
              <w:t>Name:</w:t>
            </w:r>
          </w:p>
        </w:tc>
        <w:tc>
          <w:tcPr>
            <w:tcW w:w="7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Joseph D. Margolis</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Title:</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August 5, 2021</w:t>
            </w:r>
          </w:p>
        </w:tc>
        <w:tc>
          <w:tcPr>
            <w:tcW w:w="2000" w:type="dxa"/>
            <w:vAlign w:val="bottom"/>
          </w:tcPr>
          <w:p>
            <w:pPr>
              <w:ind w:left="1420"/>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/s/ P. Scott Stubbs</w:t>
            </w:r>
          </w:p>
        </w:tc>
      </w:tr>
      <w:tr>
        <w:trPr>
          <w:trHeight w:val="222"/>
        </w:trPr>
        <w:tc>
          <w:tcPr>
            <w:tcW w:w="2980" w:type="dxa"/>
            <w:vAlign w:val="bottom"/>
          </w:tcPr>
          <w:p>
            <w:pPr>
              <w:spacing w:after="0"/>
              <w:rPr>
                <w:sz w:val="19"/>
                <w:szCs w:val="19"/>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Name:</w:t>
            </w:r>
          </w:p>
        </w:tc>
        <w:tc>
          <w:tcPr>
            <w:tcW w:w="700" w:type="dxa"/>
            <w:vAlign w:val="bottom"/>
          </w:tcPr>
          <w:p>
            <w:pPr>
              <w:ind w:left="80"/>
              <w:spacing w:after="0"/>
              <w:rPr>
                <w:sz w:val="20"/>
                <w:szCs w:val="20"/>
                <w:color w:val="auto"/>
              </w:rPr>
            </w:pPr>
            <w:r>
              <w:rPr>
                <w:rFonts w:ascii="Arial" w:cs="Arial" w:eastAsia="Arial" w:hAnsi="Arial"/>
                <w:sz w:val="18"/>
                <w:szCs w:val="18"/>
                <w:color w:val="auto"/>
                <w:w w:val="95"/>
              </w:rPr>
              <w:t>P. Scott</w:t>
            </w: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Stubbs</w:t>
            </w:r>
          </w:p>
        </w:tc>
      </w:tr>
      <w:tr>
        <w:trPr>
          <w:trHeight w:val="230"/>
        </w:trPr>
        <w:tc>
          <w:tcPr>
            <w:tcW w:w="2980" w:type="dxa"/>
            <w:vAlign w:val="bottom"/>
          </w:tcPr>
          <w:p>
            <w:pPr>
              <w:spacing w:after="0"/>
              <w:rPr>
                <w:sz w:val="20"/>
                <w:szCs w:val="20"/>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Title:</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August 5, 2021</w:t>
            </w:r>
          </w:p>
        </w:tc>
      </w:tr>
    </w:tbl>
    <w:p>
      <w:pPr>
        <w:spacing w:after="0" w:line="2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August 5,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8"/>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decimal"/>
      <w:start w:val="10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4" Type="http://schemas.openxmlformats.org/officeDocument/2006/relationships/hyperlink" Target="https://www.sec.gov/Archives/edgar/data/1289490/000119312521157616/d469365dex41.htm" TargetMode="External"/><Relationship Id="rId65" Type="http://schemas.openxmlformats.org/officeDocument/2006/relationships/hyperlink" Target="https://www.sec.gov/Archives/edgar/data/1289490/000119312521157616/d469365dex42.htm" TargetMode="External"/><Relationship Id="rId66" Type="http://schemas.openxmlformats.org/officeDocument/2006/relationships/hyperlink" Target="https://www.sec.gov/Archives/edgar/data/1289490/000162828021012952/ex101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2021-08-05T17:25:42Z</dcterms:created>
  <dcterms:modified xsi:type="dcterms:W3CDTF">2021-08-05T17:25:42Z</dcterms:modified>
</cp:coreProperties>
</file>