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172" w:lineRule="exact"/>
        <w:rPr>
          <w:sz w:val="24"/>
          <w:szCs w:val="24"/>
          <w:color w:val="auto"/>
        </w:rPr>
      </w:pPr>
    </w:p>
    <w:p>
      <w:pPr>
        <w:ind w:left="3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6080" w:space="720"/>
            <w:col w:w="200" w:space="720"/>
            <w:col w:w="3700"/>
          </w:cols>
          <w:pgMar w:left="240" w:top="233" w:right="23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001-32269</w:t>
      </w:r>
    </w:p>
    <w:p>
      <w:pPr>
        <w:sectPr>
          <w:pgSz w:w="11900" w:h="16838" w:orient="portrait"/>
          <w:cols w:equalWidth="0" w:num="1">
            <w:col w:w="11420"/>
          </w:cols>
          <w:pgMar w:left="240" w:top="233" w:right="239" w:bottom="0" w:gutter="0" w:footer="0" w:header="0"/>
          <w:type w:val="continuous"/>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EXTRA SPACE STORAGE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type w:val="continuous"/>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20-1076777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233" w:right="239" w:bottom="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2795 East Cottonwood Parkway, Suite 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Salt Lake City, Utah 84121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(801) 562-5556</w:t>
      </w:r>
    </w:p>
    <w:p>
      <w:pPr>
        <w:spacing w:after="0" w:line="229"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type w:val="continuous"/>
        </w:sectPr>
      </w:pPr>
    </w:p>
    <w:p>
      <w:pPr>
        <w:spacing w:after="0" w:line="124"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1" w:lineRule="exact"/>
        <w:rPr>
          <w:sz w:val="24"/>
          <w:szCs w:val="24"/>
          <w:color w:val="auto"/>
        </w:rPr>
      </w:pPr>
    </w:p>
    <w:p>
      <w:pPr>
        <w:ind w:left="340"/>
        <w:spacing w:after="0"/>
        <w:rPr>
          <w:sz w:val="20"/>
          <w:szCs w:val="20"/>
          <w:color w:val="auto"/>
        </w:rPr>
      </w:pPr>
      <w:r>
        <w:rPr>
          <w:rFonts w:ascii="Arial" w:cs="Arial" w:eastAsia="Arial" w:hAnsi="Arial"/>
          <w:sz w:val="17"/>
          <w:szCs w:val="17"/>
          <w:b w:val="1"/>
          <w:bCs w:val="1"/>
          <w:color w:val="auto"/>
        </w:rPr>
        <w:t>The number of shares outstanding of the registrant’s common stock, par value $0.01 per share, as of July 30, 2011 was 94,264,593.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442595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18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4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w w:val="98"/>
              </w:rPr>
              <w:t>EXTRA SPACE STORAGE INC.</w:t>
            </w:r>
          </w:p>
        </w:tc>
        <w:tc>
          <w:tcPr>
            <w:tcW w:w="22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80" w:type="dxa"/>
            <w:vAlign w:val="bottom"/>
          </w:tcPr>
          <w:p>
            <w:pPr>
              <w:jc w:val="center"/>
              <w:ind w:right="2350"/>
              <w:spacing w:after="0"/>
              <w:rPr>
                <w:sz w:val="20"/>
                <w:szCs w:val="20"/>
                <w:color w:val="auto"/>
              </w:rPr>
            </w:pPr>
            <w:r>
              <w:rPr>
                <w:rFonts w:ascii="Arial" w:cs="Arial" w:eastAsia="Arial" w:hAnsi="Arial"/>
                <w:sz w:val="18"/>
                <w:szCs w:val="18"/>
                <w:b w:val="1"/>
                <w:bCs w:val="1"/>
                <w:color w:val="auto"/>
                <w:w w:val="98"/>
              </w:rPr>
              <w:t>TABLE OF CONTENTS</w:t>
            </w:r>
          </w:p>
        </w:tc>
        <w:tc>
          <w:tcPr>
            <w:tcW w:w="2240" w:type="dxa"/>
            <w:vAlign w:val="bottom"/>
          </w:tcPr>
          <w:p>
            <w:pPr>
              <w:spacing w:after="0"/>
              <w:rPr>
                <w:sz w:val="24"/>
                <w:szCs w:val="24"/>
                <w:color w:val="auto"/>
              </w:rPr>
            </w:pPr>
          </w:p>
        </w:tc>
      </w:tr>
      <w:tr>
        <w:trPr>
          <w:trHeight w:val="392"/>
        </w:trPr>
        <w:tc>
          <w:tcPr>
            <w:tcW w:w="9180" w:type="dxa"/>
            <w:vAlign w:val="bottom"/>
            <w:gridSpan w:val="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STATEMENT ON FORWARD-LOOKING INFORMATION</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1620" w:type="dxa"/>
            <w:vAlign w:val="bottom"/>
            <w:tcBorders>
              <w:top w:val="single" w:sz="8" w:color="0000EE"/>
            </w:tcBorders>
          </w:tcPr>
          <w:p>
            <w:pPr>
              <w:spacing w:after="0"/>
              <w:rPr>
                <w:sz w:val="17"/>
                <w:szCs w:val="17"/>
                <w:color w:val="auto"/>
              </w:rPr>
            </w:pPr>
          </w:p>
        </w:tc>
        <w:tc>
          <w:tcPr>
            <w:tcW w:w="4480" w:type="dxa"/>
            <w:vAlign w:val="bottom"/>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180" w:type="dxa"/>
            <w:vAlign w:val="bottom"/>
            <w:gridSpan w:val="5"/>
          </w:tcPr>
          <w:p>
            <w:pPr>
              <w:spacing w:after="0" w:line="196"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 FINANCIAL STATEMENTS</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2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20" w:type="dxa"/>
            <w:vAlign w:val="bottom"/>
            <w:gridSpan w:val="14"/>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NOTES TO CONDENSED CONSOLIDATED FINANCIAL STATEMENTS (unaudited)</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02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ITEM 2. MANAGEMENT’S DISCUSSION AND ANALYSIS OF FINANCIAL CONDITION AND RESULTS OF OPERATIONS</w:t>
              </w:r>
            </w:hyperlink>
          </w:p>
        </w:tc>
        <w:tc>
          <w:tcPr>
            <w:tcW w:w="6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718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3. QUANTITATIVE AND QUALITATIVE DISCLOSURES ABOUT MARKET RISK</w:t>
              </w:r>
            </w:hyperlink>
          </w:p>
        </w:tc>
        <w:tc>
          <w:tcPr>
            <w:tcW w:w="344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0620" w:type="dxa"/>
            <w:vAlign w:val="bottom"/>
            <w:gridSpan w:val="14"/>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4. CONTROLS AND PROCEDURES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660" w:type="dxa"/>
            <w:vAlign w:val="bottom"/>
            <w:tcBorders>
              <w:top w:val="single" w:sz="8" w:color="0000EE"/>
            </w:tcBorders>
            <w:gridSpan w:val="2"/>
          </w:tcPr>
          <w:p>
            <w:pPr>
              <w:spacing w:after="0"/>
              <w:rPr>
                <w:sz w:val="17"/>
                <w:szCs w:val="17"/>
                <w:color w:val="auto"/>
              </w:rPr>
            </w:pPr>
          </w:p>
        </w:tc>
        <w:tc>
          <w:tcPr>
            <w:tcW w:w="7180" w:type="dxa"/>
            <w:vAlign w:val="bottom"/>
            <w:gridSpan w:val="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0620" w:type="dxa"/>
            <w:vAlign w:val="bottom"/>
            <w:gridSpan w:val="14"/>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ITEM 1. LEGAL PROCEEDINGS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ITEM 1A. RISK FACTORS</w:t>
              </w:r>
            </w:hyperlink>
          </w:p>
        </w:tc>
        <w:tc>
          <w:tcPr>
            <w:tcW w:w="520" w:type="dxa"/>
            <w:vAlign w:val="bottom"/>
            <w:tcBorders>
              <w:top w:val="single" w:sz="8" w:color="0000EE"/>
            </w:tcBorders>
          </w:tcPr>
          <w:p>
            <w:pPr>
              <w:spacing w:after="0"/>
              <w:rPr>
                <w:sz w:val="17"/>
                <w:szCs w:val="17"/>
                <w:color w:val="auto"/>
              </w:rPr>
            </w:pPr>
          </w:p>
        </w:tc>
        <w:tc>
          <w:tcPr>
            <w:tcW w:w="7920" w:type="dxa"/>
            <w:vAlign w:val="bottom"/>
            <w:gridSpan w:val="1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0620" w:type="dxa"/>
            <w:vAlign w:val="bottom"/>
            <w:gridSpan w:val="14"/>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ITEM 2. UNREGISTERED SALES OF EQUITY SECURITIES AND USE OF PROCEEDS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710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ITEM 3. DEFAULTS UPON SENIOR SECURITIES</w:t>
              </w:r>
            </w:hyperlink>
          </w:p>
        </w:tc>
        <w:tc>
          <w:tcPr>
            <w:tcW w:w="3520" w:type="dxa"/>
            <w:vAlign w:val="bottom"/>
            <w:gridSpan w:val="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4060" w:type="dxa"/>
            <w:vAlign w:val="bottom"/>
            <w:tcBorders>
              <w:top w:val="single" w:sz="8" w:color="0000EE"/>
            </w:tcBorders>
            <w:gridSpan w:val="9"/>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ITEM 4. REMOVED AND RESERVED</w:t>
              </w:r>
            </w:hyperlink>
          </w:p>
        </w:tc>
        <w:tc>
          <w:tcPr>
            <w:tcW w:w="656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7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ITEM 5. OTHER INFORMATION</w:t>
              </w:r>
            </w:hyperlink>
          </w:p>
        </w:tc>
        <w:tc>
          <w:tcPr>
            <w:tcW w:w="360" w:type="dxa"/>
            <w:vAlign w:val="bottom"/>
            <w:tcBorders>
              <w:top w:val="single" w:sz="8" w:color="0000EE"/>
            </w:tcBorders>
            <w:gridSpan w:val="2"/>
          </w:tcPr>
          <w:p>
            <w:pPr>
              <w:spacing w:after="0"/>
              <w:rPr>
                <w:sz w:val="17"/>
                <w:szCs w:val="17"/>
                <w:color w:val="auto"/>
              </w:rPr>
            </w:pPr>
          </w:p>
        </w:tc>
        <w:tc>
          <w:tcPr>
            <w:tcW w:w="7520" w:type="dxa"/>
            <w:vAlign w:val="bottom"/>
            <w:gridSpan w:val="7"/>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0620" w:type="dxa"/>
            <w:vAlign w:val="bottom"/>
            <w:gridSpan w:val="14"/>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ITEM 6. EXHIBITS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580" w:type="dxa"/>
            <w:vAlign w:val="bottom"/>
            <w:tcBorders>
              <w:top w:val="single" w:sz="8" w:color="0000EE"/>
            </w:tcBorders>
            <w:gridSpan w:val="2"/>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SIGNATURES</w:t>
              </w:r>
            </w:hyperlink>
          </w:p>
        </w:tc>
        <w:tc>
          <w:tcPr>
            <w:tcW w:w="9040" w:type="dxa"/>
            <w:vAlign w:val="bottom"/>
            <w:gridSpan w:val="1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453"/>
        </w:trPr>
        <w:tc>
          <w:tcPr>
            <w:tcW w:w="1160" w:type="dxa"/>
            <w:vAlign w:val="bottom"/>
            <w:tcBorders>
              <w:top w:val="single" w:sz="8" w:color="0000EE"/>
            </w:tcBorders>
          </w:tcPr>
          <w:p>
            <w:pPr>
              <w:spacing w:after="0"/>
              <w:rPr>
                <w:sz w:val="24"/>
                <w:szCs w:val="24"/>
                <w:color w:val="auto"/>
              </w:rPr>
            </w:pPr>
          </w:p>
        </w:tc>
        <w:tc>
          <w:tcPr>
            <w:tcW w:w="5680" w:type="dxa"/>
            <w:vAlign w:val="bottom"/>
            <w:gridSpan w:val="9"/>
          </w:tcPr>
          <w:p>
            <w:pPr>
              <w:jc w:val="right"/>
              <w:ind w:right="10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32"/>
        </w:trPr>
        <w:tc>
          <w:tcPr>
            <w:tcW w:w="1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8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ON FORWARD-LOOKING INFORMATION</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6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All forward-looking statements, including without limitation, management’s examination of historical operating trends and estimate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7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66"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conditions, the real estate industry and the markets in which we operate;</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competition from new and existing self-storage facilities or other storage alternatives, which could cause rents and occupancy rates to decline;</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our ability to evaluate, finance, complete and integrate acquisitions and developments successfully and to lease up those properties, which could adversely affect our profitability;</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regulatory environment as well as national, state, and local laws and regulations including, without limitation, those governing real estate investment trusts (“REITs”), which could increase our expenses and reduce our cash available for distribution;</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credit and financial markets and resulting difficulties in raising capital or obtaining credit at reasonable rates or at all, which could impede our ability to grow;</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interest rates and operating costs;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asset valuations and related impairment charges;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the development and construction process, which could adversely affect our profitability;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maintain our REIT status for federal income tax purposes;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due to the impact of war or terrorism, which could adversely affect our business plan;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and management members.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ectPr>
          <w:pgSz w:w="11900" w:h="16870" w:orient="portrait"/>
          <w:cols w:equalWidth="0" w:num="1">
            <w:col w:w="11460"/>
          </w:cols>
          <w:pgMar w:left="240" w:top="108" w:right="199" w:bottom="0" w:gutter="0" w:footer="0" w:header="0"/>
        </w:sectPr>
      </w:pPr>
    </w:p>
    <w:bookmarkStart w:id="2" w:name="page3"/>
    <w:bookmarkEnd w:id="2"/>
    <w:p>
      <w:pPr>
        <w:ind w:left="41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(amounts 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June 30, 2011</w:t>
            </w:r>
          </w:p>
        </w:tc>
        <w:tc>
          <w:tcPr>
            <w:tcW w:w="180" w:type="dxa"/>
            <w:vAlign w:val="bottom"/>
          </w:tcPr>
          <w:p>
            <w:pPr>
              <w:spacing w:after="0"/>
              <w:rPr>
                <w:sz w:val="14"/>
                <w:szCs w:val="14"/>
                <w:color w:val="auto"/>
              </w:rPr>
            </w:pPr>
          </w:p>
        </w:tc>
        <w:tc>
          <w:tcPr>
            <w:tcW w:w="16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December 31,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Real estate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real estate assets</w:t>
            </w:r>
          </w:p>
        </w:tc>
        <w:tc>
          <w:tcPr>
            <w:tcW w:w="4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2,038,827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1,935,319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Real estate under development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6,800</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37,083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real estate assets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2,045,627</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1,972,402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real estate ventures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137,997</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140,560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35,187</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46,750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32,700</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8,490</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10,061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50,856</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2,310,857</w:t>
            </w:r>
          </w:p>
        </w:tc>
        <w:tc>
          <w:tcPr>
            <w:tcW w:w="3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2,248,468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Noncontrolling Interests and Equity:</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4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855,323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871,403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Notes payable to trusts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119,590</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119,590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87,663</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Discount on exchangeable senior notes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(1,337)</w:t>
            </w:r>
          </w:p>
        </w:tc>
        <w:tc>
          <w:tcPr>
            <w:tcW w:w="180" w:type="dxa"/>
            <w:vAlign w:val="bottom"/>
          </w:tcPr>
          <w:p>
            <w:pPr>
              <w:spacing w:after="0"/>
              <w:rPr>
                <w:sz w:val="18"/>
                <w:szCs w:val="18"/>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Lines of credit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129,000</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170,467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32,712</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34,210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28,962</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1,251,913</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1,309,397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Extra Space Storage Inc. stockholders’ equity: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4"/>
              </w:rPr>
              <w:t>Preferred stock, $0.01 par value, 50,000,000 shares authorized, no shares issued or outstanding</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Common stock, $0.01 par value, 300,000,000 shares authorized, 94,243,303 and 87,587,322</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and outstanding at June 30, 2011 and December 31, 2010, respectively</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942</w:t>
            </w:r>
          </w:p>
        </w:tc>
        <w:tc>
          <w:tcPr>
            <w:tcW w:w="1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1,278,939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1,148,820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deficit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(6,436)</w:t>
            </w:r>
          </w:p>
        </w:tc>
        <w:tc>
          <w:tcPr>
            <w:tcW w:w="1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(269,173)</w:t>
            </w:r>
          </w:p>
        </w:tc>
        <w:tc>
          <w:tcPr>
            <w:tcW w:w="180" w:type="dxa"/>
            <w:vAlign w:val="bottom"/>
          </w:tcPr>
          <w:p>
            <w:pPr>
              <w:spacing w:after="0"/>
              <w:rPr>
                <w:sz w:val="18"/>
                <w:szCs w:val="18"/>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(262,508)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Extra Space Storage Inc. 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1,004,272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881,401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w w:val="92"/>
              </w:rPr>
              <w:t>Noncontrolling interest represented by Preferred Operating Partnership units, net of $100,000 note</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receivable</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29,658</w:t>
            </w:r>
          </w:p>
        </w:tc>
        <w:tc>
          <w:tcPr>
            <w:tcW w:w="1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29,733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 in Operating Partnership</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23,900</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 noncontrolling interests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1,114</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noncontrolling interests and equity</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1,058,944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939,071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520"/>
              <w:spacing w:after="0"/>
              <w:rPr>
                <w:sz w:val="20"/>
                <w:szCs w:val="20"/>
                <w:color w:val="auto"/>
              </w:rPr>
            </w:pPr>
            <w:r>
              <w:rPr>
                <w:rFonts w:ascii="Arial" w:cs="Arial" w:eastAsia="Arial" w:hAnsi="Arial"/>
                <w:sz w:val="18"/>
                <w:szCs w:val="18"/>
                <w:color w:val="auto"/>
              </w:rPr>
              <w:t>Total liabilities, noncontrolling interests and equity</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2,310,857</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2,248,468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2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Property rental</w:t>
            </w:r>
          </w:p>
        </w:tc>
        <w:tc>
          <w:tcPr>
            <w:tcW w:w="152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64,300</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56,786</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125,790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and franchise fees</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6,144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12,111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Tenant reinsurance</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4"/>
              </w:rPr>
              <w:t>7,596</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6,338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14,620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6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3"/>
              </w:rPr>
              <w:t>78,040</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68,777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152,521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Property operations</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22,712</w:t>
            </w: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20,941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46,056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1,382</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Unrecovered development and acquisition costs</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4"/>
              </w:rPr>
              <w:t>1,570</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1,819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12,432</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24,090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14,092</w:t>
            </w: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12,202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27,677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6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3"/>
              </w:rPr>
              <w:t>52,188</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45,971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25,852</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22,806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49,882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43,669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(16,261)</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w w:val="92"/>
              </w:rPr>
              <w:t>Non-cash interest expense related to amortization of discount on</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exchangeable senior notes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(440)</w:t>
            </w:r>
          </w:p>
        </w:tc>
        <w:tc>
          <w:tcPr>
            <w:tcW w:w="3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(868)</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w w:val="99"/>
              </w:rPr>
              <w:t>Interest income on note receivable from Preferred Operating</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Partnership unit holder</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1,212</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2,425</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Income before equity in earnings of real estate ventures and</w:t>
            </w: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10,552</w:t>
            </w: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7,580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19,135</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real estate ventures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(665)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12,517</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Net income allocated to Preferred Operating Partnership</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(1,552)</w:t>
            </w:r>
          </w:p>
        </w:tc>
        <w:tc>
          <w:tcPr>
            <w:tcW w:w="3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(3,084)</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allocated to Operating Partnership and other</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w:t>
            </w: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50"/>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10,609</w:t>
            </w:r>
          </w:p>
        </w:tc>
        <w:tc>
          <w:tcPr>
            <w:tcW w:w="3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18,910</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0.07</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Diluted</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0.12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91,439,042</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87,367,967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89,733,518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87,122,064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96,010,848</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92,304,831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94,336,141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92,026,150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Cash dividends paid per common share</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0.14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0.10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0.28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Noncontrolling Interests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10"/>
          </w:tcPr>
          <w:p>
            <w:pPr>
              <w:jc w:val="right"/>
              <w:spacing w:after="0"/>
              <w:rPr>
                <w:sz w:val="20"/>
                <w:szCs w:val="20"/>
                <w:color w:val="auto"/>
              </w:rPr>
            </w:pPr>
            <w:r>
              <w:rPr>
                <w:rFonts w:ascii="Arial" w:cs="Arial" w:eastAsia="Arial" w:hAnsi="Arial"/>
                <w:sz w:val="14"/>
                <w:szCs w:val="14"/>
                <w:b w:val="1"/>
                <w:bCs w:val="1"/>
                <w:color w:val="auto"/>
                <w:w w:val="93"/>
              </w:rPr>
              <w:t>Extra Space Storage Inc. Stockholders’ Equity</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Preferred</w:t>
            </w: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9"/>
              </w:rPr>
              <w:t>Operating</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8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Operating</w:t>
            </w:r>
          </w:p>
        </w:tc>
        <w:tc>
          <w:tcPr>
            <w:tcW w:w="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Other</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2"/>
                <w:szCs w:val="12"/>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20" w:type="dxa"/>
            <w:vAlign w:val="bottom"/>
            <w:gridSpan w:val="4"/>
          </w:tcPr>
          <w:p>
            <w:pPr>
              <w:ind w:left="80"/>
              <w:spacing w:after="0"/>
              <w:rPr>
                <w:sz w:val="20"/>
                <w:szCs w:val="20"/>
                <w:color w:val="auto"/>
              </w:rPr>
            </w:pPr>
            <w:r>
              <w:rPr>
                <w:rFonts w:ascii="Arial" w:cs="Arial" w:eastAsia="Arial" w:hAnsi="Arial"/>
                <w:sz w:val="14"/>
                <w:szCs w:val="14"/>
                <w:b w:val="1"/>
                <w:bCs w:val="1"/>
                <w:color w:val="auto"/>
              </w:rPr>
              <w:t>Partnership</w:t>
            </w: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rPr>
              <w:t>Partnership</w:t>
            </w:r>
          </w:p>
        </w:tc>
        <w:tc>
          <w:tcPr>
            <w:tcW w:w="7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26,803</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$ 1,134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87,587,322</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$ 1,148,820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(262,508)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939,071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upon the</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options</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816,806</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10,497</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Restricted stock grants issued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220,630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grants cancelled</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(10,519)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Issuance of common stock, net of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offering costs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5,335,423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112,479</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112,532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Compensation expense related to stock-</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based awards</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2,711</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Redemption of Operating Partnership</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units for common stock</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(2,344)</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293,641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2,341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Redemption of Operating Partnership</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 for cash</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18,910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w w:val="92"/>
              </w:rPr>
              <w:t>Change in fair value of interest rate swap</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Tax effect from vesting of restricted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w w:val="91"/>
              </w:rPr>
              <w:t>stock grants and stock option exercises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2,091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Operating Partnership</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units held by noncontrolling interests</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(3,152)</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Distributions to other noncontrolling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paid on common stock at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$0.28 per share</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(25,575)</w:t>
            </w:r>
          </w:p>
        </w:tc>
        <w:tc>
          <w:tcPr>
            <w:tcW w:w="1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(25,575)</w:t>
            </w:r>
          </w:p>
        </w:tc>
        <w:tc>
          <w:tcPr>
            <w:tcW w:w="0" w:type="dxa"/>
            <w:vAlign w:val="bottom"/>
          </w:tcPr>
          <w:p>
            <w:pPr>
              <w:spacing w:after="0"/>
              <w:rPr>
                <w:sz w:val="1"/>
                <w:szCs w:val="1"/>
                <w:color w:val="auto"/>
              </w:rPr>
            </w:pP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Balances at June 30, 2011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23,900</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$ 1,114</w:t>
            </w: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94,243,303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$ 1,278,939</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(269,173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1,058,944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60" w:orient="portrait"/>
          <w:cols w:equalWidth="0" w:num="1">
            <w:col w:w="11420"/>
          </w:cols>
          <w:pgMar w:left="240" w:top="356" w:right="239" w:bottom="0" w:gutter="0" w:footer="0" w:header="0"/>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22,657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27,677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w w:val="98"/>
              </w:rPr>
              <w:t>Non-cash interest expense related to amortization of discount on exchangeable senior notes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868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 related to stock-based awards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Distributions from real estate ventures in excess of earnings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5,169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520"/>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1,393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4,960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520"/>
              <w:spacing w:after="0"/>
              <w:rPr>
                <w:sz w:val="20"/>
                <w:szCs w:val="20"/>
                <w:color w:val="auto"/>
              </w:rPr>
            </w:pPr>
            <w:r>
              <w:rPr>
                <w:rFonts w:ascii="Arial" w:cs="Arial" w:eastAsia="Arial" w:hAnsi="Arial"/>
                <w:sz w:val="18"/>
                <w:szCs w:val="18"/>
                <w:color w:val="auto"/>
              </w:rPr>
              <w:t>Accounts payable and accrued expenses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(1,498)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65,193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46,071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real estate assets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Development and construction of real estate assets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(4,494)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properties to joint venture</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Investments in real estate ventures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(3,405)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restricted cash</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Purchase of equipment and fixtures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(3,463)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(95,635)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Proceeds from the sale of common stock</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112,532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notes payable and lines of credit</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264,686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Principal payments on notes payable and lines of credit</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(335,693)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(210,647)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financing costs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Redemption of Operating Partnership units held by noncontrolling interest</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10,505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(25,575)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noncontrolling interests (Operating Partnership and other)</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6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(125,986)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and cash equivalents, beginning of the period</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46,750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131,950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cash flow information</w:t>
            </w: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Interest paid, net of amounts capitalized</w:t>
            </w:r>
          </w:p>
        </w:tc>
        <w:tc>
          <w:tcPr>
            <w:tcW w:w="15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31,533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31,723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Deconsolidation of joint ventures due to application of Accounting Standards Codification 810:</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Real estate assets, net</w:t>
            </w:r>
          </w:p>
        </w:tc>
        <w:tc>
          <w:tcPr>
            <w:tcW w:w="15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(42,739)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in real estate ventures</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 and other liabilities</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Notes payable</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noncontrolling interests</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Redemption of Operating Partnership units held by noncontrolling interests for common stock</w:t>
            </w:r>
          </w:p>
        </w:tc>
        <w:tc>
          <w:tcPr>
            <w:tcW w:w="15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2,344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Acquisitions of real estate assets</w:t>
            </w: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17"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Real estate assets, net</w:t>
            </w:r>
          </w:p>
        </w:tc>
        <w:tc>
          <w:tcPr>
            <w:tcW w:w="37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8,660</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6,475</w:t>
            </w: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w:t>
            </w:r>
          </w:p>
        </w:tc>
        <w:tc>
          <w:tcPr>
            <w:tcW w:w="37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(8,660)</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and share data</w:t>
      </w: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Extra Space Storage Inc. (the “Company”) is a self-administered and self-managed real estate investment trust (“REIT”), formed as a Maryland corporation on April 30, 2004 to own, operate, manage, acquire, develop and redevelop professionally managed self-storage facilities located throughout the United States. The Company continues the business of Extra Space Storage LLC and its subsidiaries, which had engaged in the self-storage business since 1977. The Company’s interest in its properties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(“UPREIT”). The Company has elected to be taxed as a REIT under the Internal Revenue Code of 1986, as amended. To the extent the Company continues to qualify as a REIT, it will not be subject to tax, with certain limited exceptions, on the taxable income that is distributed to its stockholders.</w:t>
      </w:r>
    </w:p>
    <w:p>
      <w:pPr>
        <w:spacing w:after="0" w:line="19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 invests in self-storage facilities by acquiring or developing wholly-owned facilities or by acquiring an equity interest in real estate entities. At June 30, 2011, the Company had direct and indirect equity interests in 680 operating storage facilities. In addition, the Company managed 180 properties for franchisees and third parties, bringing the total number of operating properties which it owns and/or manages to 860. These properties are located in 34 states and Washington, D.C.</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operates in three distinct segments: (1) property management, acquisition and development; (2) rental operations; and (3) tenant reinsurance. The Company’s property management, acquisition and development activities include managing, acquiring, developing and selling self-storage facilities. On June 2, 2009, the Company announced the wind-down of its development activities. As of June 30, 2011, there was one remaining development project in process. The Company expects to complete this project by the end of 2011. The rental operations activities include rental operations of self-storage facilities. No single tenant accounts for more than 5% of rental income. Tenant reinsurance activities include the reinsurance of risks relating to the loss of goods stored by tenants in the Company’s self storage facilities.</w:t>
      </w:r>
    </w:p>
    <w:p>
      <w:pPr>
        <w:spacing w:after="0" w:line="18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and six months ended June 30, 2011 are not necessarily indicative of results that may be expected for the year ended December 31, 2011. The condensed consolidated balance sheet as of December 31, 2010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2010 as filed with the Securities and Exchange Commission.</w:t>
      </w:r>
    </w:p>
    <w:p>
      <w:pPr>
        <w:spacing w:after="0" w:line="17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each major category of assets and liabilities that are measured at fair value on a recurring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980" w:type="dxa"/>
            <w:vAlign w:val="bottom"/>
            <w:gridSpan w:val="10"/>
          </w:tcPr>
          <w:p>
            <w:pPr>
              <w:ind w:left="138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60" w:type="dxa"/>
            <w:vAlign w:val="bottom"/>
            <w:tcBorders>
              <w:top w:val="single" w:sz="8" w:color="auto"/>
            </w:tcBorders>
          </w:tcPr>
          <w:p>
            <w:pPr>
              <w:jc w:val="center"/>
              <w:ind w:left="165"/>
              <w:spacing w:after="0" w:line="119" w:lineRule="exact"/>
              <w:rPr>
                <w:sz w:val="20"/>
                <w:szCs w:val="20"/>
                <w:color w:val="auto"/>
              </w:rPr>
            </w:pPr>
            <w:r>
              <w:rPr>
                <w:rFonts w:ascii="Arial" w:cs="Arial" w:eastAsia="Arial" w:hAnsi="Arial"/>
                <w:sz w:val="13"/>
                <w:szCs w:val="13"/>
                <w:b w:val="1"/>
                <w:bCs w:val="1"/>
                <w:color w:val="auto"/>
                <w:w w:val="98"/>
              </w:rPr>
              <w:t>Quoted Prices in Active</w:t>
            </w: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Significant Other</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jc w:val="center"/>
              <w:ind w:right="105"/>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June 30, 2011</w:t>
            </w:r>
          </w:p>
        </w:tc>
        <w:tc>
          <w:tcPr>
            <w:tcW w:w="240" w:type="dxa"/>
            <w:vAlign w:val="bottom"/>
            <w:vMerge w:val="restart"/>
          </w:tcPr>
          <w:p>
            <w:pPr>
              <w:spacing w:after="0"/>
              <w:rPr>
                <w:sz w:val="12"/>
                <w:szCs w:val="12"/>
                <w:color w:val="auto"/>
              </w:rPr>
            </w:pPr>
          </w:p>
        </w:tc>
        <w:tc>
          <w:tcPr>
            <w:tcW w:w="176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176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b w:val="1"/>
                <w:bCs w:val="1"/>
                <w:color w:val="auto"/>
                <w:w w:val="90"/>
              </w:rPr>
              <w:t>Assets (Level 1)</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Other liabilities - Cash Flow Hedge Swap</w:t>
            </w:r>
          </w:p>
        </w:tc>
        <w:tc>
          <w:tcPr>
            <w:tcW w:w="2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(6,748)</w:t>
            </w:r>
          </w:p>
        </w:tc>
        <w:tc>
          <w:tcPr>
            <w:tcW w:w="1760" w:type="dxa"/>
            <w:vAlign w:val="bottom"/>
            <w:vMerge w:val="restart"/>
            <w:shd w:val="clear" w:color="auto" w:fill="CCEEFF"/>
          </w:tcPr>
          <w:p>
            <w:pPr>
              <w:jc w:val="right"/>
              <w:ind w:right="1605"/>
              <w:spacing w:after="0"/>
              <w:rPr>
                <w:sz w:val="20"/>
                <w:szCs w:val="20"/>
                <w:color w:val="auto"/>
              </w:rPr>
            </w:pPr>
            <w:r>
              <w:rPr>
                <w:rFonts w:ascii="Arial" w:cs="Arial" w:eastAsia="Arial" w:hAnsi="Arial"/>
                <w:sz w:val="15"/>
                <w:szCs w:val="15"/>
                <w:color w:val="auto"/>
                <w:w w:val="71"/>
              </w:rPr>
              <w:t>$</w:t>
            </w:r>
          </w:p>
        </w:tc>
        <w:tc>
          <w:tcPr>
            <w:tcW w:w="640" w:type="dxa"/>
            <w:vAlign w:val="bottom"/>
            <w:gridSpan w:val="3"/>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(6,748)</w:t>
            </w: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gridSpan w:val="2"/>
            <w:vMerge w:val="restart"/>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Agreements</w:t>
            </w:r>
          </w:p>
        </w:tc>
        <w:tc>
          <w:tcPr>
            <w:tcW w:w="140" w:type="dxa"/>
            <w:vAlign w:val="bottom"/>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640" w:type="dxa"/>
            <w:vAlign w:val="bottom"/>
            <w:gridSpan w:val="3"/>
            <w:vMerge w:val="continue"/>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70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ind w:right="1365"/>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7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fair value of our derivatives is based on quoted market prices of similar instruments from various banking institutions or an independent third party provider for similar instruments. In determining the fair value, we consider our non-performance risk and that of our counterparties.</w:t>
      </w:r>
    </w:p>
    <w:p>
      <w:pPr>
        <w:spacing w:after="0" w:line="14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There were no transfers of assets and liabilities between Level 1 and Level 2 during the six months ended June 30, 2011. The Company did not have any significant assets or liabilities that are re-measured on a recurring basis using significant unobservable inputs (Level 3) for the six months ended June 30,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ectPr>
          <w:pgSz w:w="11900" w:h="16838" w:orient="portrait"/>
          <w:cols w:equalWidth="0" w:num="1">
            <w:col w:w="11460"/>
          </w:cols>
          <w:pgMar w:left="240" w:top="125" w:right="199" w:bottom="32" w:gutter="0" w:footer="0" w:header="0"/>
        </w:sectPr>
      </w:pPr>
    </w:p>
    <w:bookmarkStart w:id="6" w:name="page7"/>
    <w:bookmarkEnd w:id="6"/>
    <w:p>
      <w:pPr>
        <w:ind w:right="220"/>
        <w:spacing w:after="0" w:line="276" w:lineRule="auto"/>
        <w:rPr>
          <w:sz w:val="20"/>
          <w:szCs w:val="20"/>
          <w:color w:val="auto"/>
        </w:rPr>
      </w:pPr>
      <w:r>
        <w:rPr>
          <w:rFonts w:ascii="Arial" w:cs="Arial" w:eastAsia="Arial" w:hAnsi="Arial"/>
          <w:sz w:val="17"/>
          <w:szCs w:val="17"/>
          <w:color w:val="auto"/>
        </w:rPr>
        <w:t>Long-lived assets held for use are evaluated for impairment when events or circumstances indicate there may be impairment. The Company reviews each self-storage facility at least annually to determine if any such events or circumstances have occurred or exist. The Company focuses on facilities where occupancy and/or rental income have decreased by a significant amount. For these facilities, the Company determines whether the decrease is temporary or permanent and whether the facility will likely recover the lost occupancy and/or revenue in the short term. In addition, the Company carefully reviews facilities in the lease-up stage and compares actual operating results to original projections.</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then a valuation allowance is established. The operations of assets held for sale or sold during the period are generally presented as discontinued operations for all periods presented.</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assesses whether there are any indicators that the value of its investments in unconsolidated real estate ventures may be impaired annually and when events or circumstances indicate there may be impairment. An investment is impaired if the Company’s estimate of the fair value of the investment is less than its carrying value. To the extent impairment has occurred, and is considered to be other than temporary, the loss is measured as the excess of the carrying amount over the fair value of the investment.</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connection with the Company’s acquisition of self-storage facilities, the purchase price is allocated to the tangible and intangible assets and liabilities acquired based on their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facilities. Debt assumed as part of an acquisition is recorded at fair value based on current interest rates compared to contractual rates. Acquisition-related transaction costs are expensed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carrying values of cash and cash equivalents, restricted cash, receivables, other financial instruments included in other assets, accounts payable and accrued expenses, variable rate notes payable and notes payable to trusts, lines of credit and other liabilities reflected in the condensed consolidated balance sheets at June 30, 2011 and December 31, 2010 approximate fair value. The fair values of the Company’s notes receivable, fixed rate notes payable and notes payable to trusts and exchangeable senior notes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June 30, 2011</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ind w:left="540"/>
              <w:spacing w:after="0"/>
              <w:rPr>
                <w:sz w:val="20"/>
                <w:szCs w:val="20"/>
                <w:color w:val="auto"/>
              </w:rPr>
            </w:pPr>
            <w:r>
              <w:rPr>
                <w:rFonts w:ascii="Arial" w:cs="Arial" w:eastAsia="Arial" w:hAnsi="Arial"/>
                <w:sz w:val="14"/>
                <w:szCs w:val="14"/>
                <w:b w:val="1"/>
                <w:bCs w:val="1"/>
                <w:color w:val="auto"/>
              </w:rPr>
              <w:t>December 31, 2010</w:t>
            </w:r>
          </w:p>
        </w:tc>
        <w:tc>
          <w:tcPr>
            <w:tcW w:w="160" w:type="dxa"/>
            <w:vAlign w:val="bottom"/>
          </w:tcPr>
          <w:p>
            <w:pPr>
              <w:spacing w:after="0"/>
              <w:rPr>
                <w:sz w:val="14"/>
                <w:szCs w:val="14"/>
                <w:color w:val="auto"/>
              </w:rPr>
            </w:pPr>
          </w:p>
        </w:tc>
      </w:tr>
      <w:tr>
        <w:trPr>
          <w:trHeight w:val="119"/>
        </w:trPr>
        <w:tc>
          <w:tcPr>
            <w:tcW w:w="66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218"/>
              <w:spacing w:after="0" w:line="119" w:lineRule="exact"/>
              <w:rPr>
                <w:sz w:val="20"/>
                <w:szCs w:val="20"/>
                <w:color w:val="auto"/>
              </w:rPr>
            </w:pPr>
            <w:r>
              <w:rPr>
                <w:rFonts w:ascii="Arial" w:cs="Arial" w:eastAsia="Arial" w:hAnsi="Arial"/>
                <w:sz w:val="13"/>
                <w:szCs w:val="13"/>
                <w:b w:val="1"/>
                <w:bCs w:val="1"/>
                <w:color w:val="auto"/>
              </w:rPr>
              <w:t>Carrying</w:t>
            </w: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138"/>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71"/>
        </w:trPr>
        <w:tc>
          <w:tcPr>
            <w:tcW w:w="6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r>
      <w:tr>
        <w:trPr>
          <w:trHeight w:val="182"/>
        </w:trPr>
        <w:tc>
          <w:tcPr>
            <w:tcW w:w="660" w:type="dxa"/>
            <w:vAlign w:val="bottom"/>
          </w:tcPr>
          <w:p>
            <w:pPr>
              <w:spacing w:after="0"/>
              <w:rPr>
                <w:sz w:val="15"/>
                <w:szCs w:val="15"/>
                <w:color w:val="auto"/>
              </w:rPr>
            </w:pPr>
          </w:p>
        </w:tc>
        <w:tc>
          <w:tcPr>
            <w:tcW w:w="4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Note receivable from Preferred Operating Partnership unit</w:t>
            </w: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r>
      <w:tr>
        <w:trPr>
          <w:trHeight w:val="230"/>
        </w:trPr>
        <w:tc>
          <w:tcPr>
            <w:tcW w:w="660" w:type="dxa"/>
            <w:vAlign w:val="bottom"/>
          </w:tcPr>
          <w:p>
            <w:pPr>
              <w:spacing w:after="0"/>
              <w:rPr>
                <w:sz w:val="20"/>
                <w:szCs w:val="20"/>
                <w:color w:val="auto"/>
              </w:rPr>
            </w:pPr>
          </w:p>
        </w:tc>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holder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95,582</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115,696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Fixed rate notes payable and notes payable to trusts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791,198</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757,921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777,575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731,588</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92,383</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87,663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118,975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87,663</w:t>
            </w:r>
          </w:p>
        </w:tc>
        <w:tc>
          <w:tcPr>
            <w:tcW w:w="160" w:type="dxa"/>
            <w:vAlign w:val="bottom"/>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698"/>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6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Basic net income per common share is computed by dividing net income by the weighted average common shares outstanding, including unvested share based payment awards that contain a non-forfeitable right to dividends or dividend equivalents.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treasury stock or if-converted method. Potential common shares are securities (such as options, warrants, convertible debt, exchangeable Series A Participating Redeemable Preferred Operating Partnership units (“Preferred OP units”) and exchangeable Operating Partnership units (“OP units”)) that do not have a current right to participate in earnings but could do so in the future by virtue of their option or conversion right. 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share, only potential common shares that are dilutive, those that reduce earnings per share, are included.</w:t>
      </w:r>
    </w:p>
    <w:p>
      <w:pPr>
        <w:spacing w:after="0" w:line="18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Company’s Operating Partnership has $87,663 of exchangeable senior notes issued and outstanding as of June 30, 2011 that also can potentially have a dilutive effect on its earnings per share calculations. The exchangeable senior notes are exchangeable by holders into shares of the Company’s common stock under certain circumstances per the terms of the indenture governing the exchangeable senior notes. The exchangeable senior notes are not exchangeable unless the price of the Company’s common stock is greater than or equal to 130% of the applicable exchange price for a specified period during a quarter, or unless certain other events occur. The exchange price was $23.45 per share at June 30, 2011, and could change over time as described in the indenture. The price of the Company’s common stock did not exceed 130% of the exchange price for the specified period of time during the second quarter of 2011; therefore holders of the exchangeable senior notes may not elect to convert them during the third quarter of 2011.</w:t>
      </w:r>
    </w:p>
    <w:p>
      <w:pPr>
        <w:spacing w:after="0" w:line="16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has irrevocably agreed to pay only cash for the accreted principal amount of the exchangeable senior notes relative to its exchange obligations, but has retained the right to satisfy the exchange obligations in excess of the accreted principal amount in cash and/or common stock. Though the Company has retained that right, Accounting Standards Codification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requires an assumption that shares will be used to pay the exchange obligations in excess of the accreted principal amount, and requires that those shares be included in the Company’s calculation of weighted average common shares outstanding for the diluted earnings per share computation. No shares related to the exchangeable senior notes were included in the computations for the three and six month periods ended June 30, 2011 or 2010 because there was no excess over the accreted principal for these periods.</w:t>
      </w:r>
    </w:p>
    <w:p>
      <w:pPr>
        <w:sectPr>
          <w:pgSz w:w="11900" w:h="16838" w:orient="portrait"/>
          <w:cols w:equalWidth="0" w:num="1">
            <w:col w:w="11460"/>
          </w:cols>
          <w:pgMar w:left="240" w:top="125" w:right="199" w:bottom="0" w:gutter="0" w:footer="0" w:header="0"/>
        </w:sectPr>
      </w:pPr>
    </w:p>
    <w:bookmarkStart w:id="7" w:name="page8"/>
    <w:bookmarkEnd w:id="7"/>
    <w:p>
      <w:pPr>
        <w:ind w:right="360"/>
        <w:spacing w:after="0" w:line="257" w:lineRule="auto"/>
        <w:rPr>
          <w:sz w:val="20"/>
          <w:szCs w:val="20"/>
          <w:color w:val="auto"/>
        </w:rPr>
      </w:pPr>
      <w:r>
        <w:rPr>
          <w:rFonts w:ascii="Arial" w:cs="Arial" w:eastAsia="Arial" w:hAnsi="Arial"/>
          <w:sz w:val="18"/>
          <w:szCs w:val="18"/>
          <w:color w:val="auto"/>
        </w:rPr>
        <w:t>For the purposes of computing the diluted impact on earnings per share of the potential conversion of Preferred OP units into common shares, where the Company has the option to redeem in cash or shares and where the Company has stated the positive intent and ability to settle at least $115,000 of the instrument in cash (or net settle a portion of the Preferred OP units against the related outstanding note receivable), only the amount of the instrument in excess of $115,000 is considered in the calculation of shares contingently issuable for the purposes of computing diluted earnings per share as allowed by ASC 260-10-45-46.</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June 30, 2011 and 2010, options to purchase 122,321 and 1,902,695 shares of common stock, and for the six months ended</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June 30, 2011 and 2010, 99,482 and 2,387,550 shares of common stock, respectively, were excluded from the computation of earnings per share as their effect would have been anti-dilutive. All restricted stock grants have been included in basic and diluted shares outstanding because such shares earn a non-forfeitable dividend and carry voting rights.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net income per common share is as follows: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4"/>
                <w:szCs w:val="14"/>
                <w:color w:val="auto"/>
              </w:rPr>
            </w:pPr>
          </w:p>
        </w:tc>
        <w:tc>
          <w:tcPr>
            <w:tcW w:w="27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2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120" w:type="dxa"/>
            <w:vAlign w:val="bottom"/>
            <w:shd w:val="clear" w:color="auto" w:fill="CCEEFF"/>
          </w:tcPr>
          <w:p>
            <w:pPr>
              <w:spacing w:after="0"/>
              <w:rPr>
                <w:sz w:val="18"/>
                <w:szCs w:val="18"/>
                <w:color w:val="auto"/>
              </w:rPr>
            </w:pPr>
          </w:p>
        </w:tc>
      </w:tr>
      <w:tr>
        <w:trPr>
          <w:trHeight w:val="202"/>
        </w:trPr>
        <w:tc>
          <w:tcPr>
            <w:tcW w:w="4200" w:type="dxa"/>
            <w:vAlign w:val="bottom"/>
          </w:tcPr>
          <w:p>
            <w:pPr>
              <w:ind w:left="360"/>
              <w:spacing w:after="0" w:line="201" w:lineRule="exact"/>
              <w:rPr>
                <w:sz w:val="20"/>
                <w:szCs w:val="20"/>
                <w:color w:val="auto"/>
              </w:rPr>
            </w:pPr>
            <w:r>
              <w:rPr>
                <w:rFonts w:ascii="Arial" w:cs="Arial" w:eastAsia="Arial" w:hAnsi="Arial"/>
                <w:sz w:val="18"/>
                <w:szCs w:val="18"/>
                <w:color w:val="auto"/>
              </w:rPr>
              <w:t>Add: Income allocated to noncontrolling interest</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200" w:type="dxa"/>
            <w:vAlign w:val="bottom"/>
          </w:tcPr>
          <w:p>
            <w:pPr>
              <w:ind w:left="540"/>
              <w:spacing w:after="0"/>
              <w:rPr>
                <w:sz w:val="20"/>
                <w:szCs w:val="20"/>
                <w:color w:val="auto"/>
              </w:rPr>
            </w:pPr>
            <w:r>
              <w:rPr>
                <w:rFonts w:ascii="Arial" w:cs="Arial" w:eastAsia="Arial" w:hAnsi="Arial"/>
                <w:sz w:val="18"/>
                <w:szCs w:val="18"/>
                <w:color w:val="auto"/>
              </w:rPr>
              <w:t>- Preferred Operating Partnership and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200" w:type="dxa"/>
            <w:vAlign w:val="bottom"/>
          </w:tcPr>
          <w:p>
            <w:pPr>
              <w:ind w:left="540"/>
              <w:spacing w:after="0"/>
              <w:rPr>
                <w:sz w:val="20"/>
                <w:szCs w:val="20"/>
                <w:color w:val="auto"/>
              </w:rPr>
            </w:pPr>
            <w:r>
              <w:rPr>
                <w:rFonts w:ascii="Arial" w:cs="Arial" w:eastAsia="Arial" w:hAnsi="Arial"/>
                <w:sz w:val="18"/>
                <w:szCs w:val="18"/>
                <w:color w:val="auto"/>
              </w:rPr>
              <w:t>Operating Partnership</w:t>
            </w: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1,762</w:t>
            </w: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3,754</w:t>
            </w:r>
          </w:p>
        </w:tc>
        <w:tc>
          <w:tcPr>
            <w:tcW w:w="3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3,390</w:t>
            </w:r>
          </w:p>
        </w:tc>
      </w:tr>
      <w:tr>
        <w:trPr>
          <w:trHeight w:val="202"/>
        </w:trPr>
        <w:tc>
          <w:tcPr>
            <w:tcW w:w="42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Subtract: Fixed component of income allocated</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 noncontrolling interest - Preferred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4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Operating Partnership</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(1,437)</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(2,875)</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(2,875)</w:t>
            </w:r>
          </w:p>
        </w:tc>
      </w:tr>
      <w:tr>
        <w:trPr>
          <w:trHeight w:val="250"/>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for diluted computations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11,082</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19,789</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10,263</w:t>
            </w:r>
          </w:p>
        </w:tc>
        <w:tc>
          <w:tcPr>
            <w:tcW w:w="120" w:type="dxa"/>
            <w:vAlign w:val="bottom"/>
            <w:tcBorders>
              <w:bottom w:val="single" w:sz="8" w:color="CCEEFF"/>
            </w:tcBorders>
          </w:tcPr>
          <w:p>
            <w:pPr>
              <w:spacing w:after="0"/>
              <w:rPr>
                <w:sz w:val="21"/>
                <w:szCs w:val="21"/>
                <w:color w:val="auto"/>
              </w:rPr>
            </w:pPr>
          </w:p>
        </w:tc>
      </w:tr>
      <w:tr>
        <w:trPr>
          <w:trHeight w:val="197"/>
        </w:trPr>
        <w:tc>
          <w:tcPr>
            <w:tcW w:w="4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2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Average number of common shares outstanding -</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91,439,042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87,367,967</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89,733,518</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87,122,064</w:t>
            </w: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Operating Partnership units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3,049,935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3,627,368</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3,049,935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3,627,368</w:t>
            </w:r>
          </w:p>
        </w:tc>
        <w:tc>
          <w:tcPr>
            <w:tcW w:w="120" w:type="dxa"/>
            <w:vAlign w:val="bottom"/>
          </w:tcPr>
          <w:p>
            <w:pPr>
              <w:spacing w:after="0"/>
              <w:rPr>
                <w:sz w:val="18"/>
                <w:szCs w:val="18"/>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Operating Partnership units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989,980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989,980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989,980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989,980</w:t>
            </w: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Dilutive and cancelled stock options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531,891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319,516</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562,708</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286,738</w:t>
            </w:r>
          </w:p>
        </w:tc>
      </w:tr>
      <w:tr>
        <w:trPr>
          <w:trHeight w:val="182"/>
        </w:trPr>
        <w:tc>
          <w:tcPr>
            <w:tcW w:w="4200" w:type="dxa"/>
            <w:vAlign w:val="bottom"/>
            <w:tcBorders>
              <w:top w:val="single" w:sz="8" w:color="CCEEFF"/>
            </w:tcBorders>
            <w:shd w:val="clear" w:color="auto" w:fill="CCEEFF"/>
          </w:tcPr>
          <w:p>
            <w:pPr>
              <w:ind w:left="360"/>
              <w:spacing w:after="0" w:line="182" w:lineRule="exact"/>
              <w:rPr>
                <w:sz w:val="20"/>
                <w:szCs w:val="20"/>
                <w:color w:val="auto"/>
              </w:rPr>
            </w:pPr>
            <w:r>
              <w:rPr>
                <w:rFonts w:ascii="Arial" w:cs="Arial" w:eastAsia="Arial" w:hAnsi="Arial"/>
                <w:sz w:val="18"/>
                <w:szCs w:val="18"/>
                <w:color w:val="auto"/>
                <w:w w:val="96"/>
              </w:rPr>
              <w:t>Average number of common shares outstanding -</w:t>
            </w:r>
          </w:p>
        </w:tc>
        <w:tc>
          <w:tcPr>
            <w:tcW w:w="3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0"/>
        </w:trPr>
        <w:tc>
          <w:tcPr>
            <w:tcW w:w="4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96,010,848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92,304,831</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94,336,141</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92,026,150</w:t>
            </w:r>
          </w:p>
        </w:tc>
      </w:tr>
      <w:tr>
        <w:trPr>
          <w:trHeight w:val="216"/>
        </w:trPr>
        <w:tc>
          <w:tcPr>
            <w:tcW w:w="4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0.12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0.12</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ACQUISITIONS</w:t>
      </w:r>
    </w:p>
    <w:p>
      <w:pPr>
        <w:spacing w:after="0" w:line="229"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The following table summarizes the Company’s acquisitions of operating properties for the six months ended June 30, 2011 and does not include improvements made to existing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6"/>
          </w:tcPr>
          <w:p>
            <w:pPr>
              <w:jc w:val="right"/>
              <w:ind w:right="317"/>
              <w:spacing w:after="0"/>
              <w:rPr>
                <w:sz w:val="20"/>
                <w:szCs w:val="20"/>
                <w:color w:val="auto"/>
              </w:rPr>
            </w:pPr>
            <w:r>
              <w:rPr>
                <w:rFonts w:ascii="Arial" w:cs="Arial" w:eastAsia="Arial" w:hAnsi="Arial"/>
                <w:sz w:val="13"/>
                <w:szCs w:val="13"/>
                <w:b w:val="1"/>
                <w:bCs w:val="1"/>
                <w:color w:val="auto"/>
              </w:rPr>
              <w:t>Consideration Paid</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7"/>
          </w:tcPr>
          <w:p>
            <w:pPr>
              <w:ind w:left="40"/>
              <w:spacing w:after="0"/>
              <w:rPr>
                <w:sz w:val="20"/>
                <w:szCs w:val="20"/>
                <w:color w:val="auto"/>
              </w:rPr>
            </w:pPr>
            <w:r>
              <w:rPr>
                <w:rFonts w:ascii="Arial" w:cs="Arial" w:eastAsia="Arial" w:hAnsi="Arial"/>
                <w:sz w:val="13"/>
                <w:szCs w:val="13"/>
                <w:b w:val="1"/>
                <w:bCs w:val="1"/>
                <w:color w:val="auto"/>
                <w:w w:val="92"/>
              </w:rPr>
              <w:t>Acquisition Date Fair Value</w:t>
            </w: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right="37"/>
              <w:spacing w:after="0" w:line="110" w:lineRule="exact"/>
              <w:rPr>
                <w:sz w:val="20"/>
                <w:szCs w:val="20"/>
                <w:color w:val="auto"/>
              </w:rPr>
            </w:pPr>
            <w:r>
              <w:rPr>
                <w:rFonts w:ascii="Arial" w:cs="Arial" w:eastAsia="Arial" w:hAnsi="Arial"/>
                <w:sz w:val="12"/>
                <w:szCs w:val="12"/>
                <w:b w:val="1"/>
                <w:bCs w:val="1"/>
                <w:color w:val="auto"/>
                <w:w w:val="92"/>
              </w:rPr>
              <w:t>Net</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1"/>
              </w:rPr>
              <w:t>Liabilities/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Closing</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Number of</w:t>
            </w:r>
          </w:p>
        </w:tc>
        <w:tc>
          <w:tcPr>
            <w:tcW w:w="1000" w:type="dxa"/>
            <w:vAlign w:val="bottom"/>
            <w:gridSpan w:val="3"/>
          </w:tcPr>
          <w:p>
            <w:pPr>
              <w:jc w:val="center"/>
              <w:ind w:right="133"/>
              <w:spacing w:after="0" w:line="135" w:lineRule="exact"/>
              <w:rPr>
                <w:sz w:val="20"/>
                <w:szCs w:val="20"/>
                <w:color w:val="auto"/>
              </w:rPr>
            </w:pPr>
            <w:r>
              <w:rPr>
                <w:rFonts w:ascii="Arial" w:cs="Arial" w:eastAsia="Arial" w:hAnsi="Arial"/>
                <w:sz w:val="13"/>
                <w:szCs w:val="13"/>
                <w:b w:val="1"/>
                <w:bCs w:val="1"/>
                <w:color w:val="auto"/>
                <w:w w:val="86"/>
              </w:rPr>
              <w:t>Date of</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right="237"/>
              <w:spacing w:after="0" w:line="135" w:lineRule="exact"/>
              <w:rPr>
                <w:sz w:val="20"/>
                <w:szCs w:val="20"/>
                <w:color w:val="auto"/>
              </w:rPr>
            </w:pPr>
            <w:r>
              <w:rPr>
                <w:rFonts w:ascii="Arial" w:cs="Arial" w:eastAsia="Arial" w:hAnsi="Arial"/>
                <w:sz w:val="13"/>
                <w:szCs w:val="13"/>
                <w:b w:val="1"/>
                <w:bCs w:val="1"/>
                <w:color w:val="auto"/>
                <w:w w:val="89"/>
              </w:rPr>
              <w:t>Loan</w:t>
            </w: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1"/>
              </w:rPr>
              <w:t>(Assets)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1"/>
              </w:rPr>
              <w:t>costs -</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1620" w:type="dxa"/>
            <w:vAlign w:val="bottom"/>
            <w:gridSpan w:val="2"/>
          </w:tcPr>
          <w:p>
            <w:pPr>
              <w:spacing w:after="0"/>
              <w:rPr>
                <w:sz w:val="20"/>
                <w:szCs w:val="20"/>
                <w:color w:val="auto"/>
              </w:rPr>
            </w:pPr>
            <w:r>
              <w:rPr>
                <w:rFonts w:ascii="Arial" w:cs="Arial" w:eastAsia="Arial" w:hAnsi="Arial"/>
                <w:sz w:val="13"/>
                <w:szCs w:val="13"/>
                <w:b w:val="1"/>
                <w:bCs w:val="1"/>
                <w:color w:val="auto"/>
              </w:rPr>
              <w:t>Property Location</w:t>
            </w:r>
          </w:p>
        </w:tc>
        <w:tc>
          <w:tcPr>
            <w:tcW w:w="920" w:type="dxa"/>
            <w:vAlign w:val="bottom"/>
            <w:gridSpan w:val="2"/>
          </w:tcPr>
          <w:p>
            <w:pPr>
              <w:ind w:left="120"/>
              <w:spacing w:after="0"/>
              <w:rPr>
                <w:sz w:val="20"/>
                <w:szCs w:val="20"/>
                <w:color w:val="auto"/>
              </w:rPr>
            </w:pPr>
            <w:r>
              <w:rPr>
                <w:rFonts w:ascii="Arial" w:cs="Arial" w:eastAsia="Arial" w:hAnsi="Arial"/>
                <w:sz w:val="13"/>
                <w:szCs w:val="13"/>
                <w:b w:val="1"/>
                <w:bCs w:val="1"/>
                <w:color w:val="auto"/>
              </w:rPr>
              <w:t>Properties</w:t>
            </w:r>
          </w:p>
        </w:tc>
        <w:tc>
          <w:tcPr>
            <w:tcW w:w="1000" w:type="dxa"/>
            <w:vAlign w:val="bottom"/>
            <w:gridSpan w:val="3"/>
          </w:tcPr>
          <w:p>
            <w:pPr>
              <w:jc w:val="center"/>
              <w:ind w:right="133"/>
              <w:spacing w:after="0"/>
              <w:rPr>
                <w:sz w:val="20"/>
                <w:szCs w:val="20"/>
                <w:color w:val="auto"/>
              </w:rPr>
            </w:pPr>
            <w:r>
              <w:rPr>
                <w:rFonts w:ascii="Arial" w:cs="Arial" w:eastAsia="Arial" w:hAnsi="Arial"/>
                <w:sz w:val="13"/>
                <w:szCs w:val="13"/>
                <w:b w:val="1"/>
                <w:bCs w:val="1"/>
                <w:color w:val="auto"/>
                <w:w w:val="87"/>
              </w:rPr>
              <w:t>Acquisition</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6"/>
              </w:rPr>
              <w:t>Total Paid</w:t>
            </w:r>
          </w:p>
        </w:tc>
        <w:tc>
          <w:tcPr>
            <w:tcW w:w="8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Cash Paid</w:t>
            </w:r>
          </w:p>
        </w:tc>
        <w:tc>
          <w:tcPr>
            <w:tcW w:w="80" w:type="dxa"/>
            <w:vAlign w:val="bottom"/>
          </w:tcPr>
          <w:p>
            <w:pPr>
              <w:spacing w:after="0"/>
              <w:rPr>
                <w:sz w:val="13"/>
                <w:szCs w:val="13"/>
                <w:color w:val="auto"/>
              </w:rPr>
            </w:pPr>
          </w:p>
        </w:tc>
        <w:tc>
          <w:tcPr>
            <w:tcW w:w="820" w:type="dxa"/>
            <w:vAlign w:val="bottom"/>
            <w:gridSpan w:val="3"/>
          </w:tcPr>
          <w:p>
            <w:pPr>
              <w:jc w:val="center"/>
              <w:ind w:right="237"/>
              <w:spacing w:after="0"/>
              <w:rPr>
                <w:sz w:val="20"/>
                <w:szCs w:val="20"/>
                <w:color w:val="auto"/>
              </w:rPr>
            </w:pPr>
            <w:r>
              <w:rPr>
                <w:rFonts w:ascii="Arial" w:cs="Arial" w:eastAsia="Arial" w:hAnsi="Arial"/>
                <w:sz w:val="13"/>
                <w:szCs w:val="13"/>
                <w:b w:val="1"/>
                <w:bCs w:val="1"/>
                <w:color w:val="auto"/>
                <w:w w:val="81"/>
              </w:rPr>
              <w:t>Assumed</w:t>
            </w: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Assumed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3"/>
                <w:szCs w:val="13"/>
                <w:b w:val="1"/>
                <w:bCs w:val="1"/>
                <w:color w:val="auto"/>
              </w:rPr>
              <w:t>Land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8"/>
              </w:rPr>
              <w:t>Building</w:t>
            </w:r>
          </w:p>
        </w:tc>
        <w:tc>
          <w:tcPr>
            <w:tcW w:w="780" w:type="dxa"/>
            <w:vAlign w:val="bottom"/>
            <w:gridSpan w:val="3"/>
          </w:tcPr>
          <w:p>
            <w:pPr>
              <w:ind w:left="60"/>
              <w:spacing w:after="0"/>
              <w:rPr>
                <w:sz w:val="20"/>
                <w:szCs w:val="20"/>
                <w:color w:val="auto"/>
              </w:rPr>
            </w:pPr>
            <w:r>
              <w:rPr>
                <w:rFonts w:ascii="Arial" w:cs="Arial" w:eastAsia="Arial" w:hAnsi="Arial"/>
                <w:sz w:val="13"/>
                <w:szCs w:val="13"/>
                <w:b w:val="1"/>
                <w:bCs w:val="1"/>
                <w:color w:val="auto"/>
              </w:rPr>
              <w:t>Intangible</w:t>
            </w:r>
          </w:p>
        </w:tc>
        <w:tc>
          <w:tcPr>
            <w:tcW w:w="8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expensed</w:t>
            </w:r>
          </w:p>
        </w:tc>
        <w:tc>
          <w:tcPr>
            <w:tcW w:w="1480" w:type="dxa"/>
            <w:vAlign w:val="bottom"/>
            <w:gridSpan w:val="2"/>
          </w:tcPr>
          <w:p>
            <w:pPr>
              <w:ind w:left="120"/>
              <w:spacing w:after="0"/>
              <w:rPr>
                <w:sz w:val="20"/>
                <w:szCs w:val="20"/>
                <w:color w:val="auto"/>
              </w:rPr>
            </w:pPr>
            <w:r>
              <w:rPr>
                <w:rFonts w:ascii="Arial" w:cs="Arial" w:eastAsia="Arial" w:hAnsi="Arial"/>
                <w:sz w:val="13"/>
                <w:szCs w:val="13"/>
                <w:b w:val="1"/>
                <w:bCs w:val="1"/>
                <w:color w:val="auto"/>
                <w:w w:val="99"/>
              </w:rPr>
              <w:t>Source of Acquisition</w:t>
            </w:r>
          </w:p>
        </w:tc>
      </w:tr>
      <w:tr>
        <w:trPr>
          <w:trHeight w:val="129"/>
        </w:trPr>
        <w:tc>
          <w:tcPr>
            <w:tcW w:w="15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Utah, Texas</w:t>
            </w: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rPr>
              <w:t>2</w:t>
            </w:r>
          </w:p>
        </w:tc>
        <w:tc>
          <w:tcPr>
            <w:tcW w:w="1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4/1/2011</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7,262</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7,205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1,512</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5,548</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37"/>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188</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w:t>
            </w:r>
          </w:p>
        </w:tc>
        <w:tc>
          <w:tcPr>
            <w:tcW w:w="10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Affiliated joint venture</w:t>
            </w:r>
          </w:p>
        </w:tc>
        <w:tc>
          <w:tcPr>
            <w:tcW w:w="100" w:type="dxa"/>
            <w:vAlign w:val="bottom"/>
            <w:tcBorders>
              <w:top w:val="single" w:sz="8" w:color="CCEEFF"/>
            </w:tcBorders>
            <w:shd w:val="clear" w:color="auto" w:fill="CCEEFF"/>
          </w:tcPr>
          <w:p>
            <w:pPr>
              <w:spacing w:after="0"/>
              <w:rPr>
                <w:sz w:val="11"/>
                <w:szCs w:val="11"/>
                <w:color w:val="auto"/>
              </w:rPr>
            </w:pPr>
          </w:p>
        </w:tc>
      </w:tr>
      <w:tr>
        <w:trPr>
          <w:trHeight w:val="135"/>
        </w:trPr>
        <w:tc>
          <w:tcPr>
            <w:tcW w:w="1620" w:type="dxa"/>
            <w:vAlign w:val="bottom"/>
            <w:gridSpan w:val="2"/>
          </w:tcPr>
          <w:p>
            <w:pPr>
              <w:spacing w:after="0" w:line="135" w:lineRule="exact"/>
              <w:rPr>
                <w:sz w:val="20"/>
                <w:szCs w:val="20"/>
                <w:color w:val="auto"/>
              </w:rPr>
            </w:pPr>
            <w:r>
              <w:rPr>
                <w:rFonts w:ascii="Arial" w:cs="Arial" w:eastAsia="Arial" w:hAnsi="Arial"/>
                <w:sz w:val="13"/>
                <w:szCs w:val="13"/>
                <w:color w:val="auto"/>
              </w:rPr>
              <w:t>California</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4/7/2011</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8,207</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8,150</w:t>
            </w:r>
          </w:p>
        </w:tc>
        <w:tc>
          <w:tcPr>
            <w:tcW w:w="80" w:type="dxa"/>
            <w:vAlign w:val="bottom"/>
          </w:tcPr>
          <w:p>
            <w:pPr>
              <w:spacing w:after="0"/>
              <w:rPr>
                <w:sz w:val="11"/>
                <w:szCs w:val="11"/>
                <w:color w:val="auto"/>
              </w:rPr>
            </w:pPr>
          </w:p>
        </w:tc>
        <w:tc>
          <w:tcPr>
            <w:tcW w:w="820" w:type="dxa"/>
            <w:vAlign w:val="bottom"/>
            <w:gridSpan w:val="3"/>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2,211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5,829</w:t>
            </w:r>
          </w:p>
        </w:tc>
        <w:tc>
          <w:tcPr>
            <w:tcW w:w="28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163</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w:t>
            </w:r>
          </w:p>
        </w:tc>
        <w:tc>
          <w:tcPr>
            <w:tcW w:w="1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Unrelated third party</w:t>
            </w:r>
          </w:p>
        </w:tc>
      </w:tr>
      <w:tr>
        <w:trPr>
          <w:trHeight w:val="135"/>
        </w:trPr>
        <w:tc>
          <w:tcPr>
            <w:tcW w:w="1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Tennessee</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4/15/2011</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2,577</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2,514</w:t>
            </w:r>
          </w:p>
        </w:tc>
        <w:tc>
          <w:tcPr>
            <w:tcW w:w="8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652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1,791</w:t>
            </w: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Unrelated third party</w:t>
            </w:r>
          </w:p>
        </w:tc>
      </w:tr>
      <w:tr>
        <w:trPr>
          <w:trHeight w:val="135"/>
        </w:trPr>
        <w:tc>
          <w:tcPr>
            <w:tcW w:w="1620" w:type="dxa"/>
            <w:vAlign w:val="bottom"/>
            <w:gridSpan w:val="2"/>
          </w:tcPr>
          <w:p>
            <w:pPr>
              <w:spacing w:after="0" w:line="135" w:lineRule="exact"/>
              <w:rPr>
                <w:sz w:val="20"/>
                <w:szCs w:val="20"/>
                <w:color w:val="auto"/>
              </w:rPr>
            </w:pPr>
            <w:r>
              <w:rPr>
                <w:rFonts w:ascii="Arial" w:cs="Arial" w:eastAsia="Arial" w:hAnsi="Arial"/>
                <w:sz w:val="13"/>
                <w:szCs w:val="13"/>
                <w:color w:val="auto"/>
              </w:rPr>
              <w:t>Colorado</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5/25/2011</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3,540</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2,262</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1,290</w:t>
            </w:r>
          </w:p>
        </w:tc>
        <w:tc>
          <w:tcPr>
            <w:tcW w:w="10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407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3,077</w:t>
            </w:r>
          </w:p>
        </w:tc>
        <w:tc>
          <w:tcPr>
            <w:tcW w:w="2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61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w:t>
            </w:r>
          </w:p>
        </w:tc>
        <w:tc>
          <w:tcPr>
            <w:tcW w:w="1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Unrelated third party</w:t>
            </w:r>
          </w:p>
        </w:tc>
      </w:tr>
      <w:tr>
        <w:trPr>
          <w:trHeight w:val="135"/>
        </w:trPr>
        <w:tc>
          <w:tcPr>
            <w:tcW w:w="1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Virginia</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5/26/2011</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10,513</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5,205</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5,463</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932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9,349</w:t>
            </w:r>
          </w:p>
        </w:tc>
        <w:tc>
          <w:tcPr>
            <w:tcW w:w="2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202</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Unrelated third party</w:t>
            </w:r>
          </w:p>
        </w:tc>
      </w:tr>
      <w:tr>
        <w:trPr>
          <w:trHeight w:val="135"/>
        </w:trPr>
        <w:tc>
          <w:tcPr>
            <w:tcW w:w="1620" w:type="dxa"/>
            <w:vAlign w:val="bottom"/>
            <w:gridSpan w:val="2"/>
          </w:tcPr>
          <w:p>
            <w:pPr>
              <w:spacing w:after="0" w:line="135" w:lineRule="exact"/>
              <w:rPr>
                <w:sz w:val="20"/>
                <w:szCs w:val="20"/>
                <w:color w:val="auto"/>
              </w:rPr>
            </w:pPr>
            <w:r>
              <w:rPr>
                <w:rFonts w:ascii="Arial" w:cs="Arial" w:eastAsia="Arial" w:hAnsi="Arial"/>
                <w:sz w:val="13"/>
                <w:szCs w:val="13"/>
                <w:color w:val="auto"/>
              </w:rPr>
              <w:t>New Jersey</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6/2/2011</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4,963</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4,959</w:t>
            </w:r>
          </w:p>
        </w:tc>
        <w:tc>
          <w:tcPr>
            <w:tcW w:w="80" w:type="dxa"/>
            <w:vAlign w:val="bottom"/>
          </w:tcPr>
          <w:p>
            <w:pPr>
              <w:spacing w:after="0"/>
              <w:rPr>
                <w:sz w:val="11"/>
                <w:szCs w:val="11"/>
                <w:color w:val="auto"/>
              </w:rPr>
            </w:pPr>
          </w:p>
        </w:tc>
        <w:tc>
          <w:tcPr>
            <w:tcW w:w="820" w:type="dxa"/>
            <w:vAlign w:val="bottom"/>
            <w:gridSpan w:val="3"/>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1,644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3,115</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135</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69</w:t>
            </w:r>
          </w:p>
        </w:tc>
        <w:tc>
          <w:tcPr>
            <w:tcW w:w="100" w:type="dxa"/>
            <w:vAlign w:val="bottom"/>
          </w:tcPr>
          <w:p>
            <w:pPr>
              <w:spacing w:after="0"/>
              <w:rPr>
                <w:sz w:val="11"/>
                <w:szCs w:val="11"/>
                <w:color w:val="auto"/>
              </w:rPr>
            </w:pPr>
          </w:p>
        </w:tc>
        <w:tc>
          <w:tcPr>
            <w:tcW w:w="1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Affiliated joint venture</w:t>
            </w:r>
          </w:p>
        </w:tc>
      </w:tr>
      <w:tr>
        <w:trPr>
          <w:trHeight w:val="135"/>
        </w:trPr>
        <w:tc>
          <w:tcPr>
            <w:tcW w:w="1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Colorado</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6/10/2011</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4,600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2,664</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1,907</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29</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4,199</w:t>
            </w: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w:t>
            </w:r>
          </w:p>
        </w:tc>
        <w:tc>
          <w:tcPr>
            <w:tcW w:w="1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Unrelated third party</w:t>
            </w:r>
          </w:p>
        </w:tc>
      </w:tr>
      <w:tr>
        <w:trPr>
          <w:trHeight w:val="135"/>
        </w:trPr>
        <w:tc>
          <w:tcPr>
            <w:tcW w:w="1620" w:type="dxa"/>
            <w:vAlign w:val="bottom"/>
            <w:gridSpan w:val="2"/>
          </w:tcPr>
          <w:p>
            <w:pPr>
              <w:spacing w:after="0" w:line="135" w:lineRule="exact"/>
              <w:rPr>
                <w:sz w:val="20"/>
                <w:szCs w:val="20"/>
                <w:color w:val="auto"/>
              </w:rPr>
            </w:pPr>
            <w:r>
              <w:rPr>
                <w:rFonts w:ascii="Arial" w:cs="Arial" w:eastAsia="Arial" w:hAnsi="Arial"/>
                <w:sz w:val="13"/>
                <w:szCs w:val="13"/>
                <w:color w:val="auto"/>
              </w:rPr>
              <w:t>Nevada</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6/22/2011</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3,355</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3,339</w:t>
            </w:r>
          </w:p>
        </w:tc>
        <w:tc>
          <w:tcPr>
            <w:tcW w:w="80" w:type="dxa"/>
            <w:vAlign w:val="bottom"/>
          </w:tcPr>
          <w:p>
            <w:pPr>
              <w:spacing w:after="0"/>
              <w:rPr>
                <w:sz w:val="11"/>
                <w:szCs w:val="11"/>
                <w:color w:val="auto"/>
              </w:rPr>
            </w:pPr>
          </w:p>
        </w:tc>
        <w:tc>
          <w:tcPr>
            <w:tcW w:w="820" w:type="dxa"/>
            <w:vAlign w:val="bottom"/>
            <w:gridSpan w:val="3"/>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1,441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1,810</w:t>
            </w:r>
          </w:p>
        </w:tc>
        <w:tc>
          <w:tcPr>
            <w:tcW w:w="2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98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w:t>
            </w:r>
          </w:p>
        </w:tc>
        <w:tc>
          <w:tcPr>
            <w:tcW w:w="1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Unrelated third party</w:t>
            </w:r>
          </w:p>
        </w:tc>
      </w:tr>
      <w:tr>
        <w:trPr>
          <w:trHeight w:val="135"/>
        </w:trPr>
        <w:tc>
          <w:tcPr>
            <w:tcW w:w="1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Ohio, Indiana, Kentucky</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15</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6/27/2011</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39,773</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39,387</w:t>
            </w:r>
          </w:p>
        </w:tc>
        <w:tc>
          <w:tcPr>
            <w:tcW w:w="8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386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13,587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24,991</w:t>
            </w:r>
          </w:p>
        </w:tc>
        <w:tc>
          <w:tcPr>
            <w:tcW w:w="2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903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292</w:t>
            </w:r>
          </w:p>
        </w:tc>
        <w:tc>
          <w:tcPr>
            <w:tcW w:w="1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Unrelated third party</w:t>
            </w:r>
          </w:p>
        </w:tc>
      </w:tr>
    </w:tbl>
    <w:p>
      <w:pPr>
        <w:spacing w:after="0" w:line="20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January 1, 2011, the Company paid $320 in cash to obtain its joint venture partners’ equity interests in a joint venture. No gain or loss was recognized on this transaction. The joint venture owned a single stabilized self-storage property located in Pennsylvania and was previously accounted for under the equity method. This property is now wholly owned and consolidated by the Company.</w:t>
      </w:r>
    </w:p>
    <w:p>
      <w:pPr>
        <w:spacing w:after="0" w:line="17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has interests in two unconsolidated joint ventures with unrelated third parties which are variable interest entities (“VIEs” or the “VIE JVs”). The Company holds 18% and 39% of the equity interests in the two VIE JVs, and has 50% of the voting rights in each of the VIE JVs. Qualification as a VIE was based on the determination that the equity investments at risk for each of these joint ventures were not sufficient based on a qualitative and quantitative analysis performed by the Company. The Company performed a qualitative analysis for these joint ventures to determine which party was the primary beneficiary of each VIE. The Company determined that since the powers to direct the activities most significant to the economic performance of these entities are shared equally by the Company and its joint venture partners, there is no primary beneficiary. Accordingly, these interests are recorded using the equity method.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8" w:name="page9"/>
    <w:bookmarkEnd w:id="8"/>
    <w:p>
      <w:pPr>
        <w:ind w:right="20"/>
        <w:spacing w:after="0" w:line="297" w:lineRule="auto"/>
        <w:rPr>
          <w:sz w:val="20"/>
          <w:szCs w:val="20"/>
          <w:color w:val="auto"/>
        </w:rPr>
      </w:pPr>
      <w:r>
        <w:rPr>
          <w:rFonts w:ascii="Arial" w:cs="Arial" w:eastAsia="Arial" w:hAnsi="Arial"/>
          <w:sz w:val="16"/>
          <w:szCs w:val="16"/>
          <w:color w:val="auto"/>
        </w:rPr>
        <w:t>The VIE JVs each own a single self-storage property. These joint ventures are financed through a combination of (1) equity contributions from the Company and its joint venture partners, (2) mortgage notes payable and (3) payables to the Company. The payables to the Company consist of amounts owed for expenses paid on behalf of the joint ventures by the Company as manager and mortgage notes payable to the Company. The Company performs management services for the VIE JVs in exchange for a management fee of approximately 6% of cash collected by the properties. The Company has not provided financial or other support during the periods presented to the VIE JVs that it was not previously contractually obligated to provide.</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guarantees the mortgage notes payable for the VIE JVs. The Company’s maximum exposure to loss for these joint ventures as of June 30, 2011 is the total of the guaranteed loan balances, the payables due to the Company and the Company’s investment balances in the joint ventures. The Company believes that the risk of incurring a material loss as a result of having to perform on the loan guarantees is unlikely and therefore no liability has been recorded related to these guarantees. Also, repossessing and/or selling the self-storage facility and land that collateralize the loans could provide funds sufficient to reimburse the Company. Additionally, the Company believes the payables to the Company are collectible.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the liability balance and the maximum exposure to loss related to the VIE JVs as of June 30, 2011:</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Liability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Investment</w:t>
            </w:r>
          </w:p>
        </w:tc>
        <w:tc>
          <w:tcPr>
            <w:tcW w:w="14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Balance of</w:t>
            </w:r>
          </w:p>
        </w:tc>
        <w:tc>
          <w:tcPr>
            <w:tcW w:w="160" w:type="dxa"/>
            <w:vAlign w:val="bottom"/>
          </w:tcPr>
          <w:p>
            <w:pPr>
              <w:spacing w:after="0"/>
              <w:rPr>
                <w:sz w:val="14"/>
                <w:szCs w:val="14"/>
                <w:color w:val="auto"/>
              </w:rPr>
            </w:pP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5"/>
              </w:rPr>
              <w:t>Payables to</w:t>
            </w:r>
          </w:p>
        </w:tc>
        <w:tc>
          <w:tcPr>
            <w:tcW w:w="1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Guaranteed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Exposure</w:t>
            </w:r>
          </w:p>
        </w:tc>
        <w:tc>
          <w:tcPr>
            <w:tcW w:w="180" w:type="dxa"/>
            <w:vAlign w:val="bottom"/>
          </w:tcPr>
          <w:p>
            <w:pPr>
              <w:spacing w:after="0"/>
              <w:rPr>
                <w:sz w:val="12"/>
                <w:szCs w:val="12"/>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Difference</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Arial" w:cs="Arial" w:eastAsia="Arial" w:hAnsi="Arial"/>
                <w:sz w:val="14"/>
                <w:szCs w:val="14"/>
                <w:b w:val="1"/>
                <w:bCs w:val="1"/>
                <w:color w:val="auto"/>
              </w:rPr>
              <w:t>Balance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Loan</w:t>
            </w:r>
          </w:p>
        </w:tc>
        <w:tc>
          <w:tcPr>
            <w:tcW w:w="16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Company</w:t>
            </w:r>
          </w:p>
        </w:tc>
        <w:tc>
          <w:tcPr>
            <w:tcW w:w="1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to Loss</w:t>
            </w: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Extra Space of Montrose</w:t>
            </w: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Avenue LLC</w:t>
            </w:r>
          </w:p>
        </w:tc>
        <w:tc>
          <w:tcPr>
            <w:tcW w:w="1020" w:type="dxa"/>
            <w:vAlign w:val="bottom"/>
            <w:gridSpan w:val="2"/>
            <w:shd w:val="clear" w:color="auto" w:fill="CCEEFF"/>
          </w:tcPr>
          <w:p>
            <w:pPr>
              <w:jc w:val="right"/>
              <w:ind w:right="72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(8,521)</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w w:val="92"/>
              </w:rPr>
              <w:t>Extra Space of Sacramento One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(862)</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4,307</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6,094</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9,539</w:t>
            </w: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(9,539)</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Operating Partnership has three wholly-owned unconsolidated subsidiaries (“Trust,” “Trust II,” and “Trust III,” together, the “Trusts”) that have issued trust preferred securities to third parties and common securities to the Operating Partnership. The proceeds from the sale of the preferred and common securities were loaned in the form of notes to the Operating Partnership. The Trusts are VIEs because the holders of the equity investment at risk (the trust preferred securities) do not have the power to direct the activities of the entities that most significantly affect the entities’ economic performance because of their lack of voting or similar rights. Because the Operating Partnership’s investment in the Trusts’ common securities was financed directly by the Trusts as a result of its loan of the proceeds to the Operating Partnership, that investment is not considered to be an equity investment at risk. The Operating Partnership’s investment in the Trusts is not a variable interest because equity interests are variable interests only to the extent that the investment is considered to be at risk, and therefore the Operating Partnership cannot be the primary beneficiary of the Trusts. Since the Company is not the primary beneficiary of the Trusts, they have not been consolidated. A debt obligation has been recorded in the form of notes for the proceeds as discussed above, which are owed to the Trusts. The Company has also included its investment in the Trusts’ common securities in other assets on the condensed consolidated balance sheets.</w:t>
      </w:r>
    </w:p>
    <w:p>
      <w:pPr>
        <w:spacing w:after="0" w:line="1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not provided financing or other support during the periods presented to the Trusts that it was not previously contractually obligated to provide. The Company’s maximum exposure to loss as a result of its involvement with the Trusts is equal to the total amount of the notes discussed above less the amounts of the Company’s investments in the Trusts’ common securities. The net amount is the notes payable that the Trusts owe to third parties for their investments in the Trusts’ preferred securities.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is a tabular comparison of the liabilities the Company has recorded as a result of its involvement with the Trusts to the maximum exposure to loss the Company is subject to as a result of such involvement as of June 30, 2011:</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Notes payable</w:t>
            </w:r>
          </w:p>
        </w:tc>
        <w:tc>
          <w:tcPr>
            <w:tcW w:w="2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Maximum</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Difference</w:t>
            </w: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 Trusts</w:t>
            </w:r>
          </w:p>
        </w:tc>
        <w:tc>
          <w:tcPr>
            <w:tcW w:w="2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Balance</w:t>
            </w: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exposure to loss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Trust</w:t>
            </w:r>
          </w:p>
        </w:tc>
        <w:tc>
          <w:tcPr>
            <w:tcW w:w="1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Trust II</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42,269</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1,269</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41,000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41,238</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1,238</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119,590</w:t>
            </w:r>
          </w:p>
        </w:tc>
        <w:tc>
          <w:tcPr>
            <w:tcW w:w="2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3,590</w:t>
            </w:r>
          </w:p>
        </w:tc>
        <w:tc>
          <w:tcPr>
            <w:tcW w:w="2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consolidated VIEs during the six months ended June 30, 2011 or 2010.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GAAP requires the recognition of all derivative instruments as either assets or liabilities on the balance sheet at fair value. The accounting for changes in fair value of a derivative instrument depends on whether it has been designated and qualifies as part of a hedging relationship and further, on the type of hedging relationship. A company must designate each qualifying hedging instrument, based upon the exposure being hedged, as a fair value hedge, cash flow hedge, or a hedge of a net investment in foreign operations.</w:t>
      </w:r>
    </w:p>
    <w:p>
      <w:pPr>
        <w:spacing w:after="0" w:line="18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Company is exposed to certain risks relating to its ongoing business operations. The primary risk managed by using derivative instruments is interest rate risk. Interest rate swaps are entered into to manage interest rate risk associated with the Company’s fixed and variable-rate borrowings. The Company designates certain interest rate swaps as cash flow hedges of variable-rate borrowings and the remainder as fair value hedges of fixed-rate borrowings.</w:t>
      </w:r>
    </w:p>
    <w:p>
      <w:pPr>
        <w:spacing w:after="0" w:line="14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For derivatives designated as fair value hedges, changes in the fair value of the derivative and the hedged item related to the hedged risk are recognized in the statement of operations. For derivatives designated as cash flow hedges, the effective portion of changes in the fair value of the derivative is initially reported in other comprehensive income, outside of earnings, and subsequently reclassified to earnings when the hedged transaction affects earnings.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terms of the Company’s derivative financial instruments at June 30, 2011: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20"/>
                <w:szCs w:val="20"/>
                <w:color w:val="auto"/>
              </w:rPr>
            </w:pPr>
            <w:r>
              <w:rPr>
                <w:rFonts w:ascii="Arial" w:cs="Arial" w:eastAsia="Arial" w:hAnsi="Arial"/>
                <w:sz w:val="14"/>
                <w:szCs w:val="14"/>
                <w:b w:val="1"/>
                <w:bCs w:val="1"/>
                <w:color w:val="auto"/>
              </w:rPr>
              <w:t>Hedge Product</w:t>
            </w:r>
          </w:p>
        </w:tc>
        <w:tc>
          <w:tcPr>
            <w:tcW w:w="30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Hedge Type</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Notional Amounts</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Strike</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Effective Dates</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Maturity Dates</w:t>
            </w:r>
          </w:p>
        </w:tc>
      </w:tr>
      <w:tr>
        <w:trPr>
          <w:trHeight w:val="142"/>
        </w:trPr>
        <w:tc>
          <w:tcPr>
            <w:tcW w:w="2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Cash Flow Hedge Swap Agreements</w:t>
            </w:r>
          </w:p>
        </w:tc>
        <w:tc>
          <w:tcPr>
            <w:tcW w:w="3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Cash Flow</w:t>
            </w:r>
          </w:p>
        </w:tc>
        <w:tc>
          <w:tcPr>
            <w:tcW w:w="28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$8,462 - $63,000</w:t>
            </w:r>
          </w:p>
        </w:tc>
        <w:tc>
          <w:tcPr>
            <w:tcW w:w="28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jc w:val="right"/>
              <w:ind w:right="288"/>
              <w:spacing w:after="0" w:line="142" w:lineRule="exact"/>
              <w:rPr>
                <w:sz w:val="20"/>
                <w:szCs w:val="20"/>
                <w:color w:val="auto"/>
              </w:rPr>
            </w:pPr>
            <w:r>
              <w:rPr>
                <w:rFonts w:ascii="Arial" w:cs="Arial" w:eastAsia="Arial" w:hAnsi="Arial"/>
                <w:sz w:val="14"/>
                <w:szCs w:val="14"/>
                <w:color w:val="auto"/>
              </w:rPr>
              <w:t>4.24% - 6.98%</w:t>
            </w:r>
          </w:p>
        </w:tc>
        <w:tc>
          <w:tcPr>
            <w:tcW w:w="28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2/1/2009 - 6/11/2010</w:t>
            </w:r>
          </w:p>
        </w:tc>
        <w:tc>
          <w:tcPr>
            <w:tcW w:w="28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6/30/2013 - 6/27/2016</w:t>
            </w:r>
          </w:p>
        </w:tc>
        <w:tc>
          <w:tcPr>
            <w:tcW w:w="100" w:type="dxa"/>
            <w:vAlign w:val="bottom"/>
            <w:tcBorders>
              <w:top w:val="single" w:sz="8" w:color="CCEEFF"/>
            </w:tcBorders>
            <w:shd w:val="clear" w:color="auto" w:fill="CCEEFF"/>
          </w:tcPr>
          <w:p>
            <w:pPr>
              <w:spacing w:after="0"/>
              <w:rPr>
                <w:sz w:val="12"/>
                <w:szCs w:val="1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Monthly interest payments were recognized as an increase or decrease in interest expense as follows:</w:t>
      </w:r>
    </w:p>
    <w:p>
      <w:pPr>
        <w:sectPr>
          <w:pgSz w:w="11900" w:h="16838" w:orient="portrait"/>
          <w:cols w:equalWidth="0" w:num="1">
            <w:col w:w="11420"/>
          </w:cols>
          <w:pgMar w:left="240" w:top="125" w:right="2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Classification of</w:t>
            </w: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7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Type</w:t>
            </w:r>
          </w:p>
        </w:tc>
        <w:tc>
          <w:tcPr>
            <w:tcW w:w="30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Income (Expense)</w:t>
            </w:r>
          </w:p>
        </w:tc>
        <w:tc>
          <w:tcPr>
            <w:tcW w:w="30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6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23"/>
        </w:trPr>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 Hedge Swap Agreements</w:t>
            </w:r>
          </w:p>
        </w:tc>
        <w:tc>
          <w:tcPr>
            <w:tcW w:w="19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7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(640</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the gains recognized on the interest rate swap agreements is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Gain (loss)</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Gain (loss)</w:t>
            </w:r>
          </w:p>
        </w:tc>
        <w:tc>
          <w:tcPr>
            <w:tcW w:w="2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Location of amounts</w:t>
            </w:r>
          </w:p>
        </w:tc>
        <w:tc>
          <w:tcPr>
            <w:tcW w:w="16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4"/>
              </w:rPr>
              <w:t>recognized in OCI</w:t>
            </w:r>
          </w:p>
        </w:tc>
        <w:tc>
          <w:tcPr>
            <w:tcW w:w="20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5"/>
              </w:rPr>
              <w:t>reclassified from OCI</w:t>
            </w:r>
          </w:p>
        </w:tc>
        <w:tc>
          <w:tcPr>
            <w:tcW w:w="1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ind w:right="125"/>
              <w:spacing w:after="0" w:line="142" w:lineRule="exact"/>
              <w:rPr>
                <w:sz w:val="20"/>
                <w:szCs w:val="20"/>
                <w:color w:val="auto"/>
              </w:rPr>
            </w:pPr>
            <w:r>
              <w:rPr>
                <w:rFonts w:ascii="Arial" w:cs="Arial" w:eastAsia="Arial" w:hAnsi="Arial"/>
                <w:sz w:val="14"/>
                <w:szCs w:val="14"/>
                <w:b w:val="1"/>
                <w:bCs w:val="1"/>
                <w:color w:val="auto"/>
                <w:w w:val="89"/>
              </w:rPr>
              <w:t>Six months ended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line="142" w:lineRule="exact"/>
              <w:rPr>
                <w:sz w:val="20"/>
                <w:szCs w:val="20"/>
                <w:color w:val="auto"/>
              </w:rPr>
            </w:pPr>
            <w:r>
              <w:rPr>
                <w:rFonts w:ascii="Arial" w:cs="Arial" w:eastAsia="Arial" w:hAnsi="Arial"/>
                <w:sz w:val="14"/>
                <w:szCs w:val="14"/>
                <w:b w:val="1"/>
                <w:bCs w:val="1"/>
                <w:color w:val="auto"/>
              </w:rPr>
              <w:t>Type</w:t>
            </w:r>
          </w:p>
        </w:tc>
        <w:tc>
          <w:tcPr>
            <w:tcW w:w="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center"/>
              <w:ind w:right="144"/>
              <w:spacing w:after="0" w:line="142" w:lineRule="exact"/>
              <w:rPr>
                <w:sz w:val="20"/>
                <w:szCs w:val="20"/>
                <w:color w:val="auto"/>
              </w:rPr>
            </w:pPr>
            <w:r>
              <w:rPr>
                <w:rFonts w:ascii="Arial" w:cs="Arial" w:eastAsia="Arial" w:hAnsi="Arial"/>
                <w:sz w:val="14"/>
                <w:szCs w:val="14"/>
                <w:b w:val="1"/>
                <w:bCs w:val="1"/>
                <w:color w:val="auto"/>
                <w:w w:val="90"/>
              </w:rPr>
              <w:t>June 30, 2011</w:t>
            </w:r>
          </w:p>
        </w:tc>
        <w:tc>
          <w:tcPr>
            <w:tcW w:w="280" w:type="dxa"/>
            <w:vAlign w:val="bottom"/>
          </w:tcPr>
          <w:p>
            <w:pPr>
              <w:spacing w:after="0"/>
              <w:rPr>
                <w:sz w:val="12"/>
                <w:szCs w:val="12"/>
                <w:color w:val="auto"/>
              </w:rPr>
            </w:pPr>
          </w:p>
        </w:tc>
        <w:tc>
          <w:tcPr>
            <w:tcW w:w="20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9"/>
              </w:rPr>
              <w:t>into income</w:t>
            </w:r>
          </w:p>
        </w:tc>
        <w:tc>
          <w:tcPr>
            <w:tcW w:w="160" w:type="dxa"/>
            <w:vAlign w:val="bottom"/>
          </w:tcPr>
          <w:p>
            <w:pPr>
              <w:spacing w:after="0"/>
              <w:rPr>
                <w:sz w:val="12"/>
                <w:szCs w:val="12"/>
                <w:color w:val="auto"/>
              </w:rPr>
            </w:pPr>
          </w:p>
        </w:tc>
        <w:tc>
          <w:tcPr>
            <w:tcW w:w="15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0"/>
              </w:rPr>
              <w:t>June 30, 2011</w:t>
            </w:r>
          </w:p>
        </w:tc>
        <w:tc>
          <w:tcPr>
            <w:tcW w:w="0" w:type="dxa"/>
            <w:vAlign w:val="bottom"/>
          </w:tcPr>
          <w:p>
            <w:pPr>
              <w:spacing w:after="0"/>
              <w:rPr>
                <w:sz w:val="1"/>
                <w:szCs w:val="1"/>
                <w:color w:val="auto"/>
              </w:rPr>
            </w:pPr>
          </w:p>
        </w:tc>
      </w:tr>
      <w:tr>
        <w:trPr>
          <w:trHeight w:val="210"/>
        </w:trPr>
        <w:tc>
          <w:tcPr>
            <w:tcW w:w="37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 Hedge Swap Agreements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7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interest rate swap agreements were highly effective for the three and six months ended June 30, 2011. The gain (loss) reclassified from other comprehensive income (“OCI”) in the preceding table represents the effective portion of the Company’s cash flow hedges reclassified from OCI to interest expense during the six months ended June 30,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balance sheet classification and carrying amounts of the derivative instruments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Asset (Liability) Derivatives</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w:t>
            </w:r>
          </w:p>
        </w:tc>
        <w:tc>
          <w:tcPr>
            <w:tcW w:w="2040" w:type="dxa"/>
            <w:vAlign w:val="bottom"/>
            <w:tcBorders>
              <w:bottom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June 30, 2011</w:t>
            </w:r>
          </w:p>
        </w:tc>
        <w:tc>
          <w:tcPr>
            <w:tcW w:w="9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December 31, 2010</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4220" w:type="dxa"/>
            <w:vAlign w:val="bottom"/>
            <w:gridSpan w:val="2"/>
            <w:vMerge w:val="continue"/>
          </w:tcPr>
          <w:p>
            <w:pPr>
              <w:spacing w:after="0"/>
              <w:rPr>
                <w:sz w:val="10"/>
                <w:szCs w:val="10"/>
                <w:color w:val="auto"/>
              </w:rPr>
            </w:pPr>
          </w:p>
        </w:tc>
        <w:tc>
          <w:tcPr>
            <w:tcW w:w="1380" w:type="dxa"/>
            <w:vAlign w:val="bottom"/>
          </w:tcPr>
          <w:p>
            <w:pPr>
              <w:jc w:val="right"/>
              <w:ind w:right="182"/>
              <w:spacing w:after="0" w:line="119" w:lineRule="exact"/>
              <w:rPr>
                <w:sz w:val="20"/>
                <w:szCs w:val="20"/>
                <w:color w:val="auto"/>
              </w:rPr>
            </w:pPr>
            <w:r>
              <w:rPr>
                <w:rFonts w:ascii="Arial" w:cs="Arial" w:eastAsia="Arial" w:hAnsi="Arial"/>
                <w:sz w:val="13"/>
                <w:szCs w:val="13"/>
                <w:b w:val="1"/>
                <w:bCs w:val="1"/>
                <w:color w:val="auto"/>
              </w:rPr>
              <w:t>Balance Sheet</w:t>
            </w: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jc w:val="center"/>
              <w:ind w:right="285"/>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460" w:type="dxa"/>
            <w:vAlign w:val="bottom"/>
          </w:tcPr>
          <w:p>
            <w:pPr>
              <w:spacing w:after="0"/>
              <w:rPr>
                <w:sz w:val="10"/>
                <w:szCs w:val="10"/>
                <w:color w:val="auto"/>
              </w:rPr>
            </w:pPr>
          </w:p>
        </w:tc>
        <w:tc>
          <w:tcPr>
            <w:tcW w:w="900" w:type="dxa"/>
            <w:vAlign w:val="bottom"/>
          </w:tcPr>
          <w:p>
            <w:pPr>
              <w:jc w:val="center"/>
              <w:ind w:right="404"/>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instruments:</w:t>
            </w:r>
          </w:p>
        </w:tc>
        <w:tc>
          <w:tcPr>
            <w:tcW w:w="1380" w:type="dxa"/>
            <w:vAlign w:val="bottom"/>
          </w:tcPr>
          <w:p>
            <w:pPr>
              <w:jc w:val="right"/>
              <w:ind w:right="342"/>
              <w:spacing w:after="0"/>
              <w:rPr>
                <w:sz w:val="20"/>
                <w:szCs w:val="20"/>
                <w:color w:val="auto"/>
              </w:rPr>
            </w:pPr>
            <w:r>
              <w:rPr>
                <w:rFonts w:ascii="Arial" w:cs="Arial" w:eastAsia="Arial" w:hAnsi="Arial"/>
                <w:sz w:val="14"/>
                <w:szCs w:val="14"/>
                <w:b w:val="1"/>
                <w:bCs w:val="1"/>
                <w:color w:val="auto"/>
              </w:rPr>
              <w:t>Location</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Location</w:t>
            </w:r>
          </w:p>
        </w:tc>
        <w:tc>
          <w:tcPr>
            <w:tcW w:w="460" w:type="dxa"/>
            <w:vAlign w:val="bottom"/>
          </w:tcPr>
          <w:p>
            <w:pPr>
              <w:spacing w:after="0"/>
              <w:rPr>
                <w:sz w:val="14"/>
                <w:szCs w:val="14"/>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 Hedge Swap Agreements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CCEEFF"/>
            </w:tcBorders>
            <w:shd w:val="clear" w:color="auto" w:fill="CCEEFF"/>
          </w:tcPr>
          <w:p>
            <w:pPr>
              <w:jc w:val="right"/>
              <w:ind w:right="182"/>
              <w:spacing w:after="0"/>
              <w:rPr>
                <w:sz w:val="20"/>
                <w:szCs w:val="20"/>
                <w:color w:val="auto"/>
              </w:rPr>
            </w:pPr>
            <w:r>
              <w:rPr>
                <w:rFonts w:ascii="Arial" w:cs="Arial" w:eastAsia="Arial" w:hAnsi="Arial"/>
                <w:sz w:val="18"/>
                <w:szCs w:val="18"/>
                <w:color w:val="auto"/>
                <w:w w:val="93"/>
              </w:rPr>
              <w:t>Other liabilities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vMerge w:val="restart"/>
          </w:tcPr>
          <w:p>
            <w:pPr>
              <w:jc w:val="right"/>
              <w:ind w:right="62"/>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39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 REPRESENTED BY PREFERRED OPERATING PARTNERSHIP UNITS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On June 15, 2007, the Operating Partnership entered into a Contribution Agreement with various limited partnerships affiliated with AAAAA Rent-A-Space to acquire ten self-storage facilities (the “Properties”) in exchange for 989,980 Preferred OP units of the Operating Partnership. The self-storage facilities are located in California and Hawaii.</w:t>
      </w:r>
    </w:p>
    <w:p>
      <w:pPr>
        <w:spacing w:after="0" w:line="18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On June 25, 2007, the Operating Partnership loaned the holders of the Preferred OP units $100,000. The note receivable bears interest at 4.85% and is due September 1, 2017. The loan is secured by the borrower’s Preferred OP units. The holders of the Preferred OP units can convert up to 114,500 Preferred OP units prior to the maturity date of the loan. If any redemption in excess of 114,500 Preferred OP units occurs prior to the maturity date, the holder of the Preferred OP units is required to repay the loan as of the date of that Preferred OP unit redemption. Preferred OP units are shown on the balance sheet net of the $100,000 loan because the borrower under the loan receivable is also the holder of the Preferred OP units.</w:t>
      </w:r>
    </w:p>
    <w:p>
      <w:pPr>
        <w:spacing w:after="0" w:line="1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Operating Partnership entered into a Second Amended and Restated Agreement of Limited Partnership (as subsequently amended, the “Partnership Agreement”) which provides for the designation and issuance of the Preferred OP units. The Preferred OP units will have priority over all other partnership interests of the Operating Partnership with respect to distributions and liquidation.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Under the Partnership Agreement, Preferred OP units in the amount of $115,000 bear a fixed priority return of 5% and have a fixed liquidation value of</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$115,000. The remaining balance participates in distributions with, and has a liquidation value equal to, that of the common OP units. The Preferred OP units became redeemable at the option of the holder on September 1, 2008, which redemption obligation may be satisfied, at the Company’s option, in cash or shares of its common stock.</w:t>
      </w:r>
    </w:p>
    <w:p>
      <w:pPr>
        <w:spacing w:after="0" w:line="19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evaluated the terms of the Preferred OP units and classifies the noncontrolling interest represented by the Preferred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18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 IN OPERATING PARTNERSHIP</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Company’s interest in its properties is held through the Operating Partnership. ESS Holding Business Trust I, a wholly owned subsidiary of the Company, is the sole general partner of the Operating Partnership. The Company, through ESS Holding Business Trust II, a wholly owned subsidiary of the Company, is also a limited partner of the Operating Partnership. Between its general partner and limited partner interests, the Company held a 95.9% majority ownership interest therein as of June 30, 2011. The remaining ownership interests in the Operating Partnership (including Preferred OP units) of 4.1% are held by certain former owners of assets acquired by the Operating Partnership. As of June 30, 2011, the Operating Partnership had 3,049,935 common OP units outstanding.</w:t>
      </w:r>
    </w:p>
    <w:p>
      <w:pPr>
        <w:spacing w:after="0" w:line="15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noncontrolling interest in the Operating Partnership represents common OP units that are not owned by the Company. In conjunction with the formation of the Company and as a result of subsequent acquisitions, certain persons and entities contributing interests in properties to the Operating Partnership received limited partnership units in the form of either OP units or Contingent Conversion Units. Limited partners who received OP units in the formation transactions or in exchange for contributions for interests in properties have the right to require the Operating Partnership to redeem part or all of their common OP units for cash based upon the fair market value of an equivalent number of shares of the Company’s common stock (ten-day average) at the time of the redemption. Alternatively, the Company may, at its option, elect to acquire those OP units in exchange for shares of its common stock on a one-for-one</w:t>
      </w:r>
    </w:p>
    <w:p>
      <w:pPr>
        <w:sectPr>
          <w:pgSz w:w="11900" w:h="16838" w:orient="portrait"/>
          <w:cols w:equalWidth="0" w:num="1">
            <w:col w:w="11460"/>
          </w:cols>
          <w:pgMar w:left="240" w:top="333" w:right="199" w:bottom="0" w:gutter="0" w:footer="0" w:header="0"/>
        </w:sectPr>
      </w:pPr>
    </w:p>
    <w:bookmarkStart w:id="10" w:name="page11"/>
    <w:bookmarkEnd w:id="10"/>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basis, subject to anti-dilution adjustments provided in the Partnership Agreement. The ten-day average closing stock price at June 30, 2011 was $20.66 and there were 3,049,935 common OP units outstanding. Assuming that all of the unit holders exercised their right to redeem all of their common OP units on June 30, 2011 and the Company elected to pay the noncontrolling members cash, the Company would have paid $63,012 in cash consideration to redeem the OP units.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has evaluated the terms of the common OP units and classifies the noncontrolling interest in the Operating Partnership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NONCONTROLLING INTERESTS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Other noncontrolling interests represent the ownership interests of various third parties in three consolidated self-storage properties as of June 30, 2011. Two of these consolidated properties were under development, and one was in the lease-up stage at June 30, 2011. The ownership interests of the third-party owners range from 5.0% to 27.6%. Other noncontrolling interests are included in the stockholders’ equity section of the Company’s condensed consolidated balance sheet. The income or losses attributable to these third- party owners based on their ownership percentages are reflected in net income allocated to the Operating Partnership and other noncontrolling interests in the condensed consolidated statement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OFFERING</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May 2011, the Company closed a public stock offering of 5,335,423 shares of its common stock at an offering price of $21.16 per share. The Company received gross proceeds of $112,898. Transaction costs were $366 for net proceeds of $112,532.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operates in three distinct segments: (1) property management, acquisition and development; (2) rental operations; and (3) tenant reinsurance.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the Company’s business segments is set forth below:</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June 30, 2011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Investment in real estate ventures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137,997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350,243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400,910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1,939,044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Tenant reinsurance</w:t>
            </w: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21,570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16,408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2,310,857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2,248,468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w:t>
            </w: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Total revenues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6,144</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12,111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64,300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56,786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125,790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78,040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68,777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152,521</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Operating expenses, including depreciation and amortization</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14,854</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11,855</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27,536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35,952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32,659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72,106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52,188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45,971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102,639</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(8,710)</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(15,425)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28,348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24,127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53,684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25,852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22,806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49,882</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51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(1,605)</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(15,878)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(15,859)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(31,938)</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(33,543)</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187</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209</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366</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w w:val="90"/>
              </w:rPr>
              <w:t>Interest income on note receivable from Preferred Operating Partnership unit</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holder</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1,212</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2,425</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real estate ventures</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2,376</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1,559</w:t>
            </w:r>
          </w:p>
        </w:tc>
        <w:tc>
          <w:tcPr>
            <w:tcW w:w="180" w:type="dxa"/>
            <w:vAlign w:val="bottom"/>
          </w:tcPr>
          <w:p>
            <w:pPr>
              <w:spacing w:after="0"/>
              <w:rPr>
                <w:sz w:val="18"/>
                <w:szCs w:val="18"/>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4,187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6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(1,214)</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(665)</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(8,134)</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(5,571)</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(14,239)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25,933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Tenant reinsurance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5,805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10,963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22,657</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 expense</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852</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484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1,627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26,050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27,677</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24,621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Statement of Cash Flows</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real estate assets</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(82,071)</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Development and construction of real estate assets</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(4,494)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17</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5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guaranteed loans for unconsolidated joint ventures as follows: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Loan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Guaranteed</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Date of</w:t>
            </w: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Loan Amount</w:t>
            </w: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Guaranty</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82"/>
        </w:trPr>
        <w:tc>
          <w:tcPr>
            <w:tcW w:w="27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Extra Space of Montrose Avenue</w:t>
            </w:r>
          </w:p>
        </w:tc>
        <w:tc>
          <w:tcPr>
            <w:tcW w:w="13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LLC</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Dec-10</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Dec-13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4,838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Extra Space of Sacramento One</w:t>
            </w: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LLC</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Apr-09</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Apr-14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4,307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9,826</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ESS Baltimore LLC</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Nov-04</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Feb-13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4,072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If the joint ventures default on the loans, the Company may be forced to repay the loans. Repossessing and/or selling the self-storage facilities and land that collateralizes the loans could provide funds sufficient to reimburse the Company. The Company has recorded no liability in relation to these guarantees as of June 30, 2011, as the fair value of the guarantees was not material. The Company believes the risk of incurring a material loss as a result of having to perform on these guarantees is unlikely.</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has been involved in routine litigation arising in the ordinary course of business. As of June 30, 2011, the Company was not involved in any material litigation nor, to its knowledge, was any material litigation threatened against it which, in the opinion of management, is expected to have a material adverse effect on the Company’s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July 8, 2011, the Company purchased one property located in Maryland for $5,650.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August 1, 2011, the Company purchased one property located in Maryland for $7,250.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August 2, 2011, the Company purchased one property located in Texas for $2,400.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12" w:name="page13"/>
    <w:bookmarkEnd w:id="12"/>
    <w:p>
      <w:pPr>
        <w:spacing w:after="0" w:line="96"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and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following discussion and analysis should be read in conjunction with our “</w:t>
      </w:r>
      <w:r>
        <w:rPr>
          <w:rFonts w:ascii="Arial" w:cs="Arial" w:eastAsia="Arial" w:hAnsi="Arial"/>
          <w:sz w:val="17"/>
          <w:szCs w:val="17"/>
          <w:i w:val="1"/>
          <w:iCs w:val="1"/>
          <w:color w:val="auto"/>
        </w:rPr>
        <w:t>Unaudited Condensed Consolidated Financial Statements”</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Notes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Unaudited Condensed Consolidated Financial Statements” </w:t>
      </w:r>
      <w:r>
        <w:rPr>
          <w:rFonts w:ascii="Arial" w:cs="Arial" w:eastAsia="Arial" w:hAnsi="Arial"/>
          <w:sz w:val="17"/>
          <w:szCs w:val="17"/>
          <w:color w:val="auto"/>
        </w:rPr>
        <w:t>appearing elsewhere in this report and the</w:t>
      </w:r>
      <w:r>
        <w:rPr>
          <w:rFonts w:ascii="Arial" w:cs="Arial" w:eastAsia="Arial" w:hAnsi="Arial"/>
          <w:sz w:val="17"/>
          <w:szCs w:val="17"/>
          <w:i w:val="1"/>
          <w:iCs w:val="1"/>
          <w:color w:val="auto"/>
        </w:rPr>
        <w:t xml:space="preserve"> “Consolidated Financial Statements,” “Notes to Consolidated Financial Statements”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“Management’s Discussion and Analysis of Financial Condition and Results of Operations” </w:t>
      </w:r>
      <w:r>
        <w:rPr>
          <w:rFonts w:ascii="Arial" w:cs="Arial" w:eastAsia="Arial" w:hAnsi="Arial"/>
          <w:sz w:val="17"/>
          <w:szCs w:val="17"/>
          <w:color w:val="auto"/>
        </w:rPr>
        <w:t>contained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Form 10-K for the year ended December 31, 2010. We make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7"/>
          <w:szCs w:val="17"/>
          <w:i w:val="1"/>
          <w:iCs w:val="1"/>
          <w:color w:val="auto"/>
        </w:rPr>
        <w:t>Statement on Forward-Looking</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 (Amounts in thousands except property and share data unless otherwise stated).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GAAP. Our notes to the unaudited condensed consolidated financial statements contained elsewhere in this report and the audited financial statements contained in our Form 10-K for the year ended December 31, 2010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that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6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 fully integrated, self-administered and self-managed REIT, formed to continue the business commenced in 1977 by our predecessor companies to own, operate, manage, acquire, develop and redevelop professionally managed self-storage properties. We derive our revenues from rents received from tenants under existing leases at each of our self-storage properties, management fees on the properties we manage for joint venture partners, franchisees and unaffiliated third parties and our tenant reinsurance program. Our management fee is equal to approximately 6% of total revenues generated by the managed properties.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operate in competitive markets, often where consumers have multiple self-storage properties from which to choose. Competition has impacted, and will continue to impact, our property results. We experience seasonal fluctuations in occupancy levels, with occupancy levels generally higher in the summer months due to increased moving activity. Our operating results depend materially on our ability to lease available self-storage units, to actively manage rental rates, and on the ability of our tenants to make required rental payments. We believe we are able to respond quickly and effectively to changes in local, regional and national economic conditions by centrally adjusting rental rates through the combination of our revenue management team and our industry-leading technology systems.</w:t>
      </w:r>
    </w:p>
    <w:p>
      <w:pPr>
        <w:spacing w:after="0" w:line="19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continue to evaluate a range of new initiatives and opportunities in order to enable us to maximize stockholder value. Our strategies to maximize stockholder value include the following:</w:t>
      </w:r>
    </w:p>
    <w:p>
      <w:pPr>
        <w:spacing w:after="0" w:line="170" w:lineRule="exact"/>
        <w:rPr>
          <w:sz w:val="20"/>
          <w:szCs w:val="20"/>
          <w:color w:val="auto"/>
        </w:rPr>
      </w:pPr>
    </w:p>
    <w:p>
      <w:pPr>
        <w:ind w:left="760" w:right="640" w:hanging="376"/>
        <w:spacing w:after="0" w:line="277" w:lineRule="auto"/>
        <w:tabs>
          <w:tab w:leader="none" w:pos="72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Maximize the performance of properties through strategic, efficient and proactive management. </w:t>
      </w:r>
      <w:r>
        <w:rPr>
          <w:rFonts w:ascii="Arial" w:cs="Arial" w:eastAsia="Arial" w:hAnsi="Arial"/>
          <w:sz w:val="18"/>
          <w:szCs w:val="18"/>
          <w:color w:val="auto"/>
        </w:rPr>
        <w:t>We pursue revenue generating and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minimizing opportunities in our operations. Our revenue management team seeks to maximize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760" w:right="380"/>
        <w:spacing w:after="0" w:line="264" w:lineRule="auto"/>
        <w:rPr>
          <w:sz w:val="20"/>
          <w:szCs w:val="20"/>
          <w:color w:val="auto"/>
        </w:rPr>
      </w:pPr>
      <w:r>
        <w:rPr>
          <w:rFonts w:ascii="Arial" w:cs="Arial" w:eastAsia="Arial" w:hAnsi="Arial"/>
          <w:sz w:val="18"/>
          <w:szCs w:val="18"/>
          <w:color w:val="auto"/>
        </w:rPr>
        <w:t>revenue by responding to changing market conditions through our technology system’s ability to provide real-time, interactive rental rate and discount management. Our size allows greater ability than the majority of our competitors to implement national, regional and local marketing programs, which we believe will attract more customers to our stores at a lower net cost.</w:t>
      </w:r>
    </w:p>
    <w:p>
      <w:pPr>
        <w:spacing w:after="0" w:line="181" w:lineRule="exact"/>
        <w:rPr>
          <w:sz w:val="20"/>
          <w:szCs w:val="20"/>
          <w:color w:val="auto"/>
        </w:rPr>
      </w:pPr>
    </w:p>
    <w:p>
      <w:pPr>
        <w:ind w:left="760" w:hanging="376"/>
        <w:spacing w:after="0" w:line="259" w:lineRule="auto"/>
        <w:tabs>
          <w:tab w:leader="none" w:pos="726"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Acquire self-storage properties from strategic partners and third parties. </w:t>
      </w:r>
      <w:r>
        <w:rPr>
          <w:rFonts w:ascii="Arial" w:cs="Arial" w:eastAsia="Arial" w:hAnsi="Arial"/>
          <w:sz w:val="18"/>
          <w:szCs w:val="18"/>
          <w:color w:val="auto"/>
        </w:rPr>
        <w:t>Our acquisitions team continues to pursue the acquisition of single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and multi-property portfolios that we believe can provide stockholder value. We have established a reputation as a reliable, ethical buyer, which we believe enhances our ability to negotiate and close acquisitions. In addition, we believe our status as an UPREIT enables flexibility when structuring deals.</w:t>
      </w:r>
    </w:p>
    <w:p>
      <w:pPr>
        <w:spacing w:after="0" w:line="186" w:lineRule="exact"/>
        <w:rPr>
          <w:rFonts w:ascii="Arial" w:cs="Arial" w:eastAsia="Arial" w:hAnsi="Arial"/>
          <w:sz w:val="18"/>
          <w:szCs w:val="18"/>
          <w:color w:val="auto"/>
        </w:rPr>
      </w:pPr>
    </w:p>
    <w:p>
      <w:pPr>
        <w:ind w:left="760" w:right="120" w:hanging="376"/>
        <w:spacing w:after="0" w:line="302" w:lineRule="auto"/>
        <w:tabs>
          <w:tab w:leader="none" w:pos="726"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Expand our management business</w:t>
      </w:r>
      <w:r>
        <w:rPr>
          <w:rFonts w:ascii="Arial" w:cs="Arial" w:eastAsia="Arial" w:hAnsi="Arial"/>
          <w:sz w:val="16"/>
          <w:szCs w:val="16"/>
          <w:color w:val="auto"/>
        </w:rPr>
        <w:t>. Our management business enables us to generate increased revenues through management fees and expand our</w:t>
      </w:r>
      <w:r>
        <w:rPr>
          <w:rFonts w:ascii="Arial" w:cs="Arial" w:eastAsia="Arial" w:hAnsi="Arial"/>
          <w:sz w:val="16"/>
          <w:szCs w:val="16"/>
          <w:i w:val="1"/>
          <w:iCs w:val="1"/>
          <w:color w:val="auto"/>
        </w:rPr>
        <w:t xml:space="preserve"> </w:t>
      </w:r>
      <w:r>
        <w:rPr>
          <w:rFonts w:ascii="Arial" w:cs="Arial" w:eastAsia="Arial" w:hAnsi="Arial"/>
          <w:sz w:val="16"/>
          <w:szCs w:val="16"/>
          <w:color w:val="auto"/>
        </w:rPr>
        <w:t>geographic footprint. This expanded footprint enables us to reduce our operating costs through economies of scale. In addition, we see our management business as a future acquisition pipeline. We pursue strategic relationships with owners that strengthen our acquisition pipeline through agreements that typically give us first right of refusal to purchase the managed property in the event of a potential sale.</w:t>
      </w:r>
    </w:p>
    <w:p>
      <w:pPr>
        <w:spacing w:after="0" w:line="15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U.S. and international market and economic conditions have been challenging with tighter credit conditions and slower growth. For the six months ended June 30, 2011, concerns about the systemic impact of inflation, energy costs, geopolitical issues, and other macro-economic factors have contributed to</w:t>
      </w:r>
    </w:p>
    <w:p>
      <w:pPr>
        <w:sectPr>
          <w:pgSz w:w="11900" w:h="16935" w:orient="portrait"/>
          <w:cols w:equalWidth="0" w:num="1">
            <w:col w:w="11400"/>
          </w:cols>
          <w:pgMar w:left="240" w:top="368" w:right="259" w:bottom="0" w:gutter="0" w:footer="0" w:header="0"/>
        </w:sectPr>
      </w:pPr>
    </w:p>
    <w:bookmarkStart w:id="13" w:name="page14"/>
    <w:bookmarkEnd w:id="13"/>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market volatility and diminished expectations for the global economy. Turbulence in U.S. and international markets and economies may adversely affect our liquidity and financial condition, and the financial condition of our customers. If these market conditions continue, they may result in an adverse effect on our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June 30, 2011, we owned or had ownership interests in 680 operating self-storage properties. Of these properties, 325 are wholly-owned and 355 are held in joint ventures. In addition, we managed an additional 180 properties for franchisees or third parties bringing the total number of operating properties that we own and/or manage to 860. These properties are located in 34 states and Washington, D.C. As of June 30, 2011, we owned and/or managed approximately 62 million square feet of space with more than 560,000 units.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properties are generally situated in convenient, highly visible locations clustered around large population centers such as Atlanta, Baltimore/Washington, D.C., Boston, Chicago, Dallas, Houston, Las Vegas, Los Angeles, Miami, New York City, Orlando, Philadelphia, Phoenix, St. Petersburg/Tampa and San Francisco/Oakland. These areas all enjoy above-average population growth and income levels. The clustering of assets around these population centers enables us to reduce our operating costs through economies of scale.</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consider a property to be in the lease-up stage after it has been issued a certificate of occupancy, but before it has achieved stabilization. We consider a property to be stabilized once it has achieved either an 80% occupancy rate for a full year measured as of January 1, or has been open for three years. Although leases are short-term in duration, the typical tenant tends to remain at our properties for an extended period of time. For properties that were stabilized as of June 30, 2011, the median length of stay was approximately 13 months. The average annual rent per square foot at these stabilized properties was $13.23 at June 30, 2011, compared to $13.25 at June 30, 2010.</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property portfolio is made up of different types of construction and building configurations depending on the site and the municipality where it is located. Most often sites are what we consider “hybrid” facilities, a mix of both drive-up buildings and multi-floor buildings. We have a number of multi-floor buildings with elevator access only, and a number of facilities featuring ground-floor access only.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sets forth additional information regarding the occupancy of our stabilized properties on a state-by-state basis as of June 30, 2011 and 2010. The information as of June 30, 2010 is on a pro forma basis as though all the properties owned and/or managed at June 30, 2011 were under our control as of June 30,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Stabilized Property Data Based on Location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Pro forma</w:t>
            </w:r>
          </w:p>
        </w:tc>
        <w:tc>
          <w:tcPr>
            <w:tcW w:w="13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3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Pro forma</w:t>
            </w:r>
          </w:p>
        </w:tc>
        <w:tc>
          <w:tcPr>
            <w:tcW w:w="13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Company</w:t>
            </w:r>
          </w:p>
        </w:tc>
        <w:tc>
          <w:tcPr>
            <w:tcW w:w="12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Pro forma</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200" w:type="dxa"/>
            <w:vAlign w:val="bottom"/>
          </w:tcPr>
          <w:p>
            <w:pPr>
              <w:spacing w:after="0"/>
              <w:rPr>
                <w:sz w:val="8"/>
                <w:szCs w:val="8"/>
                <w:color w:val="auto"/>
              </w:rPr>
            </w:pPr>
          </w:p>
        </w:tc>
        <w:tc>
          <w:tcPr>
            <w:tcW w:w="11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200" w:type="dxa"/>
            <w:vAlign w:val="bottom"/>
          </w:tcPr>
          <w:p>
            <w:pPr>
              <w:spacing w:after="0"/>
              <w:rPr>
                <w:sz w:val="8"/>
                <w:szCs w:val="8"/>
                <w:color w:val="auto"/>
              </w:rPr>
            </w:pPr>
          </w:p>
        </w:tc>
        <w:tc>
          <w:tcPr>
            <w:tcW w:w="11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220" w:type="dxa"/>
            <w:vAlign w:val="bottom"/>
          </w:tcPr>
          <w:p>
            <w:pPr>
              <w:spacing w:after="0"/>
              <w:rPr>
                <w:sz w:val="8"/>
                <w:szCs w:val="8"/>
                <w:color w:val="auto"/>
              </w:rPr>
            </w:pPr>
          </w:p>
        </w:tc>
        <w:tc>
          <w:tcPr>
            <w:tcW w:w="11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ind w:left="160"/>
              <w:spacing w:after="0" w:line="122" w:lineRule="exact"/>
              <w:rPr>
                <w:sz w:val="20"/>
                <w:szCs w:val="20"/>
                <w:color w:val="auto"/>
              </w:rPr>
            </w:pPr>
            <w:r>
              <w:rPr>
                <w:rFonts w:ascii="Arial" w:cs="Arial" w:eastAsia="Arial" w:hAnsi="Arial"/>
                <w:sz w:val="11"/>
                <w:szCs w:val="11"/>
                <w:b w:val="1"/>
                <w:bCs w:val="1"/>
                <w:color w:val="auto"/>
              </w:rPr>
              <w:t>Number of</w:t>
            </w:r>
          </w:p>
        </w:tc>
        <w:tc>
          <w:tcPr>
            <w:tcW w:w="17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7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3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Feet as of</w:t>
            </w:r>
          </w:p>
        </w:tc>
        <w:tc>
          <w:tcPr>
            <w:tcW w:w="13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5"/>
              </w:rPr>
              <w:t>Feet as of</w:t>
            </w:r>
          </w:p>
        </w:tc>
        <w:tc>
          <w:tcPr>
            <w:tcW w:w="13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Occupancy %</w:t>
            </w:r>
          </w:p>
        </w:tc>
        <w:tc>
          <w:tcPr>
            <w:tcW w:w="12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1"/>
              </w:rPr>
              <w:t>Occupancy %</w:t>
            </w:r>
          </w:p>
        </w:tc>
        <w:tc>
          <w:tcPr>
            <w:tcW w:w="0" w:type="dxa"/>
            <w:vAlign w:val="bottom"/>
          </w:tcPr>
          <w:p>
            <w:pPr>
              <w:spacing w:after="0"/>
              <w:rPr>
                <w:sz w:val="1"/>
                <w:szCs w:val="1"/>
                <w:color w:val="auto"/>
              </w:rPr>
            </w:pPr>
          </w:p>
        </w:tc>
      </w:tr>
      <w:tr>
        <w:trPr>
          <w:trHeight w:val="135"/>
        </w:trPr>
        <w:tc>
          <w:tcPr>
            <w:tcW w:w="1740" w:type="dxa"/>
            <w:vAlign w:val="bottom"/>
            <w:gridSpan w:val="3"/>
          </w:tcPr>
          <w:p>
            <w:pPr>
              <w:spacing w:after="0"/>
              <w:rPr>
                <w:sz w:val="20"/>
                <w:szCs w:val="20"/>
                <w:color w:val="auto"/>
              </w:rPr>
            </w:pPr>
            <w:r>
              <w:rPr>
                <w:rFonts w:ascii="Arial" w:cs="Arial" w:eastAsia="Arial" w:hAnsi="Arial"/>
                <w:sz w:val="11"/>
                <w:szCs w:val="11"/>
                <w:b w:val="1"/>
                <w:bCs w:val="1"/>
                <w:color w:val="auto"/>
              </w:rPr>
              <w:t>Location</w:t>
            </w: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Properties</w:t>
            </w:r>
          </w:p>
        </w:tc>
        <w:tc>
          <w:tcPr>
            <w:tcW w:w="1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June 30, 2011 (1)</w:t>
            </w:r>
          </w:p>
        </w:tc>
        <w:tc>
          <w:tcPr>
            <w:tcW w:w="1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June 30, 2010</w:t>
            </w:r>
          </w:p>
        </w:tc>
        <w:tc>
          <w:tcPr>
            <w:tcW w:w="13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June 30, 2011 (2)</w:t>
            </w:r>
          </w:p>
        </w:tc>
        <w:tc>
          <w:tcPr>
            <w:tcW w:w="13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June 30, 2010</w:t>
            </w:r>
          </w:p>
        </w:tc>
        <w:tc>
          <w:tcPr>
            <w:tcW w:w="13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June 30, 2011</w:t>
            </w: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June 30, 2010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Wholly-owned properties</w:t>
            </w: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Alabama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1,396</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1,368</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173,419</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173,779</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86.7%</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87.3%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Arizona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2,795</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2,805</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356,820</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347,198</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89.7%</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86.7%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California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46</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36,074</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36,238</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3,587,689</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3,582,949</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87.3%</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83.3%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Colorado</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4,508</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4,524</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569,286</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569,884</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90.6%</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90.8%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Connecticut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1,980</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2,011</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178,030</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178,040</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93.6%</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91.8%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18,206</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18,269</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1,944,945</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1,945,619</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86.9%</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84.3%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Georgia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12</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6,421</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6,425</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836,908</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837,283</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88.5%</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85.4%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Hawaii</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2,799</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2,846</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145,812</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145,694</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87.5%</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80.9%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Illinois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7</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4,493</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4,501</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465,002</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467,649</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84.9%</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82.0%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Indiana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4,412</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4,430</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511,034</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511,034</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88.3%</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83.2%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Kansas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506</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507</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50,340</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50,310</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95.2%</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88.8%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Kentucky</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2,188</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2,201</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254,191</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254,191</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91.4%</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87.4%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Louisiana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1,413</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1,412</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150,165</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150,035</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90.1%</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87.7%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Maryland</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9,328</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9,337</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1,017,601</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1,017,081</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90.5%</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89.9%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Massachusetts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28</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16,730</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16,733</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1,718,082</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1,722,676</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90.0%</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85.6%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Michigan</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1,020</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1,017</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134,674</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134,706</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90.3%</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90.3%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Missouri</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3,157</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3,141</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374,962</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374,572</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91.0%</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88.0%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Nevada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989</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989</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130,040</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129,598</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67.2%</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68.6%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New Hampshire</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1,007</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1,007</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125,473</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125,473</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90.0%</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84.6%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Jersey</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20,069</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20,121</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1,971,586</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1,973,931</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89.8%</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87.3%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New Mexico</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536</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538</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71,395</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71,395</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92.8%</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92.4%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York</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9,223</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9,251</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712,408</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675,269</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88.0%</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83.2%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Ohio</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14</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8,765</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8,699</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994,064</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994,659</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78.1%</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74.8%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Oregon</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770</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769</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103,130</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103,230</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93.9%</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91.1%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Pennsylvania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5,776</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5,804</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655,555</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656,475</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90.3%</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87.3%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Rhode Island</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717</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719</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75,336</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75,841</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87.4%</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86.9%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South Carolina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2,156</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2,173</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253,406</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253,406</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91.6%</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87.7%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Tennessee</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1,617</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1,626</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215,420</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215,265</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88.4%</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86.3%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Texas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17</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10,900</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10,937</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1,247,355</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1,244,888</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89.6%</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Utah</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3,195</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3,204</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408,357</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408,988</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87.7%</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85.7%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Virginia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4,296</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4,299</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416,552</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416,602</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92.9%</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91.3%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Washington</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2,533</w:t>
            </w:r>
          </w:p>
        </w:tc>
        <w:tc>
          <w:tcPr>
            <w:tcW w:w="220" w:type="dxa"/>
            <w:vAlign w:val="bottom"/>
            <w:shd w:val="clear" w:color="auto" w:fill="CCEEFF"/>
          </w:tcPr>
          <w:p>
            <w:pPr>
              <w:spacing w:after="0"/>
              <w:rPr>
                <w:sz w:val="10"/>
                <w:szCs w:val="10"/>
                <w:color w:val="auto"/>
              </w:rPr>
            </w:pPr>
          </w:p>
        </w:tc>
        <w:tc>
          <w:tcPr>
            <w:tcW w:w="1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2,543</w:t>
            </w:r>
          </w:p>
        </w:tc>
        <w:tc>
          <w:tcPr>
            <w:tcW w:w="20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308,015</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308,015</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82.8%</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Wholly-Owned Stabilized</w:t>
            </w: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8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286</w:t>
            </w:r>
          </w:p>
        </w:tc>
        <w:tc>
          <w:tcPr>
            <w:tcW w:w="220" w:type="dxa"/>
            <w:vAlign w:val="bottom"/>
          </w:tcPr>
          <w:p>
            <w:pPr>
              <w:spacing w:after="0"/>
              <w:rPr>
                <w:sz w:val="10"/>
                <w:szCs w:val="10"/>
                <w:color w:val="auto"/>
              </w:rPr>
            </w:pPr>
          </w:p>
        </w:tc>
        <w:tc>
          <w:tcPr>
            <w:tcW w:w="14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189,975</w:t>
            </w:r>
          </w:p>
        </w:tc>
        <w:tc>
          <w:tcPr>
            <w:tcW w:w="220" w:type="dxa"/>
            <w:vAlign w:val="bottom"/>
          </w:tcPr>
          <w:p>
            <w:pPr>
              <w:spacing w:after="0"/>
              <w:rPr>
                <w:sz w:val="10"/>
                <w:szCs w:val="10"/>
                <w:color w:val="auto"/>
              </w:rPr>
            </w:pPr>
          </w:p>
        </w:tc>
        <w:tc>
          <w:tcPr>
            <w:tcW w:w="15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190,444</w:t>
            </w:r>
          </w:p>
        </w:tc>
        <w:tc>
          <w:tcPr>
            <w:tcW w:w="200" w:type="dxa"/>
            <w:vAlign w:val="bottom"/>
            <w:vMerge w:val="continue"/>
          </w:tcPr>
          <w:p>
            <w:pPr>
              <w:spacing w:after="0"/>
              <w:rPr>
                <w:sz w:val="10"/>
                <w:szCs w:val="10"/>
                <w:color w:val="auto"/>
              </w:rPr>
            </w:pPr>
          </w:p>
        </w:tc>
        <w:tc>
          <w:tcPr>
            <w:tcW w:w="112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20,157,052</w:t>
            </w:r>
          </w:p>
        </w:tc>
        <w:tc>
          <w:tcPr>
            <w:tcW w:w="200" w:type="dxa"/>
            <w:vAlign w:val="bottom"/>
            <w:vMerge w:val="continue"/>
          </w:tcPr>
          <w:p>
            <w:pPr>
              <w:spacing w:after="0"/>
              <w:rPr>
                <w:sz w:val="10"/>
                <w:szCs w:val="10"/>
                <w:color w:val="auto"/>
              </w:rPr>
            </w:pPr>
          </w:p>
        </w:tc>
        <w:tc>
          <w:tcPr>
            <w:tcW w:w="11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20,115,735</w:t>
            </w:r>
          </w:p>
        </w:tc>
        <w:tc>
          <w:tcPr>
            <w:tcW w:w="200" w:type="dxa"/>
            <w:vAlign w:val="bottom"/>
            <w:vMerge w:val="continue"/>
          </w:tcPr>
          <w:p>
            <w:pPr>
              <w:spacing w:after="0"/>
              <w:rPr>
                <w:sz w:val="10"/>
                <w:szCs w:val="10"/>
                <w:color w:val="auto"/>
              </w:rPr>
            </w:pPr>
          </w:p>
        </w:tc>
        <w:tc>
          <w:tcPr>
            <w:tcW w:w="1360" w:type="dxa"/>
            <w:vAlign w:val="bottom"/>
            <w:gridSpan w:val="2"/>
          </w:tcPr>
          <w:p>
            <w:pPr>
              <w:ind w:left="960"/>
              <w:spacing w:after="0" w:line="115" w:lineRule="exact"/>
              <w:rPr>
                <w:sz w:val="20"/>
                <w:szCs w:val="20"/>
                <w:color w:val="auto"/>
              </w:rPr>
            </w:pPr>
            <w:r>
              <w:rPr>
                <w:rFonts w:ascii="Arial" w:cs="Arial" w:eastAsia="Arial" w:hAnsi="Arial"/>
                <w:sz w:val="11"/>
                <w:szCs w:val="11"/>
                <w:b w:val="1"/>
                <w:bCs w:val="1"/>
                <w:color w:val="auto"/>
              </w:rPr>
              <w:t>88.1%</w:t>
            </w:r>
          </w:p>
        </w:tc>
        <w:tc>
          <w:tcPr>
            <w:tcW w:w="1240" w:type="dxa"/>
            <w:vAlign w:val="bottom"/>
            <w:gridSpan w:val="2"/>
          </w:tcPr>
          <w:p>
            <w:pPr>
              <w:ind w:left="940"/>
              <w:spacing w:after="0" w:line="115" w:lineRule="exact"/>
              <w:rPr>
                <w:sz w:val="20"/>
                <w:szCs w:val="20"/>
                <w:color w:val="auto"/>
              </w:rPr>
            </w:pPr>
            <w:r>
              <w:rPr>
                <w:rFonts w:ascii="Arial" w:cs="Arial" w:eastAsia="Arial" w:hAnsi="Arial"/>
                <w:sz w:val="11"/>
                <w:szCs w:val="11"/>
                <w:b w:val="1"/>
                <w:bCs w:val="1"/>
                <w:color w:val="auto"/>
                <w:w w:val="89"/>
              </w:rPr>
              <w:t>85.3%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5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5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Joint-venture properties</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Alabama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1,709</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1,705</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205,798</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205,638</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88.5%</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89.1%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Arizona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11</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6,819</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6,833</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767,393</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751,711</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87.0%</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California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81</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58,627</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58,710</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6,049,702</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6,023,426</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87.8%</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86.0%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Colorado</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1,310</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1,318</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158,783</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158,643</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85.6%</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86.7%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Connecticut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5,993</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5,984</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693,408</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691,901</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89.3%</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Delaware</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585</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582</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71,680</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71,735</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89.9%</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92.2%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20,453</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20,597</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2,069,715</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2,076,098</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85.5%</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82.2%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Georgia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1,849</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1,859</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240,701</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243,381</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80.4%</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82.9%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Illinois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6,450</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6,446</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692,131</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693,715</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88.5%</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84.9%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Indiana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2,419</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2,415</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315,151</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315,421</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89.8%</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Kansas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1,223</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1,221</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163,750</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163,750</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83.4%</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81.9%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Kentucky</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2,277</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2,276</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269,545</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269,257</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90.4%</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87.0%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Maryland</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11,839</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11,854</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1,159,349</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1,157,287</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90.7%</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88.5%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Massachusetts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17</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9,234</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9,234</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1,046,695</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1,049,716</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87.8%</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84.5%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Michigan</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5,900</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5,924</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782,058</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784,623</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91.1%</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86.6%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Missouri</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959</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960</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118,245</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118,045</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90.0%</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Nevada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5,355</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5,379</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692,408</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693,563</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84.9%</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84.1%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New Hampshire</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1,310</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1,321</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137,314</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138,234</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91.2%</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Jersey</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14,878</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14,913</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1,559,726</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1,562,266</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88.1%</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85.1%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New Mexico</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4,655</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4,670</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542,327</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542,699</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87.1%</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86.0%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York</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21,629</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21,633</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1,734,102</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1,734,779</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88.9%</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88.1%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Ohio</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13</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5,854</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5,856</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867,920</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872,430</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85.6%</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84.2%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Oregon</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1,290</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1,292</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136,600</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136,610</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90.7%</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88.8%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Pennsylvania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10</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7,996</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8,000</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800,280</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800,491</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92.8%</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89.7%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Rhode Island</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1,066</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1,075</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128,165</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128,075</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78.2%</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73.5%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tcPr>
          <w:p>
            <w:pPr>
              <w:spacing w:after="0" w:line="122" w:lineRule="exact"/>
              <w:rPr>
                <w:sz w:val="20"/>
                <w:szCs w:val="20"/>
                <w:color w:val="auto"/>
              </w:rPr>
            </w:pPr>
            <w:r>
              <w:rPr>
                <w:rFonts w:ascii="Arial" w:cs="Arial" w:eastAsia="Arial" w:hAnsi="Arial"/>
                <w:sz w:val="11"/>
                <w:szCs w:val="11"/>
                <w:color w:val="auto"/>
              </w:rPr>
              <w:t>Tennessee</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24</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13,145</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13,196</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1,746,123</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1,747,039</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88.4%</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84.4%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Texas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11,762</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11,768</w:t>
            </w:r>
          </w:p>
        </w:tc>
        <w:tc>
          <w:tcPr>
            <w:tcW w:w="13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1,536,352</w:t>
            </w:r>
          </w:p>
        </w:tc>
        <w:tc>
          <w:tcPr>
            <w:tcW w:w="13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1,535,099</w:t>
            </w:r>
          </w:p>
        </w:tc>
        <w:tc>
          <w:tcPr>
            <w:tcW w:w="136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88.9%</w:t>
            </w:r>
          </w:p>
        </w:tc>
        <w:tc>
          <w:tcPr>
            <w:tcW w:w="124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w w:val="89"/>
              </w:rPr>
              <w:t>86.1%</w:t>
            </w: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172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Virginia</w:t>
            </w:r>
          </w:p>
        </w:tc>
        <w:tc>
          <w:tcPr>
            <w:tcW w:w="800" w:type="dxa"/>
            <w:vAlign w:val="bottom"/>
            <w:tcBorders>
              <w:bottom w:val="single" w:sz="8" w:color="CCEEFF"/>
            </w:tcBorders>
          </w:tcPr>
          <w:p>
            <w:pPr>
              <w:jc w:val="right"/>
              <w:spacing w:after="0" w:line="122" w:lineRule="exact"/>
              <w:rPr>
                <w:sz w:val="20"/>
                <w:szCs w:val="20"/>
                <w:color w:val="auto"/>
              </w:rPr>
            </w:pPr>
            <w:r>
              <w:rPr>
                <w:rFonts w:ascii="Arial" w:cs="Arial" w:eastAsia="Arial" w:hAnsi="Arial"/>
                <w:sz w:val="11"/>
                <w:szCs w:val="11"/>
                <w:color w:val="auto"/>
              </w:rPr>
              <w:t>17</w:t>
            </w:r>
          </w:p>
        </w:tc>
        <w:tc>
          <w:tcPr>
            <w:tcW w:w="220" w:type="dxa"/>
            <w:vAlign w:val="bottom"/>
            <w:tcBorders>
              <w:bottom w:val="single" w:sz="8" w:color="CCEEFF"/>
            </w:tcBorders>
          </w:tcPr>
          <w:p>
            <w:pPr>
              <w:spacing w:after="0"/>
              <w:rPr>
                <w:sz w:val="13"/>
                <w:szCs w:val="13"/>
                <w:color w:val="auto"/>
              </w:rPr>
            </w:pPr>
          </w:p>
        </w:tc>
        <w:tc>
          <w:tcPr>
            <w:tcW w:w="1480" w:type="dxa"/>
            <w:vAlign w:val="bottom"/>
            <w:tcBorders>
              <w:bottom w:val="single" w:sz="8" w:color="CCEEFF"/>
            </w:tcBorders>
          </w:tcPr>
          <w:p>
            <w:pPr>
              <w:jc w:val="right"/>
              <w:spacing w:after="0" w:line="122" w:lineRule="exact"/>
              <w:rPr>
                <w:sz w:val="20"/>
                <w:szCs w:val="20"/>
                <w:color w:val="auto"/>
              </w:rPr>
            </w:pPr>
            <w:r>
              <w:rPr>
                <w:rFonts w:ascii="Arial" w:cs="Arial" w:eastAsia="Arial" w:hAnsi="Arial"/>
                <w:sz w:val="11"/>
                <w:szCs w:val="11"/>
                <w:color w:val="auto"/>
              </w:rPr>
              <w:t>12,022</w:t>
            </w:r>
          </w:p>
        </w:tc>
        <w:tc>
          <w:tcPr>
            <w:tcW w:w="220" w:type="dxa"/>
            <w:vAlign w:val="bottom"/>
            <w:tcBorders>
              <w:bottom w:val="single" w:sz="8" w:color="CCEEFF"/>
            </w:tcBorders>
          </w:tcPr>
          <w:p>
            <w:pPr>
              <w:spacing w:after="0"/>
              <w:rPr>
                <w:sz w:val="13"/>
                <w:szCs w:val="13"/>
                <w:color w:val="auto"/>
              </w:rPr>
            </w:pPr>
          </w:p>
        </w:tc>
        <w:tc>
          <w:tcPr>
            <w:tcW w:w="1700" w:type="dxa"/>
            <w:vAlign w:val="bottom"/>
            <w:tcBorders>
              <w:bottom w:val="single" w:sz="8" w:color="CCEEFF"/>
            </w:tcBorders>
            <w:gridSpan w:val="2"/>
          </w:tcPr>
          <w:p>
            <w:pPr>
              <w:jc w:val="right"/>
              <w:ind w:right="200"/>
              <w:spacing w:after="0" w:line="122" w:lineRule="exact"/>
              <w:rPr>
                <w:sz w:val="20"/>
                <w:szCs w:val="20"/>
                <w:color w:val="auto"/>
              </w:rPr>
            </w:pPr>
            <w:r>
              <w:rPr>
                <w:rFonts w:ascii="Arial" w:cs="Arial" w:eastAsia="Arial" w:hAnsi="Arial"/>
                <w:sz w:val="11"/>
                <w:szCs w:val="11"/>
                <w:color w:val="auto"/>
              </w:rPr>
              <w:t>12,009</w:t>
            </w:r>
          </w:p>
        </w:tc>
        <w:tc>
          <w:tcPr>
            <w:tcW w:w="1320" w:type="dxa"/>
            <w:vAlign w:val="bottom"/>
            <w:tcBorders>
              <w:bottom w:val="single" w:sz="8" w:color="CCEEFF"/>
            </w:tcBorders>
            <w:gridSpan w:val="2"/>
          </w:tcPr>
          <w:p>
            <w:pPr>
              <w:jc w:val="right"/>
              <w:ind w:right="200"/>
              <w:spacing w:after="0" w:line="122" w:lineRule="exact"/>
              <w:rPr>
                <w:sz w:val="20"/>
                <w:szCs w:val="20"/>
                <w:color w:val="auto"/>
              </w:rPr>
            </w:pPr>
            <w:r>
              <w:rPr>
                <w:rFonts w:ascii="Arial" w:cs="Arial" w:eastAsia="Arial" w:hAnsi="Arial"/>
                <w:sz w:val="11"/>
                <w:szCs w:val="11"/>
                <w:color w:val="auto"/>
              </w:rPr>
              <w:t>1,267,963</w:t>
            </w:r>
          </w:p>
        </w:tc>
        <w:tc>
          <w:tcPr>
            <w:tcW w:w="1340" w:type="dxa"/>
            <w:vAlign w:val="bottom"/>
            <w:tcBorders>
              <w:bottom w:val="single" w:sz="8" w:color="CCEEFF"/>
            </w:tcBorders>
            <w:gridSpan w:val="2"/>
          </w:tcPr>
          <w:p>
            <w:pPr>
              <w:jc w:val="right"/>
              <w:ind w:right="200"/>
              <w:spacing w:after="0" w:line="122" w:lineRule="exact"/>
              <w:rPr>
                <w:sz w:val="20"/>
                <w:szCs w:val="20"/>
                <w:color w:val="auto"/>
              </w:rPr>
            </w:pPr>
            <w:r>
              <w:rPr>
                <w:rFonts w:ascii="Arial" w:cs="Arial" w:eastAsia="Arial" w:hAnsi="Arial"/>
                <w:sz w:val="11"/>
                <w:szCs w:val="11"/>
                <w:color w:val="auto"/>
              </w:rPr>
              <w:t>1,267,503</w:t>
            </w:r>
          </w:p>
        </w:tc>
        <w:tc>
          <w:tcPr>
            <w:tcW w:w="1360" w:type="dxa"/>
            <w:vAlign w:val="bottom"/>
            <w:tcBorders>
              <w:bottom w:val="single" w:sz="8" w:color="CCEEFF"/>
            </w:tcBorders>
            <w:gridSpan w:val="2"/>
          </w:tcPr>
          <w:p>
            <w:pPr>
              <w:ind w:left="960"/>
              <w:spacing w:after="0" w:line="122" w:lineRule="exact"/>
              <w:rPr>
                <w:sz w:val="20"/>
                <w:szCs w:val="20"/>
                <w:color w:val="auto"/>
              </w:rPr>
            </w:pPr>
            <w:r>
              <w:rPr>
                <w:rFonts w:ascii="Arial" w:cs="Arial" w:eastAsia="Arial" w:hAnsi="Arial"/>
                <w:sz w:val="11"/>
                <w:szCs w:val="11"/>
                <w:color w:val="auto"/>
              </w:rPr>
              <w:t>92.4%</w:t>
            </w:r>
          </w:p>
        </w:tc>
        <w:tc>
          <w:tcPr>
            <w:tcW w:w="1240" w:type="dxa"/>
            <w:vAlign w:val="bottom"/>
            <w:tcBorders>
              <w:bottom w:val="single" w:sz="8" w:color="CCEEFF"/>
            </w:tcBorders>
            <w:gridSpan w:val="2"/>
          </w:tcPr>
          <w:p>
            <w:pPr>
              <w:ind w:left="940"/>
              <w:spacing w:after="0" w:line="122" w:lineRule="exact"/>
              <w:rPr>
                <w:sz w:val="20"/>
                <w:szCs w:val="20"/>
                <w:color w:val="auto"/>
              </w:rPr>
            </w:pPr>
            <w:r>
              <w:rPr>
                <w:rFonts w:ascii="Arial" w:cs="Arial" w:eastAsia="Arial" w:hAnsi="Arial"/>
                <w:sz w:val="11"/>
                <w:szCs w:val="11"/>
                <w:color w:val="auto"/>
                <w:w w:val="89"/>
              </w:rPr>
              <w:t>90.2%</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40" w:type="dxa"/>
            <w:vAlign w:val="bottom"/>
            <w:shd w:val="clear" w:color="auto" w:fill="CCEEFF"/>
          </w:tcPr>
          <w:p>
            <w:pPr>
              <w:spacing w:after="0"/>
              <w:rPr>
                <w:sz w:val="20"/>
                <w:szCs w:val="20"/>
                <w:color w:val="auto"/>
              </w:rPr>
            </w:pPr>
            <w:r>
              <w:rPr>
                <w:rFonts w:ascii="Arial" w:cs="Arial" w:eastAsia="Arial" w:hAnsi="Arial"/>
                <w:sz w:val="11"/>
                <w:szCs w:val="11"/>
                <w:color w:val="auto"/>
              </w:rPr>
              <w:t>Washington</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547</w:t>
            </w:r>
          </w:p>
        </w:tc>
        <w:tc>
          <w:tcPr>
            <w:tcW w:w="22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548</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62,730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62,730</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1"/>
                <w:szCs w:val="11"/>
                <w:color w:val="auto"/>
              </w:rPr>
              <w:t>92.4%</w:t>
            </w: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1"/>
                <w:szCs w:val="11"/>
                <w:color w:val="auto"/>
                <w:w w:val="89"/>
              </w:rPr>
              <w:t>88.1%</w:t>
            </w:r>
          </w:p>
        </w:tc>
      </w:tr>
      <w:tr>
        <w:trPr>
          <w:trHeight w:val="122"/>
        </w:trPr>
        <w:tc>
          <w:tcPr>
            <w:tcW w:w="1740" w:type="dxa"/>
            <w:vAlign w:val="bottom"/>
          </w:tcPr>
          <w:p>
            <w:pPr>
              <w:spacing w:after="0" w:line="122" w:lineRule="exact"/>
              <w:rPr>
                <w:sz w:val="20"/>
                <w:szCs w:val="20"/>
                <w:color w:val="auto"/>
              </w:rPr>
            </w:pPr>
            <w:r>
              <w:rPr>
                <w:rFonts w:ascii="Arial" w:cs="Arial" w:eastAsia="Arial" w:hAnsi="Arial"/>
                <w:sz w:val="11"/>
                <w:szCs w:val="11"/>
                <w:color w:val="auto"/>
              </w:rPr>
              <w:t>Washington, DC</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20" w:type="dxa"/>
            <w:vAlign w:val="bottom"/>
          </w:tcPr>
          <w:p>
            <w:pPr>
              <w:spacing w:after="0"/>
              <w:rPr>
                <w:sz w:val="10"/>
                <w:szCs w:val="10"/>
                <w:color w:val="auto"/>
              </w:rPr>
            </w:pPr>
          </w:p>
        </w:tc>
        <w:tc>
          <w:tcPr>
            <w:tcW w:w="1480" w:type="dxa"/>
            <w:vAlign w:val="bottom"/>
          </w:tcPr>
          <w:p>
            <w:pPr>
              <w:jc w:val="right"/>
              <w:spacing w:after="0" w:line="122" w:lineRule="exact"/>
              <w:rPr>
                <w:sz w:val="20"/>
                <w:szCs w:val="20"/>
                <w:color w:val="auto"/>
              </w:rPr>
            </w:pPr>
            <w:r>
              <w:rPr>
                <w:rFonts w:ascii="Arial" w:cs="Arial" w:eastAsia="Arial" w:hAnsi="Arial"/>
                <w:sz w:val="11"/>
                <w:szCs w:val="11"/>
                <w:color w:val="auto"/>
              </w:rPr>
              <w:t>1,529</w:t>
            </w:r>
          </w:p>
        </w:tc>
        <w:tc>
          <w:tcPr>
            <w:tcW w:w="220" w:type="dxa"/>
            <w:vAlign w:val="bottom"/>
          </w:tcPr>
          <w:p>
            <w:pPr>
              <w:spacing w:after="0"/>
              <w:rPr>
                <w:sz w:val="10"/>
                <w:szCs w:val="10"/>
                <w:color w:val="auto"/>
              </w:rPr>
            </w:pPr>
          </w:p>
        </w:tc>
        <w:tc>
          <w:tcPr>
            <w:tcW w:w="1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1,533</w:t>
            </w:r>
          </w:p>
        </w:tc>
        <w:tc>
          <w:tcPr>
            <w:tcW w:w="13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101,989</w:t>
            </w:r>
          </w:p>
        </w:tc>
        <w:tc>
          <w:tcPr>
            <w:tcW w:w="13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102,003</w:t>
            </w:r>
          </w:p>
        </w:tc>
        <w:tc>
          <w:tcPr>
            <w:tcW w:w="136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94.9%</w:t>
            </w:r>
          </w:p>
        </w:tc>
        <w:tc>
          <w:tcPr>
            <w:tcW w:w="1240" w:type="dxa"/>
            <w:vAlign w:val="bottom"/>
            <w:gridSpan w:val="2"/>
          </w:tcPr>
          <w:p>
            <w:pPr>
              <w:ind w:left="940"/>
              <w:spacing w:after="0" w:line="122" w:lineRule="exact"/>
              <w:rPr>
                <w:sz w:val="20"/>
                <w:szCs w:val="20"/>
                <w:color w:val="auto"/>
              </w:rPr>
            </w:pPr>
            <w:r>
              <w:rPr>
                <w:rFonts w:ascii="Arial" w:cs="Arial" w:eastAsia="Arial" w:hAnsi="Arial"/>
                <w:sz w:val="11"/>
                <w:szCs w:val="11"/>
                <w:color w:val="auto"/>
                <w:w w:val="89"/>
              </w:rPr>
              <w:t>97.2%</w:t>
            </w:r>
          </w:p>
        </w:tc>
      </w:tr>
      <w:tr>
        <w:trPr>
          <w:trHeight w:val="115"/>
        </w:trPr>
        <w:tc>
          <w:tcPr>
            <w:tcW w:w="17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Total Stabilized Joint-Ventures</w:t>
            </w: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350</w:t>
            </w:r>
          </w:p>
        </w:tc>
        <w:tc>
          <w:tcPr>
            <w:tcW w:w="220" w:type="dxa"/>
            <w:vAlign w:val="bottom"/>
            <w:tcBorders>
              <w:top w:val="single" w:sz="8" w:color="CCEEFF"/>
            </w:tcBorders>
            <w:shd w:val="clear" w:color="auto" w:fill="CCEEFF"/>
          </w:tcPr>
          <w:p>
            <w:pPr>
              <w:spacing w:after="0"/>
              <w:rPr>
                <w:sz w:val="10"/>
                <w:szCs w:val="10"/>
                <w:color w:val="auto"/>
              </w:rPr>
            </w:pPr>
          </w:p>
        </w:tc>
        <w:tc>
          <w:tcPr>
            <w:tcW w:w="1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240,684</w:t>
            </w:r>
          </w:p>
        </w:tc>
        <w:tc>
          <w:tcPr>
            <w:tcW w:w="220" w:type="dxa"/>
            <w:vAlign w:val="bottom"/>
            <w:tcBorders>
              <w:top w:val="single" w:sz="8" w:color="CCEEFF"/>
            </w:tcBorders>
            <w:shd w:val="clear" w:color="auto" w:fill="CCEEFF"/>
          </w:tcPr>
          <w:p>
            <w:pPr>
              <w:spacing w:after="0"/>
              <w:rPr>
                <w:sz w:val="10"/>
                <w:szCs w:val="10"/>
                <w:color w:val="auto"/>
              </w:rPr>
            </w:pPr>
          </w:p>
        </w:tc>
        <w:tc>
          <w:tcPr>
            <w:tcW w:w="1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241,111</w:t>
            </w:r>
          </w:p>
        </w:tc>
        <w:tc>
          <w:tcPr>
            <w:tcW w:w="20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26,118,103</w:t>
            </w:r>
          </w:p>
        </w:tc>
        <w:tc>
          <w:tcPr>
            <w:tcW w:w="20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26,097,868</w:t>
            </w:r>
          </w:p>
        </w:tc>
        <w:tc>
          <w:tcPr>
            <w:tcW w:w="20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ind w:left="960"/>
              <w:spacing w:after="0" w:line="115" w:lineRule="exact"/>
              <w:rPr>
                <w:sz w:val="20"/>
                <w:szCs w:val="20"/>
                <w:color w:val="auto"/>
              </w:rPr>
            </w:pPr>
            <w:r>
              <w:rPr>
                <w:rFonts w:ascii="Arial" w:cs="Arial" w:eastAsia="Arial" w:hAnsi="Arial"/>
                <w:sz w:val="11"/>
                <w:szCs w:val="11"/>
                <w:b w:val="1"/>
                <w:bCs w:val="1"/>
                <w:color w:val="auto"/>
                <w:w w:val="74"/>
              </w:rPr>
              <w:t>88.3</w:t>
            </w:r>
          </w:p>
        </w:tc>
        <w:tc>
          <w:tcPr>
            <w:tcW w:w="220" w:type="dxa"/>
            <w:vAlign w:val="bottom"/>
            <w:tcBorders>
              <w:top w:val="single" w:sz="8" w:color="CCEEFF"/>
            </w:tcBorders>
            <w:shd w:val="clear" w:color="auto" w:fill="CCEEFF"/>
          </w:tcPr>
          <w:p>
            <w:pPr>
              <w:jc w:val="right"/>
              <w:ind w:right="66"/>
              <w:spacing w:after="0" w:line="115" w:lineRule="exact"/>
              <w:rPr>
                <w:sz w:val="20"/>
                <w:szCs w:val="20"/>
                <w:color w:val="auto"/>
              </w:rPr>
            </w:pPr>
            <w:r>
              <w:rPr>
                <w:rFonts w:ascii="Arial" w:cs="Arial" w:eastAsia="Arial" w:hAnsi="Arial"/>
                <w:sz w:val="11"/>
                <w:szCs w:val="11"/>
                <w:b w:val="1"/>
                <w:bCs w:val="1"/>
                <w:color w:val="auto"/>
                <w:w w:val="81"/>
              </w:rPr>
              <w:t>%</w:t>
            </w:r>
          </w:p>
        </w:tc>
        <w:tc>
          <w:tcPr>
            <w:tcW w:w="1140" w:type="dxa"/>
            <w:vAlign w:val="bottom"/>
            <w:tcBorders>
              <w:top w:val="single" w:sz="8" w:color="auto"/>
              <w:bottom w:val="single" w:sz="8" w:color="auto"/>
            </w:tcBorders>
            <w:shd w:val="clear" w:color="auto" w:fill="CCEEFF"/>
          </w:tcPr>
          <w:p>
            <w:pPr>
              <w:ind w:left="940"/>
              <w:spacing w:after="0" w:line="115" w:lineRule="exact"/>
              <w:rPr>
                <w:sz w:val="20"/>
                <w:szCs w:val="20"/>
                <w:color w:val="auto"/>
              </w:rPr>
            </w:pPr>
            <w:r>
              <w:rPr>
                <w:rFonts w:ascii="Arial" w:cs="Arial" w:eastAsia="Arial" w:hAnsi="Arial"/>
                <w:sz w:val="11"/>
                <w:szCs w:val="11"/>
                <w:b w:val="1"/>
                <w:bCs w:val="1"/>
                <w:color w:val="auto"/>
                <w:w w:val="83"/>
              </w:rPr>
              <w:t>85.8</w:t>
            </w:r>
          </w:p>
        </w:tc>
        <w:tc>
          <w:tcPr>
            <w:tcW w:w="100" w:type="dxa"/>
            <w:vAlign w:val="bottom"/>
            <w:tcBorders>
              <w:top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1"/>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Company</w:t>
            </w:r>
          </w:p>
        </w:tc>
        <w:tc>
          <w:tcPr>
            <w:tcW w:w="14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Pro forma</w:t>
            </w:r>
          </w:p>
        </w:tc>
        <w:tc>
          <w:tcPr>
            <w:tcW w:w="14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Company</w:t>
            </w:r>
          </w:p>
        </w:tc>
        <w:tc>
          <w:tcPr>
            <w:tcW w:w="14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Pro forma</w:t>
            </w:r>
          </w:p>
        </w:tc>
        <w:tc>
          <w:tcPr>
            <w:tcW w:w="15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Company</w:t>
            </w:r>
          </w:p>
        </w:tc>
        <w:tc>
          <w:tcPr>
            <w:tcW w:w="14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Pro forma</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220" w:type="dxa"/>
            <w:vAlign w:val="bottom"/>
          </w:tcPr>
          <w:p>
            <w:pPr>
              <w:spacing w:after="0"/>
              <w:rPr>
                <w:sz w:val="8"/>
                <w:szCs w:val="8"/>
                <w:color w:val="auto"/>
              </w:rPr>
            </w:pPr>
          </w:p>
        </w:tc>
        <w:tc>
          <w:tcPr>
            <w:tcW w:w="128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200" w:type="dxa"/>
            <w:vAlign w:val="bottom"/>
          </w:tcPr>
          <w:p>
            <w:pPr>
              <w:spacing w:after="0"/>
              <w:rPr>
                <w:sz w:val="8"/>
                <w:szCs w:val="8"/>
                <w:color w:val="auto"/>
              </w:rPr>
            </w:pPr>
          </w:p>
        </w:tc>
        <w:tc>
          <w:tcPr>
            <w:tcW w:w="128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220" w:type="dxa"/>
            <w:vAlign w:val="bottom"/>
          </w:tcPr>
          <w:p>
            <w:pPr>
              <w:spacing w:after="0"/>
              <w:rPr>
                <w:sz w:val="8"/>
                <w:szCs w:val="8"/>
                <w:color w:val="auto"/>
              </w:rPr>
            </w:pPr>
          </w:p>
        </w:tc>
        <w:tc>
          <w:tcPr>
            <w:tcW w:w="128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Number of</w:t>
            </w:r>
          </w:p>
        </w:tc>
        <w:tc>
          <w:tcPr>
            <w:tcW w:w="15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Number of Units as of</w:t>
            </w:r>
          </w:p>
        </w:tc>
        <w:tc>
          <w:tcPr>
            <w:tcW w:w="14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4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Feet as of</w:t>
            </w:r>
          </w:p>
        </w:tc>
        <w:tc>
          <w:tcPr>
            <w:tcW w:w="14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Feet as of</w:t>
            </w:r>
          </w:p>
        </w:tc>
        <w:tc>
          <w:tcPr>
            <w:tcW w:w="15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Occupancy %</w:t>
            </w:r>
          </w:p>
        </w:tc>
        <w:tc>
          <w:tcPr>
            <w:tcW w:w="14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Occupancy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gridSpan w:val="2"/>
          </w:tcPr>
          <w:p>
            <w:pPr>
              <w:ind w:left="20"/>
              <w:spacing w:after="0"/>
              <w:rPr>
                <w:sz w:val="20"/>
                <w:szCs w:val="20"/>
                <w:color w:val="auto"/>
              </w:rPr>
            </w:pPr>
            <w:r>
              <w:rPr>
                <w:rFonts w:ascii="Arial" w:cs="Arial" w:eastAsia="Arial" w:hAnsi="Arial"/>
                <w:sz w:val="11"/>
                <w:szCs w:val="11"/>
                <w:b w:val="1"/>
                <w:bCs w:val="1"/>
                <w:color w:val="auto"/>
              </w:rPr>
              <w:t>Location</w:t>
            </w: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Properties</w:t>
            </w:r>
          </w:p>
        </w:tc>
        <w:tc>
          <w:tcPr>
            <w:tcW w:w="15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June 30, 2011 (1)</w:t>
            </w:r>
          </w:p>
        </w:tc>
        <w:tc>
          <w:tcPr>
            <w:tcW w:w="14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June 30, 2010</w:t>
            </w:r>
          </w:p>
        </w:tc>
        <w:tc>
          <w:tcPr>
            <w:tcW w:w="14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June 30, 2011 (2)</w:t>
            </w:r>
          </w:p>
        </w:tc>
        <w:tc>
          <w:tcPr>
            <w:tcW w:w="14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June 30, 2010</w:t>
            </w:r>
          </w:p>
        </w:tc>
        <w:tc>
          <w:tcPr>
            <w:tcW w:w="15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June 30, 2011</w:t>
            </w:r>
          </w:p>
        </w:tc>
        <w:tc>
          <w:tcPr>
            <w:tcW w:w="14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June 30, 2010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Managed properties</w:t>
            </w: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spacing w:after="0" w:line="122" w:lineRule="exact"/>
              <w:rPr>
                <w:sz w:val="20"/>
                <w:szCs w:val="20"/>
                <w:color w:val="auto"/>
              </w:rPr>
            </w:pPr>
            <w:r>
              <w:rPr>
                <w:rFonts w:ascii="Arial" w:cs="Arial" w:eastAsia="Arial" w:hAnsi="Arial"/>
                <w:sz w:val="11"/>
                <w:szCs w:val="11"/>
                <w:color w:val="auto"/>
              </w:rPr>
              <w:t>Arizona</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0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580</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581</w:t>
            </w:r>
          </w:p>
        </w:tc>
        <w:tc>
          <w:tcPr>
            <w:tcW w:w="22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67,350</w:t>
            </w:r>
          </w:p>
        </w:tc>
        <w:tc>
          <w:tcPr>
            <w:tcW w:w="14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67,350</w:t>
            </w:r>
          </w:p>
        </w:tc>
        <w:tc>
          <w:tcPr>
            <w:tcW w:w="1500" w:type="dxa"/>
            <w:vAlign w:val="bottom"/>
            <w:gridSpan w:val="2"/>
          </w:tcPr>
          <w:p>
            <w:pPr>
              <w:ind w:left="1100"/>
              <w:spacing w:after="0" w:line="122" w:lineRule="exact"/>
              <w:rPr>
                <w:sz w:val="20"/>
                <w:szCs w:val="20"/>
                <w:color w:val="auto"/>
              </w:rPr>
            </w:pPr>
            <w:r>
              <w:rPr>
                <w:rFonts w:ascii="Arial" w:cs="Arial" w:eastAsia="Arial" w:hAnsi="Arial"/>
                <w:sz w:val="11"/>
                <w:szCs w:val="11"/>
                <w:color w:val="auto"/>
              </w:rPr>
              <w:t>50.6%</w:t>
            </w:r>
          </w:p>
        </w:tc>
        <w:tc>
          <w:tcPr>
            <w:tcW w:w="1400" w:type="dxa"/>
            <w:vAlign w:val="bottom"/>
            <w:gridSpan w:val="2"/>
          </w:tcPr>
          <w:p>
            <w:pPr>
              <w:ind w:left="1080"/>
              <w:spacing w:after="0" w:line="122" w:lineRule="exact"/>
              <w:rPr>
                <w:sz w:val="20"/>
                <w:szCs w:val="20"/>
                <w:color w:val="auto"/>
              </w:rPr>
            </w:pPr>
            <w:r>
              <w:rPr>
                <w:rFonts w:ascii="Arial" w:cs="Arial" w:eastAsia="Arial" w:hAnsi="Arial"/>
                <w:sz w:val="11"/>
                <w:szCs w:val="11"/>
                <w:color w:val="auto"/>
                <w:w w:val="96"/>
              </w:rPr>
              <w:t>32.6%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California</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19,482</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19,529</w:t>
            </w:r>
          </w:p>
        </w:tc>
        <w:tc>
          <w:tcPr>
            <w:tcW w:w="22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2,354,558</w:t>
            </w:r>
          </w:p>
        </w:tc>
        <w:tc>
          <w:tcPr>
            <w:tcW w:w="14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2,259,113</w:t>
            </w:r>
          </w:p>
        </w:tc>
        <w:tc>
          <w:tcPr>
            <w:tcW w:w="1500" w:type="dxa"/>
            <w:vAlign w:val="bottom"/>
            <w:gridSpan w:val="2"/>
            <w:shd w:val="clear" w:color="auto" w:fill="CCEEFF"/>
          </w:tcPr>
          <w:p>
            <w:pPr>
              <w:ind w:left="1100"/>
              <w:spacing w:after="0" w:line="122" w:lineRule="exact"/>
              <w:rPr>
                <w:sz w:val="20"/>
                <w:szCs w:val="20"/>
                <w:color w:val="auto"/>
              </w:rPr>
            </w:pPr>
            <w:r>
              <w:rPr>
                <w:rFonts w:ascii="Arial" w:cs="Arial" w:eastAsia="Arial" w:hAnsi="Arial"/>
                <w:sz w:val="11"/>
                <w:szCs w:val="11"/>
                <w:color w:val="auto"/>
              </w:rPr>
              <w:t>72.8%</w:t>
            </w:r>
          </w:p>
        </w:tc>
        <w:tc>
          <w:tcPr>
            <w:tcW w:w="1400" w:type="dxa"/>
            <w:vAlign w:val="bottom"/>
            <w:gridSpan w:val="2"/>
            <w:shd w:val="clear" w:color="auto" w:fill="CCEEFF"/>
          </w:tcPr>
          <w:p>
            <w:pPr>
              <w:ind w:left="1080"/>
              <w:spacing w:after="0" w:line="122" w:lineRule="exact"/>
              <w:rPr>
                <w:sz w:val="20"/>
                <w:szCs w:val="20"/>
                <w:color w:val="auto"/>
              </w:rPr>
            </w:pPr>
            <w:r>
              <w:rPr>
                <w:rFonts w:ascii="Arial" w:cs="Arial" w:eastAsia="Arial" w:hAnsi="Arial"/>
                <w:sz w:val="11"/>
                <w:szCs w:val="11"/>
                <w:color w:val="auto"/>
                <w:w w:val="96"/>
              </w:rPr>
              <w:t>70.4%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spacing w:after="0" w:line="122" w:lineRule="exact"/>
              <w:rPr>
                <w:sz w:val="20"/>
                <w:szCs w:val="20"/>
                <w:color w:val="auto"/>
              </w:rPr>
            </w:pPr>
            <w:r>
              <w:rPr>
                <w:rFonts w:ascii="Arial" w:cs="Arial" w:eastAsia="Arial" w:hAnsi="Arial"/>
                <w:sz w:val="11"/>
                <w:szCs w:val="11"/>
                <w:color w:val="auto"/>
              </w:rPr>
              <w:t>Colorado</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8</w:t>
            </w:r>
          </w:p>
        </w:tc>
        <w:tc>
          <w:tcPr>
            <w:tcW w:w="20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2,802</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2,776</w:t>
            </w:r>
          </w:p>
        </w:tc>
        <w:tc>
          <w:tcPr>
            <w:tcW w:w="22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324,917</w:t>
            </w:r>
          </w:p>
        </w:tc>
        <w:tc>
          <w:tcPr>
            <w:tcW w:w="14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332,336</w:t>
            </w:r>
          </w:p>
        </w:tc>
        <w:tc>
          <w:tcPr>
            <w:tcW w:w="1500" w:type="dxa"/>
            <w:vAlign w:val="bottom"/>
            <w:gridSpan w:val="2"/>
          </w:tcPr>
          <w:p>
            <w:pPr>
              <w:ind w:left="1100"/>
              <w:spacing w:after="0" w:line="122" w:lineRule="exact"/>
              <w:rPr>
                <w:sz w:val="20"/>
                <w:szCs w:val="20"/>
                <w:color w:val="auto"/>
              </w:rPr>
            </w:pPr>
            <w:r>
              <w:rPr>
                <w:rFonts w:ascii="Arial" w:cs="Arial" w:eastAsia="Arial" w:hAnsi="Arial"/>
                <w:sz w:val="11"/>
                <w:szCs w:val="11"/>
                <w:color w:val="auto"/>
              </w:rPr>
              <w:t>91.4%</w:t>
            </w:r>
          </w:p>
        </w:tc>
        <w:tc>
          <w:tcPr>
            <w:tcW w:w="1400" w:type="dxa"/>
            <w:vAlign w:val="bottom"/>
            <w:gridSpan w:val="2"/>
          </w:tcPr>
          <w:p>
            <w:pPr>
              <w:ind w:left="1080"/>
              <w:spacing w:after="0" w:line="122" w:lineRule="exact"/>
              <w:rPr>
                <w:sz w:val="20"/>
                <w:szCs w:val="20"/>
                <w:color w:val="auto"/>
              </w:rPr>
            </w:pPr>
            <w:r>
              <w:rPr>
                <w:rFonts w:ascii="Arial" w:cs="Arial" w:eastAsia="Arial" w:hAnsi="Arial"/>
                <w:sz w:val="11"/>
                <w:szCs w:val="11"/>
                <w:color w:val="auto"/>
                <w:w w:val="96"/>
              </w:rPr>
              <w:t>86.6%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Connecticut</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501</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504</w:t>
            </w:r>
          </w:p>
        </w:tc>
        <w:tc>
          <w:tcPr>
            <w:tcW w:w="22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61,460</w:t>
            </w:r>
          </w:p>
        </w:tc>
        <w:tc>
          <w:tcPr>
            <w:tcW w:w="14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61,980</w:t>
            </w:r>
          </w:p>
        </w:tc>
        <w:tc>
          <w:tcPr>
            <w:tcW w:w="1500" w:type="dxa"/>
            <w:vAlign w:val="bottom"/>
            <w:gridSpan w:val="2"/>
            <w:shd w:val="clear" w:color="auto" w:fill="CCEEFF"/>
          </w:tcPr>
          <w:p>
            <w:pPr>
              <w:ind w:left="1100"/>
              <w:spacing w:after="0" w:line="122" w:lineRule="exact"/>
              <w:rPr>
                <w:sz w:val="20"/>
                <w:szCs w:val="20"/>
                <w:color w:val="auto"/>
              </w:rPr>
            </w:pPr>
            <w:r>
              <w:rPr>
                <w:rFonts w:ascii="Arial" w:cs="Arial" w:eastAsia="Arial" w:hAnsi="Arial"/>
                <w:sz w:val="11"/>
                <w:szCs w:val="11"/>
                <w:color w:val="auto"/>
              </w:rPr>
              <w:t>66.3%</w:t>
            </w:r>
          </w:p>
        </w:tc>
        <w:tc>
          <w:tcPr>
            <w:tcW w:w="1400" w:type="dxa"/>
            <w:vAlign w:val="bottom"/>
            <w:gridSpan w:val="2"/>
            <w:shd w:val="clear" w:color="auto" w:fill="CCEEFF"/>
          </w:tcPr>
          <w:p>
            <w:pPr>
              <w:ind w:left="1080"/>
              <w:spacing w:after="0" w:line="122" w:lineRule="exact"/>
              <w:rPr>
                <w:sz w:val="20"/>
                <w:szCs w:val="20"/>
                <w:color w:val="auto"/>
              </w:rPr>
            </w:pPr>
            <w:r>
              <w:rPr>
                <w:rFonts w:ascii="Arial" w:cs="Arial" w:eastAsia="Arial" w:hAnsi="Arial"/>
                <w:sz w:val="11"/>
                <w:szCs w:val="11"/>
                <w:color w:val="auto"/>
                <w:w w:val="96"/>
              </w:rPr>
              <w:t>64.4%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spacing w:after="0" w:line="122" w:lineRule="exact"/>
              <w:rPr>
                <w:sz w:val="20"/>
                <w:szCs w:val="20"/>
                <w:color w:val="auto"/>
              </w:rPr>
            </w:pPr>
            <w:r>
              <w:rPr>
                <w:rFonts w:ascii="Arial" w:cs="Arial" w:eastAsia="Arial" w:hAnsi="Arial"/>
                <w:sz w:val="11"/>
                <w:szCs w:val="11"/>
                <w:color w:val="auto"/>
              </w:rPr>
              <w:t>Florida</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16</w:t>
            </w:r>
          </w:p>
        </w:tc>
        <w:tc>
          <w:tcPr>
            <w:tcW w:w="20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7,663</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7,712</w:t>
            </w:r>
          </w:p>
        </w:tc>
        <w:tc>
          <w:tcPr>
            <w:tcW w:w="22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934,499</w:t>
            </w:r>
          </w:p>
        </w:tc>
        <w:tc>
          <w:tcPr>
            <w:tcW w:w="14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917,707</w:t>
            </w:r>
          </w:p>
        </w:tc>
        <w:tc>
          <w:tcPr>
            <w:tcW w:w="1500" w:type="dxa"/>
            <w:vAlign w:val="bottom"/>
            <w:gridSpan w:val="2"/>
          </w:tcPr>
          <w:p>
            <w:pPr>
              <w:ind w:left="1100"/>
              <w:spacing w:after="0" w:line="122" w:lineRule="exact"/>
              <w:rPr>
                <w:sz w:val="20"/>
                <w:szCs w:val="20"/>
                <w:color w:val="auto"/>
              </w:rPr>
            </w:pPr>
            <w:r>
              <w:rPr>
                <w:rFonts w:ascii="Arial" w:cs="Arial" w:eastAsia="Arial" w:hAnsi="Arial"/>
                <w:sz w:val="11"/>
                <w:szCs w:val="11"/>
                <w:color w:val="auto"/>
              </w:rPr>
              <w:t>74.0%</w:t>
            </w:r>
          </w:p>
        </w:tc>
        <w:tc>
          <w:tcPr>
            <w:tcW w:w="1400" w:type="dxa"/>
            <w:vAlign w:val="bottom"/>
            <w:gridSpan w:val="2"/>
          </w:tcPr>
          <w:p>
            <w:pPr>
              <w:ind w:left="1080"/>
              <w:spacing w:after="0" w:line="122" w:lineRule="exact"/>
              <w:rPr>
                <w:sz w:val="20"/>
                <w:szCs w:val="20"/>
                <w:color w:val="auto"/>
              </w:rPr>
            </w:pPr>
            <w:r>
              <w:rPr>
                <w:rFonts w:ascii="Arial" w:cs="Arial" w:eastAsia="Arial" w:hAnsi="Arial"/>
                <w:sz w:val="11"/>
                <w:szCs w:val="11"/>
                <w:color w:val="auto"/>
                <w:w w:val="96"/>
              </w:rPr>
              <w:t>70.2%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Georgia</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923</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931</w:t>
            </w:r>
          </w:p>
        </w:tc>
        <w:tc>
          <w:tcPr>
            <w:tcW w:w="22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106,410</w:t>
            </w:r>
          </w:p>
        </w:tc>
        <w:tc>
          <w:tcPr>
            <w:tcW w:w="14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105,900</w:t>
            </w:r>
          </w:p>
        </w:tc>
        <w:tc>
          <w:tcPr>
            <w:tcW w:w="1500" w:type="dxa"/>
            <w:vAlign w:val="bottom"/>
            <w:gridSpan w:val="2"/>
            <w:shd w:val="clear" w:color="auto" w:fill="CCEEFF"/>
          </w:tcPr>
          <w:p>
            <w:pPr>
              <w:ind w:left="1100"/>
              <w:spacing w:after="0" w:line="122" w:lineRule="exact"/>
              <w:rPr>
                <w:sz w:val="20"/>
                <w:szCs w:val="20"/>
                <w:color w:val="auto"/>
              </w:rPr>
            </w:pPr>
            <w:r>
              <w:rPr>
                <w:rFonts w:ascii="Arial" w:cs="Arial" w:eastAsia="Arial" w:hAnsi="Arial"/>
                <w:sz w:val="11"/>
                <w:szCs w:val="11"/>
                <w:color w:val="auto"/>
              </w:rPr>
              <w:t>75.3%</w:t>
            </w:r>
          </w:p>
        </w:tc>
        <w:tc>
          <w:tcPr>
            <w:tcW w:w="1400" w:type="dxa"/>
            <w:vAlign w:val="bottom"/>
            <w:gridSpan w:val="2"/>
            <w:shd w:val="clear" w:color="auto" w:fill="CCEEFF"/>
          </w:tcPr>
          <w:p>
            <w:pPr>
              <w:ind w:left="1080"/>
              <w:spacing w:after="0" w:line="122" w:lineRule="exact"/>
              <w:rPr>
                <w:sz w:val="20"/>
                <w:szCs w:val="20"/>
                <w:color w:val="auto"/>
              </w:rPr>
            </w:pPr>
            <w:r>
              <w:rPr>
                <w:rFonts w:ascii="Arial" w:cs="Arial" w:eastAsia="Arial" w:hAnsi="Arial"/>
                <w:sz w:val="11"/>
                <w:szCs w:val="11"/>
                <w:color w:val="auto"/>
                <w:w w:val="96"/>
              </w:rPr>
              <w:t>70.9%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spacing w:after="0" w:line="122" w:lineRule="exact"/>
              <w:rPr>
                <w:sz w:val="20"/>
                <w:szCs w:val="20"/>
                <w:color w:val="auto"/>
              </w:rPr>
            </w:pPr>
            <w:r>
              <w:rPr>
                <w:rFonts w:ascii="Arial" w:cs="Arial" w:eastAsia="Arial" w:hAnsi="Arial"/>
                <w:sz w:val="11"/>
                <w:szCs w:val="11"/>
                <w:color w:val="auto"/>
              </w:rPr>
              <w:t>Hawaii</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0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332</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332</w:t>
            </w:r>
          </w:p>
        </w:tc>
        <w:tc>
          <w:tcPr>
            <w:tcW w:w="22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34,067</w:t>
            </w:r>
          </w:p>
        </w:tc>
        <w:tc>
          <w:tcPr>
            <w:tcW w:w="14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34,064</w:t>
            </w:r>
          </w:p>
        </w:tc>
        <w:tc>
          <w:tcPr>
            <w:tcW w:w="1500" w:type="dxa"/>
            <w:vAlign w:val="bottom"/>
            <w:gridSpan w:val="2"/>
          </w:tcPr>
          <w:p>
            <w:pPr>
              <w:ind w:left="1100"/>
              <w:spacing w:after="0" w:line="122" w:lineRule="exact"/>
              <w:rPr>
                <w:sz w:val="20"/>
                <w:szCs w:val="20"/>
                <w:color w:val="auto"/>
              </w:rPr>
            </w:pPr>
            <w:r>
              <w:rPr>
                <w:rFonts w:ascii="Arial" w:cs="Arial" w:eastAsia="Arial" w:hAnsi="Arial"/>
                <w:sz w:val="11"/>
                <w:szCs w:val="11"/>
                <w:color w:val="auto"/>
              </w:rPr>
              <w:t>57.6%</w:t>
            </w:r>
          </w:p>
        </w:tc>
        <w:tc>
          <w:tcPr>
            <w:tcW w:w="1400" w:type="dxa"/>
            <w:vAlign w:val="bottom"/>
            <w:gridSpan w:val="2"/>
          </w:tcPr>
          <w:p>
            <w:pPr>
              <w:ind w:left="1080"/>
              <w:spacing w:after="0" w:line="122" w:lineRule="exact"/>
              <w:rPr>
                <w:sz w:val="20"/>
                <w:szCs w:val="20"/>
                <w:color w:val="auto"/>
              </w:rPr>
            </w:pPr>
            <w:r>
              <w:rPr>
                <w:rFonts w:ascii="Arial" w:cs="Arial" w:eastAsia="Arial" w:hAnsi="Arial"/>
                <w:sz w:val="11"/>
                <w:szCs w:val="11"/>
                <w:color w:val="auto"/>
                <w:w w:val="96"/>
              </w:rPr>
              <w:t>59.6%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Illinois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3,666</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3,734</w:t>
            </w:r>
          </w:p>
        </w:tc>
        <w:tc>
          <w:tcPr>
            <w:tcW w:w="22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384,234</w:t>
            </w:r>
          </w:p>
        </w:tc>
        <w:tc>
          <w:tcPr>
            <w:tcW w:w="14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398,859</w:t>
            </w:r>
          </w:p>
        </w:tc>
        <w:tc>
          <w:tcPr>
            <w:tcW w:w="1500" w:type="dxa"/>
            <w:vAlign w:val="bottom"/>
            <w:gridSpan w:val="2"/>
            <w:shd w:val="clear" w:color="auto" w:fill="CCEEFF"/>
          </w:tcPr>
          <w:p>
            <w:pPr>
              <w:ind w:left="1100"/>
              <w:spacing w:after="0" w:line="122" w:lineRule="exact"/>
              <w:rPr>
                <w:sz w:val="20"/>
                <w:szCs w:val="20"/>
                <w:color w:val="auto"/>
              </w:rPr>
            </w:pPr>
            <w:r>
              <w:rPr>
                <w:rFonts w:ascii="Arial" w:cs="Arial" w:eastAsia="Arial" w:hAnsi="Arial"/>
                <w:sz w:val="11"/>
                <w:szCs w:val="11"/>
                <w:color w:val="auto"/>
              </w:rPr>
              <w:t>73.3%</w:t>
            </w:r>
          </w:p>
        </w:tc>
        <w:tc>
          <w:tcPr>
            <w:tcW w:w="1400" w:type="dxa"/>
            <w:vAlign w:val="bottom"/>
            <w:gridSpan w:val="2"/>
            <w:shd w:val="clear" w:color="auto" w:fill="CCEEFF"/>
          </w:tcPr>
          <w:p>
            <w:pPr>
              <w:ind w:left="1080"/>
              <w:spacing w:after="0" w:line="122" w:lineRule="exact"/>
              <w:rPr>
                <w:sz w:val="20"/>
                <w:szCs w:val="20"/>
                <w:color w:val="auto"/>
              </w:rPr>
            </w:pPr>
            <w:r>
              <w:rPr>
                <w:rFonts w:ascii="Arial" w:cs="Arial" w:eastAsia="Arial" w:hAnsi="Arial"/>
                <w:sz w:val="11"/>
                <w:szCs w:val="11"/>
                <w:color w:val="auto"/>
                <w:w w:val="96"/>
              </w:rPr>
              <w:t>75.5%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spacing w:after="0" w:line="122" w:lineRule="exact"/>
              <w:rPr>
                <w:sz w:val="20"/>
                <w:szCs w:val="20"/>
                <w:color w:val="auto"/>
              </w:rPr>
            </w:pPr>
            <w:r>
              <w:rPr>
                <w:rFonts w:ascii="Arial" w:cs="Arial" w:eastAsia="Arial" w:hAnsi="Arial"/>
                <w:sz w:val="11"/>
                <w:szCs w:val="11"/>
                <w:color w:val="auto"/>
              </w:rPr>
              <w:t>Indiana</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20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1,684</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1,711</w:t>
            </w:r>
          </w:p>
        </w:tc>
        <w:tc>
          <w:tcPr>
            <w:tcW w:w="22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182,679</w:t>
            </w:r>
          </w:p>
        </w:tc>
        <w:tc>
          <w:tcPr>
            <w:tcW w:w="14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188,119</w:t>
            </w:r>
          </w:p>
        </w:tc>
        <w:tc>
          <w:tcPr>
            <w:tcW w:w="1500" w:type="dxa"/>
            <w:vAlign w:val="bottom"/>
            <w:gridSpan w:val="2"/>
          </w:tcPr>
          <w:p>
            <w:pPr>
              <w:ind w:left="1100"/>
              <w:spacing w:after="0" w:line="122" w:lineRule="exact"/>
              <w:rPr>
                <w:sz w:val="20"/>
                <w:szCs w:val="20"/>
                <w:color w:val="auto"/>
              </w:rPr>
            </w:pPr>
            <w:r>
              <w:rPr>
                <w:rFonts w:ascii="Arial" w:cs="Arial" w:eastAsia="Arial" w:hAnsi="Arial"/>
                <w:sz w:val="11"/>
                <w:szCs w:val="11"/>
                <w:color w:val="auto"/>
              </w:rPr>
              <w:t>85.7%</w:t>
            </w:r>
          </w:p>
        </w:tc>
        <w:tc>
          <w:tcPr>
            <w:tcW w:w="1400" w:type="dxa"/>
            <w:vAlign w:val="bottom"/>
            <w:gridSpan w:val="2"/>
          </w:tcPr>
          <w:p>
            <w:pPr>
              <w:ind w:left="1080"/>
              <w:spacing w:after="0" w:line="122" w:lineRule="exact"/>
              <w:rPr>
                <w:sz w:val="20"/>
                <w:szCs w:val="20"/>
                <w:color w:val="auto"/>
              </w:rPr>
            </w:pPr>
            <w:r>
              <w:rPr>
                <w:rFonts w:ascii="Arial" w:cs="Arial" w:eastAsia="Arial" w:hAnsi="Arial"/>
                <w:sz w:val="11"/>
                <w:szCs w:val="11"/>
                <w:color w:val="auto"/>
                <w:w w:val="96"/>
              </w:rPr>
              <w:t>81.0%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Kansas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1,982</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1,989</w:t>
            </w:r>
          </w:p>
        </w:tc>
        <w:tc>
          <w:tcPr>
            <w:tcW w:w="22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336,290</w:t>
            </w:r>
          </w:p>
        </w:tc>
        <w:tc>
          <w:tcPr>
            <w:tcW w:w="14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339,600</w:t>
            </w:r>
          </w:p>
        </w:tc>
        <w:tc>
          <w:tcPr>
            <w:tcW w:w="1500" w:type="dxa"/>
            <w:vAlign w:val="bottom"/>
            <w:gridSpan w:val="2"/>
            <w:shd w:val="clear" w:color="auto" w:fill="CCEEFF"/>
          </w:tcPr>
          <w:p>
            <w:pPr>
              <w:ind w:left="1100"/>
              <w:spacing w:after="0" w:line="122" w:lineRule="exact"/>
              <w:rPr>
                <w:sz w:val="20"/>
                <w:szCs w:val="20"/>
                <w:color w:val="auto"/>
              </w:rPr>
            </w:pPr>
            <w:r>
              <w:rPr>
                <w:rFonts w:ascii="Arial" w:cs="Arial" w:eastAsia="Arial" w:hAnsi="Arial"/>
                <w:sz w:val="11"/>
                <w:szCs w:val="11"/>
                <w:color w:val="auto"/>
              </w:rPr>
              <w:t>81.9%</w:t>
            </w:r>
          </w:p>
        </w:tc>
        <w:tc>
          <w:tcPr>
            <w:tcW w:w="1400" w:type="dxa"/>
            <w:vAlign w:val="bottom"/>
            <w:gridSpan w:val="2"/>
            <w:shd w:val="clear" w:color="auto" w:fill="CCEEFF"/>
          </w:tcPr>
          <w:p>
            <w:pPr>
              <w:ind w:left="1080"/>
              <w:spacing w:after="0" w:line="122" w:lineRule="exact"/>
              <w:rPr>
                <w:sz w:val="20"/>
                <w:szCs w:val="20"/>
                <w:color w:val="auto"/>
              </w:rPr>
            </w:pPr>
            <w:r>
              <w:rPr>
                <w:rFonts w:ascii="Arial" w:cs="Arial" w:eastAsia="Arial" w:hAnsi="Arial"/>
                <w:sz w:val="11"/>
                <w:szCs w:val="11"/>
                <w:color w:val="auto"/>
                <w:w w:val="96"/>
              </w:rPr>
              <w:t>77.6%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spacing w:after="0" w:line="122" w:lineRule="exact"/>
              <w:rPr>
                <w:sz w:val="20"/>
                <w:szCs w:val="20"/>
                <w:color w:val="auto"/>
              </w:rPr>
            </w:pPr>
            <w:r>
              <w:rPr>
                <w:rFonts w:ascii="Arial" w:cs="Arial" w:eastAsia="Arial" w:hAnsi="Arial"/>
                <w:sz w:val="11"/>
                <w:szCs w:val="11"/>
                <w:color w:val="auto"/>
              </w:rPr>
              <w:t>Kentucky</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0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522</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532</w:t>
            </w:r>
          </w:p>
        </w:tc>
        <w:tc>
          <w:tcPr>
            <w:tcW w:w="22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66,100</w:t>
            </w:r>
          </w:p>
        </w:tc>
        <w:tc>
          <w:tcPr>
            <w:tcW w:w="14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66,000</w:t>
            </w:r>
          </w:p>
        </w:tc>
        <w:tc>
          <w:tcPr>
            <w:tcW w:w="1500" w:type="dxa"/>
            <w:vAlign w:val="bottom"/>
            <w:gridSpan w:val="2"/>
          </w:tcPr>
          <w:p>
            <w:pPr>
              <w:ind w:left="1100"/>
              <w:spacing w:after="0" w:line="122" w:lineRule="exact"/>
              <w:rPr>
                <w:sz w:val="20"/>
                <w:szCs w:val="20"/>
                <w:color w:val="auto"/>
              </w:rPr>
            </w:pPr>
            <w:r>
              <w:rPr>
                <w:rFonts w:ascii="Arial" w:cs="Arial" w:eastAsia="Arial" w:hAnsi="Arial"/>
                <w:sz w:val="11"/>
                <w:szCs w:val="11"/>
                <w:color w:val="auto"/>
              </w:rPr>
              <w:t>93.8%</w:t>
            </w:r>
          </w:p>
        </w:tc>
        <w:tc>
          <w:tcPr>
            <w:tcW w:w="1400" w:type="dxa"/>
            <w:vAlign w:val="bottom"/>
            <w:gridSpan w:val="2"/>
          </w:tcPr>
          <w:p>
            <w:pPr>
              <w:ind w:left="1080"/>
              <w:spacing w:after="0" w:line="122" w:lineRule="exact"/>
              <w:rPr>
                <w:sz w:val="20"/>
                <w:szCs w:val="20"/>
                <w:color w:val="auto"/>
              </w:rPr>
            </w:pPr>
            <w:r>
              <w:rPr>
                <w:rFonts w:ascii="Arial" w:cs="Arial" w:eastAsia="Arial" w:hAnsi="Arial"/>
                <w:sz w:val="11"/>
                <w:szCs w:val="11"/>
                <w:color w:val="auto"/>
                <w:w w:val="96"/>
              </w:rPr>
              <w:t>88.9%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Louisiana</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996</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1,008</w:t>
            </w:r>
          </w:p>
        </w:tc>
        <w:tc>
          <w:tcPr>
            <w:tcW w:w="22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133,080</w:t>
            </w:r>
          </w:p>
        </w:tc>
        <w:tc>
          <w:tcPr>
            <w:tcW w:w="14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106,873</w:t>
            </w:r>
          </w:p>
        </w:tc>
        <w:tc>
          <w:tcPr>
            <w:tcW w:w="1500" w:type="dxa"/>
            <w:vAlign w:val="bottom"/>
            <w:gridSpan w:val="2"/>
            <w:shd w:val="clear" w:color="auto" w:fill="CCEEFF"/>
          </w:tcPr>
          <w:p>
            <w:pPr>
              <w:ind w:left="1100"/>
              <w:spacing w:after="0" w:line="122" w:lineRule="exact"/>
              <w:rPr>
                <w:sz w:val="20"/>
                <w:szCs w:val="20"/>
                <w:color w:val="auto"/>
              </w:rPr>
            </w:pPr>
            <w:r>
              <w:rPr>
                <w:rFonts w:ascii="Arial" w:cs="Arial" w:eastAsia="Arial" w:hAnsi="Arial"/>
                <w:sz w:val="11"/>
                <w:szCs w:val="11"/>
                <w:color w:val="auto"/>
              </w:rPr>
              <w:t>66.9%</w:t>
            </w:r>
          </w:p>
        </w:tc>
        <w:tc>
          <w:tcPr>
            <w:tcW w:w="1400" w:type="dxa"/>
            <w:vAlign w:val="bottom"/>
            <w:gridSpan w:val="2"/>
            <w:shd w:val="clear" w:color="auto" w:fill="CCEEFF"/>
          </w:tcPr>
          <w:p>
            <w:pPr>
              <w:ind w:left="1080"/>
              <w:spacing w:after="0" w:line="122" w:lineRule="exact"/>
              <w:rPr>
                <w:sz w:val="20"/>
                <w:szCs w:val="20"/>
                <w:color w:val="auto"/>
              </w:rPr>
            </w:pPr>
            <w:r>
              <w:rPr>
                <w:rFonts w:ascii="Arial" w:cs="Arial" w:eastAsia="Arial" w:hAnsi="Arial"/>
                <w:sz w:val="11"/>
                <w:szCs w:val="11"/>
                <w:color w:val="auto"/>
                <w:w w:val="96"/>
              </w:rPr>
              <w:t>65.0%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spacing w:after="0" w:line="122" w:lineRule="exact"/>
              <w:rPr>
                <w:sz w:val="20"/>
                <w:szCs w:val="20"/>
                <w:color w:val="auto"/>
              </w:rPr>
            </w:pPr>
            <w:r>
              <w:rPr>
                <w:rFonts w:ascii="Arial" w:cs="Arial" w:eastAsia="Arial" w:hAnsi="Arial"/>
                <w:sz w:val="11"/>
                <w:szCs w:val="11"/>
                <w:color w:val="auto"/>
              </w:rPr>
              <w:t>Maryland</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15</w:t>
            </w:r>
          </w:p>
        </w:tc>
        <w:tc>
          <w:tcPr>
            <w:tcW w:w="20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9,184</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9,352</w:t>
            </w:r>
          </w:p>
        </w:tc>
        <w:tc>
          <w:tcPr>
            <w:tcW w:w="22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1,044,754</w:t>
            </w:r>
          </w:p>
        </w:tc>
        <w:tc>
          <w:tcPr>
            <w:tcW w:w="14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1,048,730</w:t>
            </w:r>
          </w:p>
        </w:tc>
        <w:tc>
          <w:tcPr>
            <w:tcW w:w="1500" w:type="dxa"/>
            <w:vAlign w:val="bottom"/>
            <w:gridSpan w:val="2"/>
          </w:tcPr>
          <w:p>
            <w:pPr>
              <w:ind w:left="1100"/>
              <w:spacing w:after="0" w:line="122" w:lineRule="exact"/>
              <w:rPr>
                <w:sz w:val="20"/>
                <w:szCs w:val="20"/>
                <w:color w:val="auto"/>
              </w:rPr>
            </w:pPr>
            <w:r>
              <w:rPr>
                <w:rFonts w:ascii="Arial" w:cs="Arial" w:eastAsia="Arial" w:hAnsi="Arial"/>
                <w:sz w:val="11"/>
                <w:szCs w:val="11"/>
                <w:color w:val="auto"/>
              </w:rPr>
              <w:t>82.5%</w:t>
            </w:r>
          </w:p>
        </w:tc>
        <w:tc>
          <w:tcPr>
            <w:tcW w:w="1400" w:type="dxa"/>
            <w:vAlign w:val="bottom"/>
            <w:gridSpan w:val="2"/>
          </w:tcPr>
          <w:p>
            <w:pPr>
              <w:ind w:left="1080"/>
              <w:spacing w:after="0" w:line="122" w:lineRule="exact"/>
              <w:rPr>
                <w:sz w:val="20"/>
                <w:szCs w:val="20"/>
                <w:color w:val="auto"/>
              </w:rPr>
            </w:pPr>
            <w:r>
              <w:rPr>
                <w:rFonts w:ascii="Arial" w:cs="Arial" w:eastAsia="Arial" w:hAnsi="Arial"/>
                <w:sz w:val="11"/>
                <w:szCs w:val="11"/>
                <w:color w:val="auto"/>
                <w:w w:val="96"/>
              </w:rPr>
              <w:t>77.8%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Massachusetts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2,091</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2,110</w:t>
            </w:r>
          </w:p>
        </w:tc>
        <w:tc>
          <w:tcPr>
            <w:tcW w:w="22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189,769</w:t>
            </w:r>
          </w:p>
        </w:tc>
        <w:tc>
          <w:tcPr>
            <w:tcW w:w="14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190,019</w:t>
            </w:r>
          </w:p>
        </w:tc>
        <w:tc>
          <w:tcPr>
            <w:tcW w:w="1500" w:type="dxa"/>
            <w:vAlign w:val="bottom"/>
            <w:gridSpan w:val="2"/>
            <w:shd w:val="clear" w:color="auto" w:fill="CCEEFF"/>
          </w:tcPr>
          <w:p>
            <w:pPr>
              <w:ind w:left="1100"/>
              <w:spacing w:after="0" w:line="122" w:lineRule="exact"/>
              <w:rPr>
                <w:sz w:val="20"/>
                <w:szCs w:val="20"/>
                <w:color w:val="auto"/>
              </w:rPr>
            </w:pPr>
            <w:r>
              <w:rPr>
                <w:rFonts w:ascii="Arial" w:cs="Arial" w:eastAsia="Arial" w:hAnsi="Arial"/>
                <w:sz w:val="11"/>
                <w:szCs w:val="11"/>
                <w:color w:val="auto"/>
              </w:rPr>
              <w:t>82.6%</w:t>
            </w:r>
          </w:p>
        </w:tc>
        <w:tc>
          <w:tcPr>
            <w:tcW w:w="1400" w:type="dxa"/>
            <w:vAlign w:val="bottom"/>
            <w:gridSpan w:val="2"/>
            <w:shd w:val="clear" w:color="auto" w:fill="CCEEFF"/>
          </w:tcPr>
          <w:p>
            <w:pPr>
              <w:ind w:left="1080"/>
              <w:spacing w:after="0" w:line="122" w:lineRule="exact"/>
              <w:rPr>
                <w:sz w:val="20"/>
                <w:szCs w:val="20"/>
                <w:color w:val="auto"/>
              </w:rPr>
            </w:pPr>
            <w:r>
              <w:rPr>
                <w:rFonts w:ascii="Arial" w:cs="Arial" w:eastAsia="Arial" w:hAnsi="Arial"/>
                <w:sz w:val="11"/>
                <w:szCs w:val="11"/>
                <w:color w:val="auto"/>
                <w:w w:val="96"/>
              </w:rPr>
              <w:t>76.1%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spacing w:after="0" w:line="122" w:lineRule="exact"/>
              <w:rPr>
                <w:sz w:val="20"/>
                <w:szCs w:val="20"/>
                <w:color w:val="auto"/>
              </w:rPr>
            </w:pPr>
            <w:r>
              <w:rPr>
                <w:rFonts w:ascii="Arial" w:cs="Arial" w:eastAsia="Arial" w:hAnsi="Arial"/>
                <w:sz w:val="11"/>
                <w:szCs w:val="11"/>
                <w:color w:val="auto"/>
              </w:rPr>
              <w:t>Missouri</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20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1,525</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1,533</w:t>
            </w:r>
          </w:p>
        </w:tc>
        <w:tc>
          <w:tcPr>
            <w:tcW w:w="22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275,198</w:t>
            </w:r>
          </w:p>
        </w:tc>
        <w:tc>
          <w:tcPr>
            <w:tcW w:w="14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302,558</w:t>
            </w:r>
          </w:p>
        </w:tc>
        <w:tc>
          <w:tcPr>
            <w:tcW w:w="1500" w:type="dxa"/>
            <w:vAlign w:val="bottom"/>
            <w:gridSpan w:val="2"/>
          </w:tcPr>
          <w:p>
            <w:pPr>
              <w:ind w:left="1100"/>
              <w:spacing w:after="0" w:line="122" w:lineRule="exact"/>
              <w:rPr>
                <w:sz w:val="20"/>
                <w:szCs w:val="20"/>
                <w:color w:val="auto"/>
              </w:rPr>
            </w:pPr>
            <w:r>
              <w:rPr>
                <w:rFonts w:ascii="Arial" w:cs="Arial" w:eastAsia="Arial" w:hAnsi="Arial"/>
                <w:sz w:val="11"/>
                <w:szCs w:val="11"/>
                <w:color w:val="auto"/>
              </w:rPr>
              <w:t>78.3%</w:t>
            </w:r>
          </w:p>
        </w:tc>
        <w:tc>
          <w:tcPr>
            <w:tcW w:w="1400" w:type="dxa"/>
            <w:vAlign w:val="bottom"/>
            <w:gridSpan w:val="2"/>
          </w:tcPr>
          <w:p>
            <w:pPr>
              <w:ind w:left="1080"/>
              <w:spacing w:after="0" w:line="122" w:lineRule="exact"/>
              <w:rPr>
                <w:sz w:val="20"/>
                <w:szCs w:val="20"/>
                <w:color w:val="auto"/>
              </w:rPr>
            </w:pPr>
            <w:r>
              <w:rPr>
                <w:rFonts w:ascii="Arial" w:cs="Arial" w:eastAsia="Arial" w:hAnsi="Arial"/>
                <w:sz w:val="11"/>
                <w:szCs w:val="11"/>
                <w:color w:val="auto"/>
                <w:w w:val="96"/>
              </w:rPr>
              <w:t>77.8%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Nevada</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1,568</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1,576</w:t>
            </w:r>
          </w:p>
        </w:tc>
        <w:tc>
          <w:tcPr>
            <w:tcW w:w="22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170,375</w:t>
            </w:r>
          </w:p>
        </w:tc>
        <w:tc>
          <w:tcPr>
            <w:tcW w:w="14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170,775</w:t>
            </w:r>
          </w:p>
        </w:tc>
        <w:tc>
          <w:tcPr>
            <w:tcW w:w="1500" w:type="dxa"/>
            <w:vAlign w:val="bottom"/>
            <w:gridSpan w:val="2"/>
            <w:shd w:val="clear" w:color="auto" w:fill="CCEEFF"/>
          </w:tcPr>
          <w:p>
            <w:pPr>
              <w:ind w:left="1100"/>
              <w:spacing w:after="0" w:line="122" w:lineRule="exact"/>
              <w:rPr>
                <w:sz w:val="20"/>
                <w:szCs w:val="20"/>
                <w:color w:val="auto"/>
              </w:rPr>
            </w:pPr>
            <w:r>
              <w:rPr>
                <w:rFonts w:ascii="Arial" w:cs="Arial" w:eastAsia="Arial" w:hAnsi="Arial"/>
                <w:sz w:val="11"/>
                <w:szCs w:val="11"/>
                <w:color w:val="auto"/>
              </w:rPr>
              <w:t>78.3%</w:t>
            </w:r>
          </w:p>
        </w:tc>
        <w:tc>
          <w:tcPr>
            <w:tcW w:w="1400" w:type="dxa"/>
            <w:vAlign w:val="bottom"/>
            <w:gridSpan w:val="2"/>
            <w:shd w:val="clear" w:color="auto" w:fill="CCEEFF"/>
          </w:tcPr>
          <w:p>
            <w:pPr>
              <w:ind w:left="1080"/>
              <w:spacing w:after="0" w:line="122" w:lineRule="exact"/>
              <w:rPr>
                <w:sz w:val="20"/>
                <w:szCs w:val="20"/>
                <w:color w:val="auto"/>
              </w:rPr>
            </w:pPr>
            <w:r>
              <w:rPr>
                <w:rFonts w:ascii="Arial" w:cs="Arial" w:eastAsia="Arial" w:hAnsi="Arial"/>
                <w:sz w:val="11"/>
                <w:szCs w:val="11"/>
                <w:color w:val="auto"/>
                <w:w w:val="96"/>
              </w:rPr>
              <w:t>80.9%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spacing w:after="0" w:line="122" w:lineRule="exact"/>
              <w:rPr>
                <w:sz w:val="20"/>
                <w:szCs w:val="20"/>
                <w:color w:val="auto"/>
              </w:rPr>
            </w:pPr>
            <w:r>
              <w:rPr>
                <w:rFonts w:ascii="Arial" w:cs="Arial" w:eastAsia="Arial" w:hAnsi="Arial"/>
                <w:sz w:val="11"/>
                <w:szCs w:val="11"/>
                <w:color w:val="auto"/>
              </w:rPr>
              <w:t>New Jersey</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20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3,887</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3,882</w:t>
            </w:r>
          </w:p>
        </w:tc>
        <w:tc>
          <w:tcPr>
            <w:tcW w:w="22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357,237</w:t>
            </w:r>
          </w:p>
        </w:tc>
        <w:tc>
          <w:tcPr>
            <w:tcW w:w="14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355,782</w:t>
            </w:r>
          </w:p>
        </w:tc>
        <w:tc>
          <w:tcPr>
            <w:tcW w:w="1500" w:type="dxa"/>
            <w:vAlign w:val="bottom"/>
            <w:gridSpan w:val="2"/>
          </w:tcPr>
          <w:p>
            <w:pPr>
              <w:ind w:left="1100"/>
              <w:spacing w:after="0" w:line="122" w:lineRule="exact"/>
              <w:rPr>
                <w:sz w:val="20"/>
                <w:szCs w:val="20"/>
                <w:color w:val="auto"/>
              </w:rPr>
            </w:pPr>
            <w:r>
              <w:rPr>
                <w:rFonts w:ascii="Arial" w:cs="Arial" w:eastAsia="Arial" w:hAnsi="Arial"/>
                <w:sz w:val="11"/>
                <w:szCs w:val="11"/>
                <w:color w:val="auto"/>
              </w:rPr>
              <w:t>84.2%</w:t>
            </w:r>
          </w:p>
        </w:tc>
        <w:tc>
          <w:tcPr>
            <w:tcW w:w="1400" w:type="dxa"/>
            <w:vAlign w:val="bottom"/>
            <w:gridSpan w:val="2"/>
          </w:tcPr>
          <w:p>
            <w:pPr>
              <w:ind w:left="1080"/>
              <w:spacing w:after="0" w:line="122" w:lineRule="exact"/>
              <w:rPr>
                <w:sz w:val="20"/>
                <w:szCs w:val="20"/>
                <w:color w:val="auto"/>
              </w:rPr>
            </w:pPr>
            <w:r>
              <w:rPr>
                <w:rFonts w:ascii="Arial" w:cs="Arial" w:eastAsia="Arial" w:hAnsi="Arial"/>
                <w:sz w:val="11"/>
                <w:szCs w:val="11"/>
                <w:color w:val="auto"/>
                <w:w w:val="96"/>
              </w:rPr>
              <w:t>79.0%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Mexico</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1,105</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1,104</w:t>
            </w:r>
          </w:p>
        </w:tc>
        <w:tc>
          <w:tcPr>
            <w:tcW w:w="22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132,262</w:t>
            </w:r>
          </w:p>
        </w:tc>
        <w:tc>
          <w:tcPr>
            <w:tcW w:w="14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131,782</w:t>
            </w:r>
          </w:p>
        </w:tc>
        <w:tc>
          <w:tcPr>
            <w:tcW w:w="1500" w:type="dxa"/>
            <w:vAlign w:val="bottom"/>
            <w:gridSpan w:val="2"/>
            <w:shd w:val="clear" w:color="auto" w:fill="CCEEFF"/>
          </w:tcPr>
          <w:p>
            <w:pPr>
              <w:ind w:left="1100"/>
              <w:spacing w:after="0" w:line="122" w:lineRule="exact"/>
              <w:rPr>
                <w:sz w:val="20"/>
                <w:szCs w:val="20"/>
                <w:color w:val="auto"/>
              </w:rPr>
            </w:pPr>
            <w:r>
              <w:rPr>
                <w:rFonts w:ascii="Arial" w:cs="Arial" w:eastAsia="Arial" w:hAnsi="Arial"/>
                <w:sz w:val="11"/>
                <w:szCs w:val="11"/>
                <w:color w:val="auto"/>
              </w:rPr>
              <w:t>93.2%</w:t>
            </w:r>
          </w:p>
        </w:tc>
        <w:tc>
          <w:tcPr>
            <w:tcW w:w="1400" w:type="dxa"/>
            <w:vAlign w:val="bottom"/>
            <w:gridSpan w:val="2"/>
            <w:shd w:val="clear" w:color="auto" w:fill="CCEEFF"/>
          </w:tcPr>
          <w:p>
            <w:pPr>
              <w:ind w:left="1080"/>
              <w:spacing w:after="0" w:line="122" w:lineRule="exact"/>
              <w:rPr>
                <w:sz w:val="20"/>
                <w:szCs w:val="20"/>
                <w:color w:val="auto"/>
              </w:rPr>
            </w:pPr>
            <w:r>
              <w:rPr>
                <w:rFonts w:ascii="Arial" w:cs="Arial" w:eastAsia="Arial" w:hAnsi="Arial"/>
                <w:sz w:val="11"/>
                <w:szCs w:val="11"/>
                <w:color w:val="auto"/>
                <w:w w:val="96"/>
              </w:rPr>
              <w:t>91.1%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spacing w:after="0" w:line="122" w:lineRule="exact"/>
              <w:rPr>
                <w:sz w:val="20"/>
                <w:szCs w:val="20"/>
                <w:color w:val="auto"/>
              </w:rPr>
            </w:pPr>
            <w:r>
              <w:rPr>
                <w:rFonts w:ascii="Arial" w:cs="Arial" w:eastAsia="Arial" w:hAnsi="Arial"/>
                <w:sz w:val="11"/>
                <w:szCs w:val="11"/>
                <w:color w:val="auto"/>
              </w:rPr>
              <w:t>North Carolina</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20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3,538</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3,599</w:t>
            </w:r>
          </w:p>
        </w:tc>
        <w:tc>
          <w:tcPr>
            <w:tcW w:w="22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377,227</w:t>
            </w:r>
          </w:p>
        </w:tc>
        <w:tc>
          <w:tcPr>
            <w:tcW w:w="14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379,130</w:t>
            </w:r>
          </w:p>
        </w:tc>
        <w:tc>
          <w:tcPr>
            <w:tcW w:w="1500" w:type="dxa"/>
            <w:vAlign w:val="bottom"/>
            <w:gridSpan w:val="2"/>
          </w:tcPr>
          <w:p>
            <w:pPr>
              <w:ind w:left="1100"/>
              <w:spacing w:after="0" w:line="122" w:lineRule="exact"/>
              <w:rPr>
                <w:sz w:val="20"/>
                <w:szCs w:val="20"/>
                <w:color w:val="auto"/>
              </w:rPr>
            </w:pPr>
            <w:r>
              <w:rPr>
                <w:rFonts w:ascii="Arial" w:cs="Arial" w:eastAsia="Arial" w:hAnsi="Arial"/>
                <w:sz w:val="11"/>
                <w:szCs w:val="11"/>
                <w:color w:val="auto"/>
              </w:rPr>
              <w:t>76.4%</w:t>
            </w:r>
          </w:p>
        </w:tc>
        <w:tc>
          <w:tcPr>
            <w:tcW w:w="1400" w:type="dxa"/>
            <w:vAlign w:val="bottom"/>
            <w:gridSpan w:val="2"/>
          </w:tcPr>
          <w:p>
            <w:pPr>
              <w:ind w:left="1080"/>
              <w:spacing w:after="0" w:line="122" w:lineRule="exact"/>
              <w:rPr>
                <w:sz w:val="20"/>
                <w:szCs w:val="20"/>
                <w:color w:val="auto"/>
              </w:rPr>
            </w:pPr>
            <w:r>
              <w:rPr>
                <w:rFonts w:ascii="Arial" w:cs="Arial" w:eastAsia="Arial" w:hAnsi="Arial"/>
                <w:sz w:val="11"/>
                <w:szCs w:val="11"/>
                <w:color w:val="auto"/>
                <w:w w:val="96"/>
              </w:rPr>
              <w:t>75.0%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Ohio</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1,072</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1,087</w:t>
            </w:r>
          </w:p>
        </w:tc>
        <w:tc>
          <w:tcPr>
            <w:tcW w:w="22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158,360</w:t>
            </w:r>
          </w:p>
        </w:tc>
        <w:tc>
          <w:tcPr>
            <w:tcW w:w="14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161,760</w:t>
            </w:r>
          </w:p>
        </w:tc>
        <w:tc>
          <w:tcPr>
            <w:tcW w:w="1500" w:type="dxa"/>
            <w:vAlign w:val="bottom"/>
            <w:gridSpan w:val="2"/>
            <w:shd w:val="clear" w:color="auto" w:fill="CCEEFF"/>
          </w:tcPr>
          <w:p>
            <w:pPr>
              <w:ind w:left="1100"/>
              <w:spacing w:after="0" w:line="122" w:lineRule="exact"/>
              <w:rPr>
                <w:sz w:val="20"/>
                <w:szCs w:val="20"/>
                <w:color w:val="auto"/>
              </w:rPr>
            </w:pPr>
            <w:r>
              <w:rPr>
                <w:rFonts w:ascii="Arial" w:cs="Arial" w:eastAsia="Arial" w:hAnsi="Arial"/>
                <w:sz w:val="11"/>
                <w:szCs w:val="11"/>
                <w:color w:val="auto"/>
              </w:rPr>
              <w:t>75.4%</w:t>
            </w:r>
          </w:p>
        </w:tc>
        <w:tc>
          <w:tcPr>
            <w:tcW w:w="1400" w:type="dxa"/>
            <w:vAlign w:val="bottom"/>
            <w:gridSpan w:val="2"/>
            <w:shd w:val="clear" w:color="auto" w:fill="CCEEFF"/>
          </w:tcPr>
          <w:p>
            <w:pPr>
              <w:ind w:left="1080"/>
              <w:spacing w:after="0" w:line="122" w:lineRule="exact"/>
              <w:rPr>
                <w:sz w:val="20"/>
                <w:szCs w:val="20"/>
                <w:color w:val="auto"/>
              </w:rPr>
            </w:pPr>
            <w:r>
              <w:rPr>
                <w:rFonts w:ascii="Arial" w:cs="Arial" w:eastAsia="Arial" w:hAnsi="Arial"/>
                <w:sz w:val="11"/>
                <w:szCs w:val="11"/>
                <w:color w:val="auto"/>
                <w:w w:val="96"/>
              </w:rPr>
              <w:t>65.4%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spacing w:after="0" w:line="122" w:lineRule="exact"/>
              <w:rPr>
                <w:sz w:val="20"/>
                <w:szCs w:val="20"/>
                <w:color w:val="auto"/>
              </w:rPr>
            </w:pPr>
            <w:r>
              <w:rPr>
                <w:rFonts w:ascii="Arial" w:cs="Arial" w:eastAsia="Arial" w:hAnsi="Arial"/>
                <w:sz w:val="11"/>
                <w:szCs w:val="11"/>
                <w:color w:val="auto"/>
              </w:rPr>
              <w:t>Pennsylvania</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18</w:t>
            </w:r>
          </w:p>
        </w:tc>
        <w:tc>
          <w:tcPr>
            <w:tcW w:w="20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7,382</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7,436</w:t>
            </w:r>
          </w:p>
        </w:tc>
        <w:tc>
          <w:tcPr>
            <w:tcW w:w="22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901,110</w:t>
            </w:r>
          </w:p>
        </w:tc>
        <w:tc>
          <w:tcPr>
            <w:tcW w:w="14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904,355</w:t>
            </w:r>
          </w:p>
        </w:tc>
        <w:tc>
          <w:tcPr>
            <w:tcW w:w="1500" w:type="dxa"/>
            <w:vAlign w:val="bottom"/>
            <w:gridSpan w:val="2"/>
          </w:tcPr>
          <w:p>
            <w:pPr>
              <w:ind w:left="1100"/>
              <w:spacing w:after="0" w:line="122" w:lineRule="exact"/>
              <w:rPr>
                <w:sz w:val="20"/>
                <w:szCs w:val="20"/>
                <w:color w:val="auto"/>
              </w:rPr>
            </w:pPr>
            <w:r>
              <w:rPr>
                <w:rFonts w:ascii="Arial" w:cs="Arial" w:eastAsia="Arial" w:hAnsi="Arial"/>
                <w:sz w:val="11"/>
                <w:szCs w:val="11"/>
                <w:color w:val="auto"/>
              </w:rPr>
              <w:t>79.4%</w:t>
            </w:r>
          </w:p>
        </w:tc>
        <w:tc>
          <w:tcPr>
            <w:tcW w:w="1400" w:type="dxa"/>
            <w:vAlign w:val="bottom"/>
            <w:gridSpan w:val="2"/>
          </w:tcPr>
          <w:p>
            <w:pPr>
              <w:ind w:left="1080"/>
              <w:spacing w:after="0" w:line="122" w:lineRule="exact"/>
              <w:rPr>
                <w:sz w:val="20"/>
                <w:szCs w:val="20"/>
                <w:color w:val="auto"/>
              </w:rPr>
            </w:pPr>
            <w:r>
              <w:rPr>
                <w:rFonts w:ascii="Arial" w:cs="Arial" w:eastAsia="Arial" w:hAnsi="Arial"/>
                <w:sz w:val="11"/>
                <w:szCs w:val="11"/>
                <w:color w:val="auto"/>
                <w:w w:val="96"/>
              </w:rPr>
              <w:t>69.0%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South Carolina</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1,169</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1,027</w:t>
            </w:r>
          </w:p>
        </w:tc>
        <w:tc>
          <w:tcPr>
            <w:tcW w:w="22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163,267</w:t>
            </w:r>
          </w:p>
        </w:tc>
        <w:tc>
          <w:tcPr>
            <w:tcW w:w="14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142,867</w:t>
            </w:r>
          </w:p>
        </w:tc>
        <w:tc>
          <w:tcPr>
            <w:tcW w:w="1500" w:type="dxa"/>
            <w:vAlign w:val="bottom"/>
            <w:gridSpan w:val="2"/>
            <w:shd w:val="clear" w:color="auto" w:fill="CCEEFF"/>
          </w:tcPr>
          <w:p>
            <w:pPr>
              <w:ind w:left="1100"/>
              <w:spacing w:after="0" w:line="122" w:lineRule="exact"/>
              <w:rPr>
                <w:sz w:val="20"/>
                <w:szCs w:val="20"/>
                <w:color w:val="auto"/>
              </w:rPr>
            </w:pPr>
            <w:r>
              <w:rPr>
                <w:rFonts w:ascii="Arial" w:cs="Arial" w:eastAsia="Arial" w:hAnsi="Arial"/>
                <w:sz w:val="11"/>
                <w:szCs w:val="11"/>
                <w:color w:val="auto"/>
              </w:rPr>
              <w:t>76.3%</w:t>
            </w:r>
          </w:p>
        </w:tc>
        <w:tc>
          <w:tcPr>
            <w:tcW w:w="1400" w:type="dxa"/>
            <w:vAlign w:val="bottom"/>
            <w:gridSpan w:val="2"/>
            <w:shd w:val="clear" w:color="auto" w:fill="CCEEFF"/>
          </w:tcPr>
          <w:p>
            <w:pPr>
              <w:ind w:left="1080"/>
              <w:spacing w:after="0" w:line="122" w:lineRule="exact"/>
              <w:rPr>
                <w:sz w:val="20"/>
                <w:szCs w:val="20"/>
                <w:color w:val="auto"/>
              </w:rPr>
            </w:pPr>
            <w:r>
              <w:rPr>
                <w:rFonts w:ascii="Arial" w:cs="Arial" w:eastAsia="Arial" w:hAnsi="Arial"/>
                <w:sz w:val="11"/>
                <w:szCs w:val="11"/>
                <w:color w:val="auto"/>
                <w:w w:val="96"/>
              </w:rPr>
              <w:t>81.0%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spacing w:after="0" w:line="122" w:lineRule="exact"/>
              <w:rPr>
                <w:sz w:val="20"/>
                <w:szCs w:val="20"/>
                <w:color w:val="auto"/>
              </w:rPr>
            </w:pPr>
            <w:r>
              <w:rPr>
                <w:rFonts w:ascii="Arial" w:cs="Arial" w:eastAsia="Arial" w:hAnsi="Arial"/>
                <w:sz w:val="11"/>
                <w:szCs w:val="11"/>
                <w:color w:val="auto"/>
              </w:rPr>
              <w:t>Tennessee</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20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1,497</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1,495</w:t>
            </w:r>
          </w:p>
        </w:tc>
        <w:tc>
          <w:tcPr>
            <w:tcW w:w="22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205,225</w:t>
            </w:r>
          </w:p>
        </w:tc>
        <w:tc>
          <w:tcPr>
            <w:tcW w:w="14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205,365</w:t>
            </w:r>
          </w:p>
        </w:tc>
        <w:tc>
          <w:tcPr>
            <w:tcW w:w="1500" w:type="dxa"/>
            <w:vAlign w:val="bottom"/>
            <w:gridSpan w:val="2"/>
          </w:tcPr>
          <w:p>
            <w:pPr>
              <w:ind w:left="1100"/>
              <w:spacing w:after="0" w:line="122" w:lineRule="exact"/>
              <w:rPr>
                <w:sz w:val="20"/>
                <w:szCs w:val="20"/>
                <w:color w:val="auto"/>
              </w:rPr>
            </w:pPr>
            <w:r>
              <w:rPr>
                <w:rFonts w:ascii="Arial" w:cs="Arial" w:eastAsia="Arial" w:hAnsi="Arial"/>
                <w:sz w:val="11"/>
                <w:szCs w:val="11"/>
                <w:color w:val="auto"/>
              </w:rPr>
              <w:t>92.0%</w:t>
            </w:r>
          </w:p>
        </w:tc>
        <w:tc>
          <w:tcPr>
            <w:tcW w:w="1400" w:type="dxa"/>
            <w:vAlign w:val="bottom"/>
            <w:gridSpan w:val="2"/>
          </w:tcPr>
          <w:p>
            <w:pPr>
              <w:ind w:left="1080"/>
              <w:spacing w:after="0" w:line="122" w:lineRule="exact"/>
              <w:rPr>
                <w:sz w:val="20"/>
                <w:szCs w:val="20"/>
                <w:color w:val="auto"/>
              </w:rPr>
            </w:pPr>
            <w:r>
              <w:rPr>
                <w:rFonts w:ascii="Arial" w:cs="Arial" w:eastAsia="Arial" w:hAnsi="Arial"/>
                <w:sz w:val="11"/>
                <w:szCs w:val="11"/>
                <w:color w:val="auto"/>
                <w:w w:val="96"/>
              </w:rPr>
              <w:t>91.4%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Texas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4,102</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4,160</w:t>
            </w:r>
          </w:p>
        </w:tc>
        <w:tc>
          <w:tcPr>
            <w:tcW w:w="22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542,973</w:t>
            </w:r>
          </w:p>
        </w:tc>
        <w:tc>
          <w:tcPr>
            <w:tcW w:w="14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544,542</w:t>
            </w:r>
          </w:p>
        </w:tc>
        <w:tc>
          <w:tcPr>
            <w:tcW w:w="1500" w:type="dxa"/>
            <w:vAlign w:val="bottom"/>
            <w:gridSpan w:val="2"/>
            <w:shd w:val="clear" w:color="auto" w:fill="CCEEFF"/>
          </w:tcPr>
          <w:p>
            <w:pPr>
              <w:ind w:left="1100"/>
              <w:spacing w:after="0" w:line="122" w:lineRule="exact"/>
              <w:rPr>
                <w:sz w:val="20"/>
                <w:szCs w:val="20"/>
                <w:color w:val="auto"/>
              </w:rPr>
            </w:pPr>
            <w:r>
              <w:rPr>
                <w:rFonts w:ascii="Arial" w:cs="Arial" w:eastAsia="Arial" w:hAnsi="Arial"/>
                <w:sz w:val="11"/>
                <w:szCs w:val="11"/>
                <w:color w:val="auto"/>
              </w:rPr>
              <w:t>82.0%</w:t>
            </w:r>
          </w:p>
        </w:tc>
        <w:tc>
          <w:tcPr>
            <w:tcW w:w="1400" w:type="dxa"/>
            <w:vAlign w:val="bottom"/>
            <w:gridSpan w:val="2"/>
            <w:shd w:val="clear" w:color="auto" w:fill="CCEEFF"/>
          </w:tcPr>
          <w:p>
            <w:pPr>
              <w:ind w:left="1080"/>
              <w:spacing w:after="0" w:line="122" w:lineRule="exact"/>
              <w:rPr>
                <w:sz w:val="20"/>
                <w:szCs w:val="20"/>
                <w:color w:val="auto"/>
              </w:rPr>
            </w:pPr>
            <w:r>
              <w:rPr>
                <w:rFonts w:ascii="Arial" w:cs="Arial" w:eastAsia="Arial" w:hAnsi="Arial"/>
                <w:sz w:val="11"/>
                <w:szCs w:val="11"/>
                <w:color w:val="auto"/>
                <w:w w:val="96"/>
              </w:rPr>
              <w:t>79.1%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spacing w:after="0" w:line="122" w:lineRule="exact"/>
              <w:rPr>
                <w:sz w:val="20"/>
                <w:szCs w:val="20"/>
                <w:color w:val="auto"/>
              </w:rPr>
            </w:pPr>
            <w:r>
              <w:rPr>
                <w:rFonts w:ascii="Arial" w:cs="Arial" w:eastAsia="Arial" w:hAnsi="Arial"/>
                <w:sz w:val="11"/>
                <w:szCs w:val="11"/>
                <w:color w:val="auto"/>
              </w:rPr>
              <w:t>Virginia</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20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1,304</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1,304</w:t>
            </w:r>
          </w:p>
        </w:tc>
        <w:tc>
          <w:tcPr>
            <w:tcW w:w="22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114,396</w:t>
            </w:r>
          </w:p>
        </w:tc>
        <w:tc>
          <w:tcPr>
            <w:tcW w:w="14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114,396</w:t>
            </w:r>
          </w:p>
        </w:tc>
        <w:tc>
          <w:tcPr>
            <w:tcW w:w="1500" w:type="dxa"/>
            <w:vAlign w:val="bottom"/>
            <w:gridSpan w:val="2"/>
          </w:tcPr>
          <w:p>
            <w:pPr>
              <w:ind w:left="1100"/>
              <w:spacing w:after="0" w:line="122" w:lineRule="exact"/>
              <w:rPr>
                <w:sz w:val="20"/>
                <w:szCs w:val="20"/>
                <w:color w:val="auto"/>
              </w:rPr>
            </w:pPr>
            <w:r>
              <w:rPr>
                <w:rFonts w:ascii="Arial" w:cs="Arial" w:eastAsia="Arial" w:hAnsi="Arial"/>
                <w:sz w:val="11"/>
                <w:szCs w:val="11"/>
                <w:color w:val="auto"/>
              </w:rPr>
              <w:t>89.6%</w:t>
            </w:r>
          </w:p>
        </w:tc>
        <w:tc>
          <w:tcPr>
            <w:tcW w:w="1400" w:type="dxa"/>
            <w:vAlign w:val="bottom"/>
            <w:gridSpan w:val="2"/>
          </w:tcPr>
          <w:p>
            <w:pPr>
              <w:ind w:left="1080"/>
              <w:spacing w:after="0" w:line="122" w:lineRule="exact"/>
              <w:rPr>
                <w:sz w:val="20"/>
                <w:szCs w:val="20"/>
                <w:color w:val="auto"/>
              </w:rPr>
            </w:pPr>
            <w:r>
              <w:rPr>
                <w:rFonts w:ascii="Arial" w:cs="Arial" w:eastAsia="Arial" w:hAnsi="Arial"/>
                <w:sz w:val="11"/>
                <w:szCs w:val="11"/>
                <w:color w:val="auto"/>
                <w:w w:val="96"/>
              </w:rPr>
              <w:t>88.2%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Washington</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472</w:t>
            </w: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482</w:t>
            </w:r>
          </w:p>
        </w:tc>
        <w:tc>
          <w:tcPr>
            <w:tcW w:w="22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56,590</w:t>
            </w:r>
          </w:p>
        </w:tc>
        <w:tc>
          <w:tcPr>
            <w:tcW w:w="14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56,590</w:t>
            </w:r>
          </w:p>
        </w:tc>
        <w:tc>
          <w:tcPr>
            <w:tcW w:w="1500" w:type="dxa"/>
            <w:vAlign w:val="bottom"/>
            <w:gridSpan w:val="2"/>
            <w:shd w:val="clear" w:color="auto" w:fill="CCEEFF"/>
          </w:tcPr>
          <w:p>
            <w:pPr>
              <w:ind w:left="1100"/>
              <w:spacing w:after="0" w:line="122" w:lineRule="exact"/>
              <w:rPr>
                <w:sz w:val="20"/>
                <w:szCs w:val="20"/>
                <w:color w:val="auto"/>
              </w:rPr>
            </w:pPr>
            <w:r>
              <w:rPr>
                <w:rFonts w:ascii="Arial" w:cs="Arial" w:eastAsia="Arial" w:hAnsi="Arial"/>
                <w:sz w:val="11"/>
                <w:szCs w:val="11"/>
                <w:color w:val="auto"/>
              </w:rPr>
              <w:t>72.3%</w:t>
            </w:r>
          </w:p>
        </w:tc>
        <w:tc>
          <w:tcPr>
            <w:tcW w:w="1400" w:type="dxa"/>
            <w:vAlign w:val="bottom"/>
            <w:gridSpan w:val="2"/>
            <w:shd w:val="clear" w:color="auto" w:fill="CCEEFF"/>
          </w:tcPr>
          <w:p>
            <w:pPr>
              <w:ind w:left="1080"/>
              <w:spacing w:after="0" w:line="122" w:lineRule="exact"/>
              <w:rPr>
                <w:sz w:val="20"/>
                <w:szCs w:val="20"/>
                <w:color w:val="auto"/>
              </w:rPr>
            </w:pPr>
            <w:r>
              <w:rPr>
                <w:rFonts w:ascii="Arial" w:cs="Arial" w:eastAsia="Arial" w:hAnsi="Arial"/>
                <w:sz w:val="11"/>
                <w:szCs w:val="11"/>
                <w:color w:val="auto"/>
                <w:w w:val="96"/>
              </w:rPr>
              <w:t>64.5%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spacing w:after="0" w:line="122" w:lineRule="exact"/>
              <w:rPr>
                <w:sz w:val="20"/>
                <w:szCs w:val="20"/>
                <w:color w:val="auto"/>
              </w:rPr>
            </w:pPr>
            <w:r>
              <w:rPr>
                <w:rFonts w:ascii="Arial" w:cs="Arial" w:eastAsia="Arial" w:hAnsi="Arial"/>
                <w:sz w:val="11"/>
                <w:szCs w:val="11"/>
                <w:color w:val="auto"/>
              </w:rPr>
              <w:t>Washington, DC</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20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1,263</w:t>
            </w:r>
          </w:p>
        </w:tc>
        <w:tc>
          <w:tcPr>
            <w:tcW w:w="22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1,263</w:t>
            </w:r>
          </w:p>
        </w:tc>
        <w:tc>
          <w:tcPr>
            <w:tcW w:w="220" w:type="dxa"/>
            <w:vAlign w:val="bottom"/>
          </w:tcPr>
          <w:p>
            <w:pPr>
              <w:spacing w:after="0"/>
              <w:rPr>
                <w:sz w:val="10"/>
                <w:szCs w:val="10"/>
                <w:color w:val="auto"/>
              </w:rPr>
            </w:pP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112,459</w:t>
            </w:r>
          </w:p>
        </w:tc>
        <w:tc>
          <w:tcPr>
            <w:tcW w:w="14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112,459</w:t>
            </w:r>
          </w:p>
        </w:tc>
        <w:tc>
          <w:tcPr>
            <w:tcW w:w="1500" w:type="dxa"/>
            <w:vAlign w:val="bottom"/>
            <w:gridSpan w:val="2"/>
          </w:tcPr>
          <w:p>
            <w:pPr>
              <w:ind w:left="1100"/>
              <w:spacing w:after="0" w:line="122" w:lineRule="exact"/>
              <w:rPr>
                <w:sz w:val="20"/>
                <w:szCs w:val="20"/>
                <w:color w:val="auto"/>
              </w:rPr>
            </w:pPr>
            <w:r>
              <w:rPr>
                <w:rFonts w:ascii="Arial" w:cs="Arial" w:eastAsia="Arial" w:hAnsi="Arial"/>
                <w:sz w:val="11"/>
                <w:szCs w:val="11"/>
                <w:color w:val="auto"/>
              </w:rPr>
              <w:t>94.6%</w:t>
            </w:r>
          </w:p>
        </w:tc>
        <w:tc>
          <w:tcPr>
            <w:tcW w:w="1400" w:type="dxa"/>
            <w:vAlign w:val="bottom"/>
            <w:gridSpan w:val="2"/>
          </w:tcPr>
          <w:p>
            <w:pPr>
              <w:ind w:left="1080"/>
              <w:spacing w:after="0" w:line="122" w:lineRule="exact"/>
              <w:rPr>
                <w:sz w:val="20"/>
                <w:szCs w:val="20"/>
                <w:color w:val="auto"/>
              </w:rPr>
            </w:pPr>
            <w:r>
              <w:rPr>
                <w:rFonts w:ascii="Arial" w:cs="Arial" w:eastAsia="Arial" w:hAnsi="Arial"/>
                <w:sz w:val="11"/>
                <w:szCs w:val="11"/>
                <w:color w:val="auto"/>
                <w:w w:val="96"/>
              </w:rPr>
              <w:t>92.7%</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580" w:type="dxa"/>
            <w:vAlign w:val="bottom"/>
            <w:tcBorders>
              <w:top w:val="single" w:sz="8" w:color="CCEEFF"/>
            </w:tcBorders>
            <w:gridSpan w:val="2"/>
            <w:shd w:val="clear" w:color="auto" w:fill="CCEEFF"/>
          </w:tcPr>
          <w:p>
            <w:pPr>
              <w:spacing w:after="0" w:line="88" w:lineRule="exact"/>
              <w:rPr>
                <w:sz w:val="20"/>
                <w:szCs w:val="20"/>
                <w:color w:val="auto"/>
              </w:rPr>
            </w:pPr>
            <w:r>
              <w:rPr>
                <w:rFonts w:ascii="Arial" w:cs="Arial" w:eastAsia="Arial" w:hAnsi="Arial"/>
                <w:sz w:val="10"/>
                <w:szCs w:val="10"/>
                <w:b w:val="1"/>
                <w:bCs w:val="1"/>
                <w:color w:val="auto"/>
              </w:rPr>
              <w:t>Total Stabilized Managed</w:t>
            </w:r>
          </w:p>
        </w:tc>
        <w:tc>
          <w:tcPr>
            <w:tcW w:w="78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12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28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12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2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1"/>
                <w:szCs w:val="11"/>
                <w:b w:val="1"/>
                <w:bCs w:val="1"/>
                <w:color w:val="auto"/>
              </w:rPr>
              <w:t>Properties</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145</w:t>
            </w: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82,292</w:t>
            </w: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82,749</w:t>
            </w:r>
          </w:p>
        </w:tc>
        <w:tc>
          <w:tcPr>
            <w:tcW w:w="22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9,786,846</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9,699,011</w:t>
            </w: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1"/>
                <w:szCs w:val="11"/>
                <w:b w:val="1"/>
                <w:bCs w:val="1"/>
                <w:color w:val="auto"/>
              </w:rPr>
              <w:t>78.3%</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1"/>
                <w:szCs w:val="11"/>
                <w:b w:val="1"/>
                <w:bCs w:val="1"/>
                <w:color w:val="auto"/>
                <w:w w:val="96"/>
              </w:rPr>
              <w:t>74.8%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 Stabilized Properties</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781</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512,951</w:t>
            </w: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514,304</w:t>
            </w:r>
          </w:p>
        </w:tc>
        <w:tc>
          <w:tcPr>
            <w:tcW w:w="2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56,062,001</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55,912,614</w:t>
            </w:r>
          </w:p>
        </w:tc>
        <w:tc>
          <w:tcPr>
            <w:tcW w:w="1500" w:type="dxa"/>
            <w:vAlign w:val="bottom"/>
            <w:gridSpan w:val="2"/>
            <w:shd w:val="clear" w:color="auto" w:fill="CCEEFF"/>
          </w:tcPr>
          <w:p>
            <w:pPr>
              <w:ind w:left="1100"/>
              <w:spacing w:after="0" w:line="149" w:lineRule="exact"/>
              <w:rPr>
                <w:sz w:val="20"/>
                <w:szCs w:val="20"/>
                <w:color w:val="auto"/>
              </w:rPr>
            </w:pPr>
            <w:r>
              <w:rPr>
                <w:rFonts w:ascii="Arial" w:cs="Arial" w:eastAsia="Arial" w:hAnsi="Arial"/>
                <w:sz w:val="9"/>
                <w:szCs w:val="9"/>
                <w:b w:val="1"/>
                <w:bCs w:val="1"/>
                <w:color w:val="auto"/>
              </w:rPr>
              <w:t>86.5</w:t>
            </w:r>
            <w:r>
              <w:rPr>
                <w:rFonts w:ascii="Arial" w:cs="Arial" w:eastAsia="Arial" w:hAnsi="Arial"/>
                <w:sz w:val="17"/>
                <w:szCs w:val="17"/>
                <w:b w:val="1"/>
                <w:bCs w:val="1"/>
                <w:color w:val="auto"/>
                <w:vertAlign w:val="superscript"/>
              </w:rPr>
              <w:t>%</w:t>
            </w:r>
          </w:p>
        </w:tc>
        <w:tc>
          <w:tcPr>
            <w:tcW w:w="1400" w:type="dxa"/>
            <w:vAlign w:val="bottom"/>
            <w:gridSpan w:val="2"/>
            <w:shd w:val="clear" w:color="auto" w:fill="CCEEFF"/>
          </w:tcPr>
          <w:p>
            <w:pPr>
              <w:ind w:left="1080"/>
              <w:spacing w:after="0" w:line="149" w:lineRule="exact"/>
              <w:rPr>
                <w:sz w:val="20"/>
                <w:szCs w:val="20"/>
                <w:color w:val="auto"/>
              </w:rPr>
            </w:pPr>
            <w:r>
              <w:rPr>
                <w:rFonts w:ascii="Arial" w:cs="Arial" w:eastAsia="Arial" w:hAnsi="Arial"/>
                <w:sz w:val="9"/>
                <w:szCs w:val="9"/>
                <w:b w:val="1"/>
                <w:bCs w:val="1"/>
                <w:color w:val="auto"/>
              </w:rPr>
              <w:t>83.7</w:t>
            </w:r>
            <w:r>
              <w:rPr>
                <w:rFonts w:ascii="Arial" w:cs="Arial" w:eastAsia="Arial" w:hAnsi="Arial"/>
                <w:sz w:val="17"/>
                <w:szCs w:val="17"/>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unit count as of June 30, 2011, which may differ from June 30, 2010 unit count due to unit conversions or expansions.</w:t>
      </w:r>
    </w:p>
    <w:p>
      <w:pPr>
        <w:spacing w:after="0" w:line="225" w:lineRule="exact"/>
        <w:rPr>
          <w:rFonts w:ascii="Arial" w:cs="Arial" w:eastAsia="Arial" w:hAnsi="Arial"/>
          <w:sz w:val="18"/>
          <w:szCs w:val="18"/>
          <w:i w:val="1"/>
          <w:iCs w:val="1"/>
          <w:color w:val="auto"/>
        </w:rPr>
      </w:pPr>
    </w:p>
    <w:p>
      <w:pPr>
        <w:ind w:left="340" w:right="760" w:hanging="332"/>
        <w:spacing w:after="0" w:line="277" w:lineRule="auto"/>
        <w:tabs>
          <w:tab w:leader="none" w:pos="3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rentable square feet as of June 30, 2011, which may differ from June 30, 2010 net rentable square feet due to unit conversions or expansions.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sets forth additional information regarding the occupancy of our lease-up properties on a state-by-state basis as of June 30, 2011 and 2010. The information as of June 30, 2010 is on a pro forma basis as though all the properties owned and/or managed at June 30, 2011 were under our control as of June 30,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Lease-up Property Data Based on Location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Company</w:t>
            </w:r>
          </w:p>
        </w:tc>
        <w:tc>
          <w:tcPr>
            <w:tcW w:w="14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Pro forma</w:t>
            </w:r>
          </w:p>
        </w:tc>
        <w:tc>
          <w:tcPr>
            <w:tcW w:w="14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5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Pro forma</w:t>
            </w:r>
          </w:p>
        </w:tc>
        <w:tc>
          <w:tcPr>
            <w:tcW w:w="13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Company</w:t>
            </w:r>
          </w:p>
        </w:tc>
        <w:tc>
          <w:tcPr>
            <w:tcW w:w="12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Pro forma</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200" w:type="dxa"/>
            <w:vAlign w:val="bottom"/>
          </w:tcPr>
          <w:p>
            <w:pPr>
              <w:spacing w:after="0"/>
              <w:rPr>
                <w:sz w:val="8"/>
                <w:szCs w:val="8"/>
                <w:color w:val="auto"/>
              </w:rPr>
            </w:pPr>
          </w:p>
        </w:tc>
        <w:tc>
          <w:tcPr>
            <w:tcW w:w="128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220" w:type="dxa"/>
            <w:vAlign w:val="bottom"/>
          </w:tcPr>
          <w:p>
            <w:pPr>
              <w:spacing w:after="0"/>
              <w:rPr>
                <w:sz w:val="8"/>
                <w:szCs w:val="8"/>
                <w:color w:val="auto"/>
              </w:rPr>
            </w:pPr>
          </w:p>
        </w:tc>
        <w:tc>
          <w:tcPr>
            <w:tcW w:w="11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220" w:type="dxa"/>
            <w:vAlign w:val="bottom"/>
          </w:tcPr>
          <w:p>
            <w:pPr>
              <w:spacing w:after="0"/>
              <w:rPr>
                <w:sz w:val="8"/>
                <w:szCs w:val="8"/>
                <w:color w:val="auto"/>
              </w:rPr>
            </w:pPr>
          </w:p>
        </w:tc>
        <w:tc>
          <w:tcPr>
            <w:tcW w:w="11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0"/>
              </w:rPr>
              <w:t>Square Foot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ind w:left="140"/>
              <w:spacing w:after="0" w:line="122" w:lineRule="exact"/>
              <w:rPr>
                <w:sz w:val="20"/>
                <w:szCs w:val="20"/>
                <w:color w:val="auto"/>
              </w:rPr>
            </w:pPr>
            <w:r>
              <w:rPr>
                <w:rFonts w:ascii="Arial" w:cs="Arial" w:eastAsia="Arial" w:hAnsi="Arial"/>
                <w:sz w:val="11"/>
                <w:szCs w:val="11"/>
                <w:b w:val="1"/>
                <w:bCs w:val="1"/>
                <w:color w:val="auto"/>
                <w:w w:val="87"/>
              </w:rPr>
              <w:t>Number of</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4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4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Feet as of</w:t>
            </w:r>
          </w:p>
        </w:tc>
        <w:tc>
          <w:tcPr>
            <w:tcW w:w="15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5"/>
              </w:rPr>
              <w:t>Feet as of</w:t>
            </w:r>
          </w:p>
        </w:tc>
        <w:tc>
          <w:tcPr>
            <w:tcW w:w="13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1"/>
              </w:rPr>
              <w:t>Occupancy %</w:t>
            </w:r>
          </w:p>
        </w:tc>
        <w:tc>
          <w:tcPr>
            <w:tcW w:w="12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Occupancy %</w:t>
            </w:r>
          </w:p>
        </w:tc>
        <w:tc>
          <w:tcPr>
            <w:tcW w:w="0" w:type="dxa"/>
            <w:vAlign w:val="bottom"/>
          </w:tcPr>
          <w:p>
            <w:pPr>
              <w:spacing w:after="0"/>
              <w:rPr>
                <w:sz w:val="1"/>
                <w:szCs w:val="1"/>
                <w:color w:val="auto"/>
              </w:rPr>
            </w:pPr>
          </w:p>
        </w:tc>
      </w:tr>
      <w:tr>
        <w:trPr>
          <w:trHeight w:val="135"/>
        </w:trPr>
        <w:tc>
          <w:tcPr>
            <w:tcW w:w="1840" w:type="dxa"/>
            <w:vAlign w:val="bottom"/>
            <w:gridSpan w:val="3"/>
          </w:tcPr>
          <w:p>
            <w:pPr>
              <w:spacing w:after="0"/>
              <w:rPr>
                <w:sz w:val="20"/>
                <w:szCs w:val="20"/>
                <w:color w:val="auto"/>
              </w:rPr>
            </w:pPr>
            <w:r>
              <w:rPr>
                <w:rFonts w:ascii="Arial" w:cs="Arial" w:eastAsia="Arial" w:hAnsi="Arial"/>
                <w:sz w:val="11"/>
                <w:szCs w:val="11"/>
                <w:b w:val="1"/>
                <w:bCs w:val="1"/>
                <w:color w:val="auto"/>
              </w:rPr>
              <w:t>Location</w:t>
            </w:r>
          </w:p>
        </w:tc>
        <w:tc>
          <w:tcPr>
            <w:tcW w:w="640" w:type="dxa"/>
            <w:vAlign w:val="bottom"/>
          </w:tcPr>
          <w:p>
            <w:pPr>
              <w:ind w:left="160"/>
              <w:spacing w:after="0"/>
              <w:rPr>
                <w:sz w:val="20"/>
                <w:szCs w:val="20"/>
                <w:color w:val="auto"/>
              </w:rPr>
            </w:pPr>
            <w:r>
              <w:rPr>
                <w:rFonts w:ascii="Arial" w:cs="Arial" w:eastAsia="Arial" w:hAnsi="Arial"/>
                <w:sz w:val="11"/>
                <w:szCs w:val="11"/>
                <w:b w:val="1"/>
                <w:bCs w:val="1"/>
                <w:color w:val="auto"/>
                <w:w w:val="84"/>
              </w:rPr>
              <w:t>Properties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June 30, 2011 (1)</w:t>
            </w:r>
          </w:p>
        </w:tc>
        <w:tc>
          <w:tcPr>
            <w:tcW w:w="14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June 30, 2010</w:t>
            </w:r>
          </w:p>
        </w:tc>
        <w:tc>
          <w:tcPr>
            <w:tcW w:w="14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June 30, 2011 (2)</w:t>
            </w:r>
          </w:p>
        </w:tc>
        <w:tc>
          <w:tcPr>
            <w:tcW w:w="15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June 30, 2010</w:t>
            </w:r>
          </w:p>
        </w:tc>
        <w:tc>
          <w:tcPr>
            <w:tcW w:w="13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June 30, 2011</w:t>
            </w:r>
          </w:p>
        </w:tc>
        <w:tc>
          <w:tcPr>
            <w:tcW w:w="12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June 30, 2010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Wholly-owned properties</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Arizona</w:t>
            </w:r>
          </w:p>
        </w:tc>
        <w:tc>
          <w:tcPr>
            <w:tcW w:w="640" w:type="dxa"/>
            <w:vAlign w:val="bottom"/>
          </w:tcPr>
          <w:p>
            <w:pPr>
              <w:spacing w:after="0"/>
              <w:rPr>
                <w:sz w:val="10"/>
                <w:szCs w:val="10"/>
                <w:color w:val="auto"/>
              </w:rPr>
            </w:pPr>
          </w:p>
        </w:tc>
        <w:tc>
          <w:tcPr>
            <w:tcW w:w="3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644</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71,355</w:t>
            </w:r>
          </w:p>
        </w:tc>
        <w:tc>
          <w:tcPr>
            <w:tcW w:w="200" w:type="dxa"/>
            <w:vAlign w:val="bottom"/>
          </w:tcPr>
          <w:p>
            <w:pPr>
              <w:spacing w:after="0"/>
              <w:rPr>
                <w:sz w:val="10"/>
                <w:szCs w:val="10"/>
                <w:color w:val="auto"/>
              </w:rPr>
            </w:pPr>
          </w:p>
        </w:tc>
        <w:tc>
          <w:tcPr>
            <w:tcW w:w="15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3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20.0%</w:t>
            </w:r>
          </w:p>
        </w:tc>
        <w:tc>
          <w:tcPr>
            <w:tcW w:w="12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California</w:t>
            </w:r>
          </w:p>
        </w:tc>
        <w:tc>
          <w:tcPr>
            <w:tcW w:w="6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w w:val="97"/>
              </w:rPr>
              <w:t>13</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9,206</w:t>
            </w: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8,614</w:t>
            </w: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1,006,956</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933,878</w:t>
            </w:r>
          </w:p>
        </w:tc>
        <w:tc>
          <w:tcPr>
            <w:tcW w:w="22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67.7%</w:t>
            </w:r>
          </w:p>
        </w:tc>
        <w:tc>
          <w:tcPr>
            <w:tcW w:w="12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41.5%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Florida</w:t>
            </w:r>
          </w:p>
        </w:tc>
        <w:tc>
          <w:tcPr>
            <w:tcW w:w="640" w:type="dxa"/>
            <w:vAlign w:val="bottom"/>
          </w:tcPr>
          <w:p>
            <w:pPr>
              <w:spacing w:after="0"/>
              <w:rPr>
                <w:sz w:val="10"/>
                <w:szCs w:val="10"/>
                <w:color w:val="auto"/>
              </w:rPr>
            </w:pPr>
          </w:p>
        </w:tc>
        <w:tc>
          <w:tcPr>
            <w:tcW w:w="3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8</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6,574</w:t>
            </w: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4,133</w:t>
            </w:r>
          </w:p>
        </w:tc>
        <w:tc>
          <w:tcPr>
            <w:tcW w:w="22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644,265</w:t>
            </w:r>
          </w:p>
        </w:tc>
        <w:tc>
          <w:tcPr>
            <w:tcW w:w="20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402,705</w:t>
            </w:r>
          </w:p>
        </w:tc>
        <w:tc>
          <w:tcPr>
            <w:tcW w:w="220" w:type="dxa"/>
            <w:vAlign w:val="bottom"/>
          </w:tcPr>
          <w:p>
            <w:pPr>
              <w:spacing w:after="0"/>
              <w:rPr>
                <w:sz w:val="10"/>
                <w:szCs w:val="10"/>
                <w:color w:val="auto"/>
              </w:rPr>
            </w:pPr>
          </w:p>
        </w:tc>
        <w:tc>
          <w:tcPr>
            <w:tcW w:w="13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40.6%</w:t>
            </w:r>
          </w:p>
        </w:tc>
        <w:tc>
          <w:tcPr>
            <w:tcW w:w="12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25.9%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Georgia</w:t>
            </w:r>
          </w:p>
        </w:tc>
        <w:tc>
          <w:tcPr>
            <w:tcW w:w="6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4</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1,982</w:t>
            </w: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2,000</w:t>
            </w: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252,086</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253,118</w:t>
            </w:r>
          </w:p>
        </w:tc>
        <w:tc>
          <w:tcPr>
            <w:tcW w:w="22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74.7%</w:t>
            </w:r>
          </w:p>
        </w:tc>
        <w:tc>
          <w:tcPr>
            <w:tcW w:w="12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60.4%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Illinois</w:t>
            </w:r>
          </w:p>
        </w:tc>
        <w:tc>
          <w:tcPr>
            <w:tcW w:w="640" w:type="dxa"/>
            <w:vAlign w:val="bottom"/>
          </w:tcPr>
          <w:p>
            <w:pPr>
              <w:spacing w:after="0"/>
              <w:rPr>
                <w:sz w:val="10"/>
                <w:szCs w:val="10"/>
                <w:color w:val="auto"/>
              </w:rPr>
            </w:pPr>
          </w:p>
        </w:tc>
        <w:tc>
          <w:tcPr>
            <w:tcW w:w="3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1,372</w:t>
            </w: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1,410</w:t>
            </w:r>
          </w:p>
        </w:tc>
        <w:tc>
          <w:tcPr>
            <w:tcW w:w="22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150,900</w:t>
            </w:r>
          </w:p>
        </w:tc>
        <w:tc>
          <w:tcPr>
            <w:tcW w:w="20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151,020</w:t>
            </w:r>
          </w:p>
        </w:tc>
        <w:tc>
          <w:tcPr>
            <w:tcW w:w="220" w:type="dxa"/>
            <w:vAlign w:val="bottom"/>
          </w:tcPr>
          <w:p>
            <w:pPr>
              <w:spacing w:after="0"/>
              <w:rPr>
                <w:sz w:val="10"/>
                <w:szCs w:val="10"/>
                <w:color w:val="auto"/>
              </w:rPr>
            </w:pPr>
          </w:p>
        </w:tc>
        <w:tc>
          <w:tcPr>
            <w:tcW w:w="13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66.9%</w:t>
            </w:r>
          </w:p>
        </w:tc>
        <w:tc>
          <w:tcPr>
            <w:tcW w:w="12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47.6%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Maryland</w:t>
            </w:r>
          </w:p>
        </w:tc>
        <w:tc>
          <w:tcPr>
            <w:tcW w:w="6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3</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2,448</w:t>
            </w: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1,631</w:t>
            </w: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241,910</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156,825</w:t>
            </w:r>
          </w:p>
        </w:tc>
        <w:tc>
          <w:tcPr>
            <w:tcW w:w="22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42.7%</w:t>
            </w:r>
          </w:p>
        </w:tc>
        <w:tc>
          <w:tcPr>
            <w:tcW w:w="12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Massachusetts</w:t>
            </w:r>
          </w:p>
        </w:tc>
        <w:tc>
          <w:tcPr>
            <w:tcW w:w="640" w:type="dxa"/>
            <w:vAlign w:val="bottom"/>
          </w:tcPr>
          <w:p>
            <w:pPr>
              <w:spacing w:after="0"/>
              <w:rPr>
                <w:sz w:val="10"/>
                <w:szCs w:val="10"/>
                <w:color w:val="auto"/>
              </w:rPr>
            </w:pPr>
          </w:p>
        </w:tc>
        <w:tc>
          <w:tcPr>
            <w:tcW w:w="3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615</w:t>
            </w: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601</w:t>
            </w:r>
          </w:p>
        </w:tc>
        <w:tc>
          <w:tcPr>
            <w:tcW w:w="22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74,025</w:t>
            </w:r>
          </w:p>
        </w:tc>
        <w:tc>
          <w:tcPr>
            <w:tcW w:w="20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73,550</w:t>
            </w:r>
          </w:p>
        </w:tc>
        <w:tc>
          <w:tcPr>
            <w:tcW w:w="220" w:type="dxa"/>
            <w:vAlign w:val="bottom"/>
          </w:tcPr>
          <w:p>
            <w:pPr>
              <w:spacing w:after="0"/>
              <w:rPr>
                <w:sz w:val="10"/>
                <w:szCs w:val="10"/>
                <w:color w:val="auto"/>
              </w:rPr>
            </w:pPr>
          </w:p>
        </w:tc>
        <w:tc>
          <w:tcPr>
            <w:tcW w:w="13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72.3%</w:t>
            </w:r>
          </w:p>
        </w:tc>
        <w:tc>
          <w:tcPr>
            <w:tcW w:w="12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63.9%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Jersey</w:t>
            </w:r>
          </w:p>
        </w:tc>
        <w:tc>
          <w:tcPr>
            <w:tcW w:w="6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2</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1,240</w:t>
            </w: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1,276</w:t>
            </w: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126,430</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127,155</w:t>
            </w:r>
          </w:p>
        </w:tc>
        <w:tc>
          <w:tcPr>
            <w:tcW w:w="22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74.1%</w:t>
            </w:r>
          </w:p>
        </w:tc>
        <w:tc>
          <w:tcPr>
            <w:tcW w:w="12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48.3%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New York</w:t>
            </w:r>
          </w:p>
        </w:tc>
        <w:tc>
          <w:tcPr>
            <w:tcW w:w="640" w:type="dxa"/>
            <w:vAlign w:val="bottom"/>
          </w:tcPr>
          <w:p>
            <w:pPr>
              <w:spacing w:after="0"/>
              <w:rPr>
                <w:sz w:val="10"/>
                <w:szCs w:val="10"/>
                <w:color w:val="auto"/>
              </w:rPr>
            </w:pPr>
          </w:p>
        </w:tc>
        <w:tc>
          <w:tcPr>
            <w:tcW w:w="3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667</w:t>
            </w: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674</w:t>
            </w:r>
          </w:p>
        </w:tc>
        <w:tc>
          <w:tcPr>
            <w:tcW w:w="22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42,571</w:t>
            </w:r>
          </w:p>
        </w:tc>
        <w:tc>
          <w:tcPr>
            <w:tcW w:w="20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42,563</w:t>
            </w:r>
          </w:p>
        </w:tc>
        <w:tc>
          <w:tcPr>
            <w:tcW w:w="220" w:type="dxa"/>
            <w:vAlign w:val="bottom"/>
          </w:tcPr>
          <w:p>
            <w:pPr>
              <w:spacing w:after="0"/>
              <w:rPr>
                <w:sz w:val="10"/>
                <w:szCs w:val="10"/>
                <w:color w:val="auto"/>
              </w:rPr>
            </w:pPr>
          </w:p>
        </w:tc>
        <w:tc>
          <w:tcPr>
            <w:tcW w:w="13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73.5%</w:t>
            </w:r>
          </w:p>
        </w:tc>
        <w:tc>
          <w:tcPr>
            <w:tcW w:w="12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68.9%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Oregon</w:t>
            </w:r>
          </w:p>
        </w:tc>
        <w:tc>
          <w:tcPr>
            <w:tcW w:w="6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w:t>
            </w: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724</w:t>
            </w: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744</w:t>
            </w: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76,020</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75,995</w:t>
            </w:r>
          </w:p>
        </w:tc>
        <w:tc>
          <w:tcPr>
            <w:tcW w:w="22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64.5%</w:t>
            </w:r>
          </w:p>
        </w:tc>
        <w:tc>
          <w:tcPr>
            <w:tcW w:w="12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28.0%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tcPr>
          <w:p>
            <w:pPr>
              <w:spacing w:after="0" w:line="122" w:lineRule="exact"/>
              <w:rPr>
                <w:sz w:val="20"/>
                <w:szCs w:val="20"/>
                <w:color w:val="auto"/>
              </w:rPr>
            </w:pPr>
            <w:r>
              <w:rPr>
                <w:rFonts w:ascii="Arial" w:cs="Arial" w:eastAsia="Arial" w:hAnsi="Arial"/>
                <w:sz w:val="11"/>
                <w:szCs w:val="11"/>
                <w:color w:val="auto"/>
              </w:rPr>
              <w:t>Tennessee</w:t>
            </w:r>
          </w:p>
        </w:tc>
        <w:tc>
          <w:tcPr>
            <w:tcW w:w="640" w:type="dxa"/>
            <w:vAlign w:val="bottom"/>
          </w:tcPr>
          <w:p>
            <w:pPr>
              <w:spacing w:after="0"/>
              <w:rPr>
                <w:sz w:val="10"/>
                <w:szCs w:val="10"/>
                <w:color w:val="auto"/>
              </w:rPr>
            </w:pPr>
          </w:p>
        </w:tc>
        <w:tc>
          <w:tcPr>
            <w:tcW w:w="3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w:t>
            </w:r>
          </w:p>
        </w:tc>
        <w:tc>
          <w:tcPr>
            <w:tcW w:w="14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505</w:t>
            </w: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506</w:t>
            </w:r>
          </w:p>
        </w:tc>
        <w:tc>
          <w:tcPr>
            <w:tcW w:w="22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69,550</w:t>
            </w:r>
          </w:p>
        </w:tc>
        <w:tc>
          <w:tcPr>
            <w:tcW w:w="20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1"/>
                <w:szCs w:val="11"/>
                <w:color w:val="auto"/>
              </w:rPr>
              <w:t>69,550</w:t>
            </w:r>
          </w:p>
        </w:tc>
        <w:tc>
          <w:tcPr>
            <w:tcW w:w="220" w:type="dxa"/>
            <w:vAlign w:val="bottom"/>
          </w:tcPr>
          <w:p>
            <w:pPr>
              <w:spacing w:after="0"/>
              <w:rPr>
                <w:sz w:val="10"/>
                <w:szCs w:val="10"/>
                <w:color w:val="auto"/>
              </w:rPr>
            </w:pPr>
          </w:p>
        </w:tc>
        <w:tc>
          <w:tcPr>
            <w:tcW w:w="13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69.2%</w:t>
            </w:r>
          </w:p>
        </w:tc>
        <w:tc>
          <w:tcPr>
            <w:tcW w:w="12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63.6%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Texas</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22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1,066</w:t>
            </w: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1,087</w:t>
            </w: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152,860</w:t>
            </w: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156,050</w:t>
            </w:r>
          </w:p>
        </w:tc>
        <w:tc>
          <w:tcPr>
            <w:tcW w:w="22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68.1%</w:t>
            </w:r>
          </w:p>
        </w:tc>
        <w:tc>
          <w:tcPr>
            <w:tcW w:w="12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Wholly-Owned Lease up</w:t>
            </w: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97"/>
              </w:rPr>
              <w:t>39</w:t>
            </w:r>
          </w:p>
        </w:tc>
        <w:tc>
          <w:tcPr>
            <w:tcW w:w="220" w:type="dxa"/>
            <w:vAlign w:val="bottom"/>
            <w:vMerge w:val="continue"/>
          </w:tcPr>
          <w:p>
            <w:pPr>
              <w:spacing w:after="0"/>
              <w:rPr>
                <w:sz w:val="10"/>
                <w:szCs w:val="10"/>
                <w:color w:val="auto"/>
              </w:rPr>
            </w:pPr>
          </w:p>
        </w:tc>
        <w:tc>
          <w:tcPr>
            <w:tcW w:w="126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27,043</w:t>
            </w:r>
          </w:p>
        </w:tc>
        <w:tc>
          <w:tcPr>
            <w:tcW w:w="220" w:type="dxa"/>
            <w:vAlign w:val="bottom"/>
            <w:vMerge w:val="continue"/>
          </w:tcPr>
          <w:p>
            <w:pPr>
              <w:spacing w:after="0"/>
              <w:rPr>
                <w:sz w:val="10"/>
                <w:szCs w:val="10"/>
                <w:color w:val="auto"/>
              </w:rPr>
            </w:pPr>
          </w:p>
        </w:tc>
        <w:tc>
          <w:tcPr>
            <w:tcW w:w="126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22,676</w:t>
            </w:r>
          </w:p>
        </w:tc>
        <w:tc>
          <w:tcPr>
            <w:tcW w:w="220" w:type="dxa"/>
            <w:vAlign w:val="bottom"/>
          </w:tcPr>
          <w:p>
            <w:pPr>
              <w:spacing w:after="0"/>
              <w:rPr>
                <w:sz w:val="10"/>
                <w:szCs w:val="10"/>
                <w:color w:val="auto"/>
              </w:rPr>
            </w:pPr>
          </w:p>
        </w:tc>
        <w:tc>
          <w:tcPr>
            <w:tcW w:w="12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2,908,928</w:t>
            </w:r>
          </w:p>
        </w:tc>
        <w:tc>
          <w:tcPr>
            <w:tcW w:w="200" w:type="dxa"/>
            <w:vAlign w:val="bottom"/>
          </w:tcPr>
          <w:p>
            <w:pPr>
              <w:spacing w:after="0"/>
              <w:rPr>
                <w:sz w:val="10"/>
                <w:szCs w:val="10"/>
                <w:color w:val="auto"/>
              </w:rPr>
            </w:pPr>
          </w:p>
        </w:tc>
        <w:tc>
          <w:tcPr>
            <w:tcW w:w="12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2,442,409</w:t>
            </w:r>
          </w:p>
        </w:tc>
        <w:tc>
          <w:tcPr>
            <w:tcW w:w="220" w:type="dxa"/>
            <w:vAlign w:val="bottom"/>
          </w:tcPr>
          <w:p>
            <w:pPr>
              <w:spacing w:after="0"/>
              <w:rPr>
                <w:sz w:val="10"/>
                <w:szCs w:val="10"/>
                <w:color w:val="auto"/>
              </w:rPr>
            </w:pPr>
          </w:p>
        </w:tc>
        <w:tc>
          <w:tcPr>
            <w:tcW w:w="1360" w:type="dxa"/>
            <w:vAlign w:val="bottom"/>
            <w:gridSpan w:val="2"/>
          </w:tcPr>
          <w:p>
            <w:pPr>
              <w:jc w:val="right"/>
              <w:ind w:right="120"/>
              <w:spacing w:after="0" w:line="115" w:lineRule="exact"/>
              <w:rPr>
                <w:sz w:val="20"/>
                <w:szCs w:val="20"/>
                <w:color w:val="auto"/>
              </w:rPr>
            </w:pPr>
            <w:r>
              <w:rPr>
                <w:rFonts w:ascii="Arial" w:cs="Arial" w:eastAsia="Arial" w:hAnsi="Arial"/>
                <w:sz w:val="11"/>
                <w:szCs w:val="11"/>
                <w:b w:val="1"/>
                <w:bCs w:val="1"/>
                <w:color w:val="auto"/>
              </w:rPr>
              <w:t>59.5%</w:t>
            </w:r>
          </w:p>
        </w:tc>
        <w:tc>
          <w:tcPr>
            <w:tcW w:w="1280" w:type="dxa"/>
            <w:vAlign w:val="bottom"/>
            <w:gridSpan w:val="2"/>
          </w:tcPr>
          <w:p>
            <w:pPr>
              <w:jc w:val="right"/>
              <w:ind w:right="20"/>
              <w:spacing w:after="0" w:line="115" w:lineRule="exact"/>
              <w:rPr>
                <w:sz w:val="20"/>
                <w:szCs w:val="20"/>
                <w:color w:val="auto"/>
              </w:rPr>
            </w:pPr>
            <w:r>
              <w:rPr>
                <w:rFonts w:ascii="Arial" w:cs="Arial" w:eastAsia="Arial" w:hAnsi="Arial"/>
                <w:sz w:val="11"/>
                <w:szCs w:val="11"/>
                <w:b w:val="1"/>
                <w:bCs w:val="1"/>
                <w:color w:val="auto"/>
              </w:rPr>
              <w:t>43.7%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6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Joint-venture properties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California</w:t>
            </w:r>
          </w:p>
        </w:tc>
        <w:tc>
          <w:tcPr>
            <w:tcW w:w="6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2,379</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2,355</w:t>
            </w:r>
          </w:p>
        </w:tc>
        <w:tc>
          <w:tcPr>
            <w:tcW w:w="14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216,912</w:t>
            </w:r>
          </w:p>
        </w:tc>
        <w:tc>
          <w:tcPr>
            <w:tcW w:w="1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216,208</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72.8%</w:t>
            </w:r>
          </w:p>
        </w:tc>
        <w:tc>
          <w:tcPr>
            <w:tcW w:w="12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46.5%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2"/>
                <w:szCs w:val="12"/>
                <w:color w:val="auto"/>
              </w:rPr>
              <w:t>Illinois</w:t>
            </w:r>
          </w:p>
        </w:tc>
        <w:tc>
          <w:tcPr>
            <w:tcW w:w="64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2</w:t>
            </w:r>
          </w:p>
        </w:tc>
        <w:tc>
          <w:tcPr>
            <w:tcW w:w="220" w:type="dxa"/>
            <w:vAlign w:val="bottom"/>
          </w:tcPr>
          <w:p>
            <w:pPr>
              <w:spacing w:after="0"/>
              <w:rPr>
                <w:sz w:val="11"/>
                <w:szCs w:val="11"/>
                <w:color w:val="auto"/>
              </w:rPr>
            </w:pP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1,307</w:t>
            </w: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1,209</w:t>
            </w:r>
          </w:p>
        </w:tc>
        <w:tc>
          <w:tcPr>
            <w:tcW w:w="14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131,418</w:t>
            </w:r>
          </w:p>
        </w:tc>
        <w:tc>
          <w:tcPr>
            <w:tcW w:w="15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121,052</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63.3%</w:t>
            </w:r>
          </w:p>
        </w:tc>
        <w:tc>
          <w:tcPr>
            <w:tcW w:w="12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gridSpan w:val="2"/>
            <w:vMerge w:val="restart"/>
            <w:shd w:val="clear" w:color="auto" w:fill="CCEEFF"/>
          </w:tcPr>
          <w:p>
            <w:pPr>
              <w:spacing w:after="0"/>
              <w:rPr>
                <w:sz w:val="20"/>
                <w:szCs w:val="20"/>
                <w:color w:val="auto"/>
              </w:rPr>
            </w:pPr>
            <w:r>
              <w:rPr>
                <w:rFonts w:ascii="Arial" w:cs="Arial" w:eastAsia="Arial" w:hAnsi="Arial"/>
                <w:sz w:val="12"/>
                <w:szCs w:val="12"/>
                <w:b w:val="1"/>
                <w:bCs w:val="1"/>
                <w:color w:val="auto"/>
              </w:rPr>
              <w:t>Total Lease up Joint-Ventures</w:t>
            </w: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gridSpan w:val="2"/>
            <w:vMerge w:val="continue"/>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5</w:t>
            </w:r>
          </w:p>
        </w:tc>
        <w:tc>
          <w:tcPr>
            <w:tcW w:w="220" w:type="dxa"/>
            <w:vAlign w:val="bottom"/>
            <w:vMerge w:val="continue"/>
            <w:shd w:val="clear" w:color="auto" w:fill="CCEEFF"/>
          </w:tcPr>
          <w:p>
            <w:pPr>
              <w:spacing w:after="0"/>
              <w:rPr>
                <w:sz w:val="11"/>
                <w:szCs w:val="11"/>
                <w:color w:val="auto"/>
              </w:rPr>
            </w:pPr>
          </w:p>
        </w:tc>
        <w:tc>
          <w:tcPr>
            <w:tcW w:w="12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3,686</w:t>
            </w:r>
          </w:p>
        </w:tc>
        <w:tc>
          <w:tcPr>
            <w:tcW w:w="220" w:type="dxa"/>
            <w:vAlign w:val="bottom"/>
            <w:vMerge w:val="continue"/>
            <w:shd w:val="clear" w:color="auto" w:fill="CCEEFF"/>
          </w:tcPr>
          <w:p>
            <w:pPr>
              <w:spacing w:after="0"/>
              <w:rPr>
                <w:sz w:val="11"/>
                <w:szCs w:val="11"/>
                <w:color w:val="auto"/>
              </w:rPr>
            </w:pPr>
          </w:p>
        </w:tc>
        <w:tc>
          <w:tcPr>
            <w:tcW w:w="12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3,564</w:t>
            </w:r>
          </w:p>
        </w:tc>
        <w:tc>
          <w:tcPr>
            <w:tcW w:w="220" w:type="dxa"/>
            <w:vAlign w:val="bottom"/>
            <w:vMerge w:val="continue"/>
            <w:shd w:val="clear" w:color="auto" w:fill="CCEEFF"/>
          </w:tcPr>
          <w:p>
            <w:pPr>
              <w:spacing w:after="0"/>
              <w:rPr>
                <w:sz w:val="11"/>
                <w:szCs w:val="11"/>
                <w:color w:val="auto"/>
              </w:rPr>
            </w:pPr>
          </w:p>
        </w:tc>
        <w:tc>
          <w:tcPr>
            <w:tcW w:w="12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348,330</w:t>
            </w:r>
          </w:p>
        </w:tc>
        <w:tc>
          <w:tcPr>
            <w:tcW w:w="200" w:type="dxa"/>
            <w:vAlign w:val="bottom"/>
            <w:vMerge w:val="continue"/>
            <w:shd w:val="clear" w:color="auto" w:fill="CCEEFF"/>
          </w:tcPr>
          <w:p>
            <w:pPr>
              <w:spacing w:after="0"/>
              <w:rPr>
                <w:sz w:val="11"/>
                <w:szCs w:val="11"/>
                <w:color w:val="auto"/>
              </w:rPr>
            </w:pPr>
          </w:p>
        </w:tc>
        <w:tc>
          <w:tcPr>
            <w:tcW w:w="12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337,260</w:t>
            </w:r>
          </w:p>
        </w:tc>
        <w:tc>
          <w:tcPr>
            <w:tcW w:w="220" w:type="dxa"/>
            <w:vAlign w:val="bottom"/>
            <w:vMerge w:val="continue"/>
            <w:shd w:val="clear" w:color="auto" w:fill="CCEEFF"/>
          </w:tcPr>
          <w:p>
            <w:pPr>
              <w:spacing w:after="0"/>
              <w:rPr>
                <w:sz w:val="11"/>
                <w:szCs w:val="11"/>
                <w:color w:val="auto"/>
              </w:rPr>
            </w:pPr>
          </w:p>
        </w:tc>
        <w:tc>
          <w:tcPr>
            <w:tcW w:w="13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b w:val="1"/>
                <w:bCs w:val="1"/>
                <w:color w:val="auto"/>
              </w:rPr>
              <w:t>69.2%</w:t>
            </w:r>
          </w:p>
        </w:tc>
        <w:tc>
          <w:tcPr>
            <w:tcW w:w="128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2"/>
                <w:szCs w:val="12"/>
                <w:b w:val="1"/>
                <w:bCs w:val="1"/>
                <w:color w:val="auto"/>
              </w:rPr>
              <w:t>49.7%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Managed properties</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2"/>
                <w:szCs w:val="12"/>
                <w:color w:val="auto"/>
              </w:rPr>
              <w:t>California</w:t>
            </w:r>
          </w:p>
        </w:tc>
        <w:tc>
          <w:tcPr>
            <w:tcW w:w="64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w:t>
            </w: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1,742</w:t>
            </w: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1,739</w:t>
            </w:r>
          </w:p>
        </w:tc>
        <w:tc>
          <w:tcPr>
            <w:tcW w:w="14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236,569</w:t>
            </w:r>
          </w:p>
        </w:tc>
        <w:tc>
          <w:tcPr>
            <w:tcW w:w="15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236,239</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70.7%</w:t>
            </w:r>
          </w:p>
        </w:tc>
        <w:tc>
          <w:tcPr>
            <w:tcW w:w="12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60.6%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Colorado</w:t>
            </w:r>
          </w:p>
        </w:tc>
        <w:tc>
          <w:tcPr>
            <w:tcW w:w="6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587</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14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60,896</w:t>
            </w:r>
          </w:p>
        </w:tc>
        <w:tc>
          <w:tcPr>
            <w:tcW w:w="1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21.2%</w:t>
            </w:r>
          </w:p>
        </w:tc>
        <w:tc>
          <w:tcPr>
            <w:tcW w:w="12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2"/>
                <w:szCs w:val="12"/>
                <w:color w:val="auto"/>
              </w:rPr>
              <w:t>Florida</w:t>
            </w:r>
          </w:p>
        </w:tc>
        <w:tc>
          <w:tcPr>
            <w:tcW w:w="64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9</w:t>
            </w: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6,523</w:t>
            </w: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6,640</w:t>
            </w:r>
          </w:p>
        </w:tc>
        <w:tc>
          <w:tcPr>
            <w:tcW w:w="14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623,242</w:t>
            </w:r>
          </w:p>
        </w:tc>
        <w:tc>
          <w:tcPr>
            <w:tcW w:w="15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624,260</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53.2%</w:t>
            </w:r>
          </w:p>
        </w:tc>
        <w:tc>
          <w:tcPr>
            <w:tcW w:w="12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31.4%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Georgia</w:t>
            </w:r>
          </w:p>
        </w:tc>
        <w:tc>
          <w:tcPr>
            <w:tcW w:w="6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6</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3,572</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3,596</w:t>
            </w:r>
          </w:p>
        </w:tc>
        <w:tc>
          <w:tcPr>
            <w:tcW w:w="14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528,656</w:t>
            </w:r>
          </w:p>
        </w:tc>
        <w:tc>
          <w:tcPr>
            <w:tcW w:w="1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535,236</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62.5%</w:t>
            </w:r>
          </w:p>
        </w:tc>
        <w:tc>
          <w:tcPr>
            <w:tcW w:w="12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49.9%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2"/>
                <w:szCs w:val="12"/>
                <w:color w:val="auto"/>
              </w:rPr>
              <w:t>Illinois</w:t>
            </w:r>
          </w:p>
        </w:tc>
        <w:tc>
          <w:tcPr>
            <w:tcW w:w="64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w:t>
            </w: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1,934</w:t>
            </w: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1,978</w:t>
            </w:r>
          </w:p>
        </w:tc>
        <w:tc>
          <w:tcPr>
            <w:tcW w:w="14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160,235</w:t>
            </w:r>
          </w:p>
        </w:tc>
        <w:tc>
          <w:tcPr>
            <w:tcW w:w="15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161,067</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63.8%</w:t>
            </w:r>
          </w:p>
        </w:tc>
        <w:tc>
          <w:tcPr>
            <w:tcW w:w="12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47.5%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Massachusetts</w:t>
            </w:r>
          </w:p>
        </w:tc>
        <w:tc>
          <w:tcPr>
            <w:tcW w:w="6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1,189</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1,204</w:t>
            </w:r>
          </w:p>
        </w:tc>
        <w:tc>
          <w:tcPr>
            <w:tcW w:w="14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122,968</w:t>
            </w:r>
          </w:p>
        </w:tc>
        <w:tc>
          <w:tcPr>
            <w:tcW w:w="1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123,308</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56.0%</w:t>
            </w:r>
          </w:p>
        </w:tc>
        <w:tc>
          <w:tcPr>
            <w:tcW w:w="12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2"/>
                <w:szCs w:val="12"/>
                <w:color w:val="auto"/>
              </w:rPr>
              <w:t>New Jersey</w:t>
            </w:r>
          </w:p>
        </w:tc>
        <w:tc>
          <w:tcPr>
            <w:tcW w:w="64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w:t>
            </w: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846</w:t>
            </w: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850</w:t>
            </w:r>
          </w:p>
        </w:tc>
        <w:tc>
          <w:tcPr>
            <w:tcW w:w="14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78,295</w:t>
            </w:r>
          </w:p>
        </w:tc>
        <w:tc>
          <w:tcPr>
            <w:tcW w:w="15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78,295</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82.1%</w:t>
            </w:r>
          </w:p>
        </w:tc>
        <w:tc>
          <w:tcPr>
            <w:tcW w:w="12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69.7%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New York</w:t>
            </w:r>
          </w:p>
        </w:tc>
        <w:tc>
          <w:tcPr>
            <w:tcW w:w="6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904</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909</w:t>
            </w:r>
          </w:p>
        </w:tc>
        <w:tc>
          <w:tcPr>
            <w:tcW w:w="14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46,197</w:t>
            </w:r>
          </w:p>
        </w:tc>
        <w:tc>
          <w:tcPr>
            <w:tcW w:w="1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46,197</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47.2%</w:t>
            </w:r>
          </w:p>
        </w:tc>
        <w:tc>
          <w:tcPr>
            <w:tcW w:w="12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2"/>
                <w:szCs w:val="12"/>
                <w:color w:val="auto"/>
              </w:rPr>
              <w:t>North Carolina</w:t>
            </w:r>
          </w:p>
        </w:tc>
        <w:tc>
          <w:tcPr>
            <w:tcW w:w="64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w:t>
            </w: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659</w:t>
            </w: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662</w:t>
            </w:r>
          </w:p>
        </w:tc>
        <w:tc>
          <w:tcPr>
            <w:tcW w:w="14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105,991</w:t>
            </w:r>
          </w:p>
        </w:tc>
        <w:tc>
          <w:tcPr>
            <w:tcW w:w="15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106,755</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85.2%</w:t>
            </w:r>
          </w:p>
        </w:tc>
        <w:tc>
          <w:tcPr>
            <w:tcW w:w="12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68.6%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Pennsylvania</w:t>
            </w:r>
          </w:p>
        </w:tc>
        <w:tc>
          <w:tcPr>
            <w:tcW w:w="6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1,984</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1,991</w:t>
            </w:r>
          </w:p>
        </w:tc>
        <w:tc>
          <w:tcPr>
            <w:tcW w:w="14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173,019</w:t>
            </w:r>
          </w:p>
        </w:tc>
        <w:tc>
          <w:tcPr>
            <w:tcW w:w="1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173,019</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66.9%</w:t>
            </w:r>
          </w:p>
        </w:tc>
        <w:tc>
          <w:tcPr>
            <w:tcW w:w="12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49.9%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2"/>
                <w:szCs w:val="12"/>
                <w:color w:val="auto"/>
              </w:rPr>
              <w:t>Rhode Island</w:t>
            </w:r>
          </w:p>
        </w:tc>
        <w:tc>
          <w:tcPr>
            <w:tcW w:w="64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w:t>
            </w: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985</w:t>
            </w: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985</w:t>
            </w:r>
          </w:p>
        </w:tc>
        <w:tc>
          <w:tcPr>
            <w:tcW w:w="14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90,995</w:t>
            </w:r>
          </w:p>
        </w:tc>
        <w:tc>
          <w:tcPr>
            <w:tcW w:w="15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90,995</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43.7%</w:t>
            </w:r>
          </w:p>
        </w:tc>
        <w:tc>
          <w:tcPr>
            <w:tcW w:w="12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South Carolina</w:t>
            </w:r>
          </w:p>
        </w:tc>
        <w:tc>
          <w:tcPr>
            <w:tcW w:w="6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742</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767</w:t>
            </w:r>
          </w:p>
        </w:tc>
        <w:tc>
          <w:tcPr>
            <w:tcW w:w="14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76,435</w:t>
            </w:r>
          </w:p>
        </w:tc>
        <w:tc>
          <w:tcPr>
            <w:tcW w:w="1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76,875</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60.4%</w:t>
            </w:r>
          </w:p>
        </w:tc>
        <w:tc>
          <w:tcPr>
            <w:tcW w:w="12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20.9%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2"/>
                <w:szCs w:val="12"/>
                <w:color w:val="auto"/>
              </w:rPr>
              <w:t>Texas</w:t>
            </w:r>
          </w:p>
        </w:tc>
        <w:tc>
          <w:tcPr>
            <w:tcW w:w="64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w:t>
            </w: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1,594</w:t>
            </w: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934</w:t>
            </w:r>
          </w:p>
        </w:tc>
        <w:tc>
          <w:tcPr>
            <w:tcW w:w="14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172,447</w:t>
            </w:r>
          </w:p>
        </w:tc>
        <w:tc>
          <w:tcPr>
            <w:tcW w:w="15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103,350</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18.4%</w:t>
            </w:r>
          </w:p>
        </w:tc>
        <w:tc>
          <w:tcPr>
            <w:tcW w:w="12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Utah</w:t>
            </w:r>
          </w:p>
        </w:tc>
        <w:tc>
          <w:tcPr>
            <w:tcW w:w="6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656</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654</w:t>
            </w:r>
          </w:p>
        </w:tc>
        <w:tc>
          <w:tcPr>
            <w:tcW w:w="14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75,801</w:t>
            </w:r>
          </w:p>
        </w:tc>
        <w:tc>
          <w:tcPr>
            <w:tcW w:w="1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75,601</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90.5%</w:t>
            </w:r>
          </w:p>
        </w:tc>
        <w:tc>
          <w:tcPr>
            <w:tcW w:w="12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74.3%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2"/>
                <w:szCs w:val="12"/>
                <w:color w:val="auto"/>
              </w:rPr>
              <w:t>Virginia</w:t>
            </w:r>
          </w:p>
        </w:tc>
        <w:tc>
          <w:tcPr>
            <w:tcW w:w="64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w:t>
            </w: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459</w:t>
            </w:r>
          </w:p>
        </w:tc>
        <w:tc>
          <w:tcPr>
            <w:tcW w:w="14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464</w:t>
            </w:r>
          </w:p>
        </w:tc>
        <w:tc>
          <w:tcPr>
            <w:tcW w:w="14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63,794</w:t>
            </w:r>
          </w:p>
        </w:tc>
        <w:tc>
          <w:tcPr>
            <w:tcW w:w="15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63,709</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78.2%</w:t>
            </w:r>
          </w:p>
        </w:tc>
        <w:tc>
          <w:tcPr>
            <w:tcW w:w="12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57.3%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820" w:type="dxa"/>
            <w:vAlign w:val="bottom"/>
            <w:tcBorders>
              <w:top w:val="single" w:sz="8" w:color="CCEEFF"/>
            </w:tcBorders>
            <w:gridSpan w:val="2"/>
            <w:shd w:val="clear" w:color="auto" w:fill="CCEEFF"/>
          </w:tcPr>
          <w:p>
            <w:pPr>
              <w:spacing w:after="0" w:line="107" w:lineRule="exact"/>
              <w:rPr>
                <w:sz w:val="20"/>
                <w:szCs w:val="20"/>
                <w:color w:val="auto"/>
              </w:rPr>
            </w:pPr>
            <w:r>
              <w:rPr>
                <w:rFonts w:ascii="Arial" w:cs="Arial" w:eastAsia="Arial" w:hAnsi="Arial"/>
                <w:sz w:val="12"/>
                <w:szCs w:val="12"/>
                <w:b w:val="1"/>
                <w:bCs w:val="1"/>
                <w:color w:val="auto"/>
              </w:rPr>
              <w:t>Total Lease up Managed</w:t>
            </w: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2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20" w:type="dxa"/>
            <w:vAlign w:val="bottom"/>
            <w:gridSpan w:val="2"/>
            <w:shd w:val="clear" w:color="auto" w:fill="CCEEFF"/>
          </w:tcPr>
          <w:p>
            <w:pPr>
              <w:ind w:left="160"/>
              <w:spacing w:after="0"/>
              <w:rPr>
                <w:sz w:val="20"/>
                <w:szCs w:val="20"/>
                <w:color w:val="auto"/>
              </w:rPr>
            </w:pPr>
            <w:r>
              <w:rPr>
                <w:rFonts w:ascii="Arial" w:cs="Arial" w:eastAsia="Arial" w:hAnsi="Arial"/>
                <w:sz w:val="12"/>
                <w:szCs w:val="12"/>
                <w:b w:val="1"/>
                <w:bCs w:val="1"/>
                <w:color w:val="auto"/>
              </w:rPr>
              <w:t>Properties</w:t>
            </w:r>
          </w:p>
        </w:tc>
        <w:tc>
          <w:tcPr>
            <w:tcW w:w="6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w w:val="89"/>
              </w:rPr>
              <w:t>35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24,376</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23,373</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2,615,540</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2,494,906</w:t>
            </w: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58.9%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43.9%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Lease up Properties</w:t>
            </w:r>
          </w:p>
        </w:tc>
        <w:tc>
          <w:tcPr>
            <w:tcW w:w="6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w w:val="89"/>
              </w:rPr>
              <w:t>79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55,105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49,613</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5,872,798</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5,274,575</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0"/>
                <w:szCs w:val="10"/>
                <w:b w:val="1"/>
                <w:bCs w:val="1"/>
                <w:color w:val="auto"/>
              </w:rPr>
              <w:t>59.8</w:t>
            </w:r>
            <w:r>
              <w:rPr>
                <w:rFonts w:ascii="Arial" w:cs="Arial" w:eastAsia="Arial" w:hAnsi="Arial"/>
                <w:sz w:val="18"/>
                <w:szCs w:val="18"/>
                <w:b w:val="1"/>
                <w:bCs w:val="1"/>
                <w:color w:val="auto"/>
                <w:vertAlign w:val="superscript"/>
              </w:rPr>
              <w:t>%</w:t>
            </w:r>
          </w:p>
        </w:tc>
        <w:tc>
          <w:tcPr>
            <w:tcW w:w="128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0"/>
                <w:szCs w:val="10"/>
                <w:b w:val="1"/>
                <w:bCs w:val="1"/>
                <w:color w:val="auto"/>
              </w:rPr>
              <w:t>44.2</w:t>
            </w:r>
            <w:r>
              <w:rPr>
                <w:rFonts w:ascii="Arial" w:cs="Arial" w:eastAsia="Arial" w:hAnsi="Arial"/>
                <w:sz w:val="18"/>
                <w:szCs w:val="18"/>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35" w:right="239" w:bottom="0" w:gutter="0" w:footer="0" w:header="0"/>
        </w:sectPr>
      </w:pPr>
    </w:p>
    <w:bookmarkStart w:id="15" w:name="page16"/>
    <w:bookmarkEnd w:id="15"/>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t>Represents unit count as of June 30, 2011, which may differ from June 30, 2010 unit count due to unit conversions or expansions.</w:t>
      </w:r>
    </w:p>
    <w:p>
      <w:pPr>
        <w:spacing w:after="0" w:line="225" w:lineRule="exact"/>
        <w:rPr>
          <w:rFonts w:ascii="Arial" w:cs="Arial" w:eastAsia="Arial" w:hAnsi="Arial"/>
          <w:sz w:val="18"/>
          <w:szCs w:val="18"/>
          <w:i w:val="1"/>
          <w:iCs w:val="1"/>
          <w:color w:val="auto"/>
        </w:rPr>
      </w:pPr>
    </w:p>
    <w:p>
      <w:pPr>
        <w:ind w:right="800" w:firstLine="8"/>
        <w:spacing w:after="0" w:line="277" w:lineRule="auto"/>
        <w:tabs>
          <w:tab w:leader="none" w:pos="25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rentable square feet as of June 30, 2011, which may differ from June 30, 2010 net rentable square feet due to unit conversions or expansions.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June 30, 2011 and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Results for the three and six months ended June 30, 2011 include the operations of 680 properties (326 of which were consolidated and 354 of which were in joint ventures accounted for using the equity method) compared to the results for the three and six months ended June 30, 2010, which included the operations of 649 properties (281 of which were consolidated and 368 of which were in joint ventures accounted for using the equity method).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revenues earned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6"/>
              </w:rPr>
              <w:t>For the Six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Change</w:t>
            </w:r>
          </w:p>
        </w:tc>
        <w:tc>
          <w:tcPr>
            <w:tcW w:w="108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8"/>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258"/>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Property rental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64,300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56,786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7,514</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125,790</w:t>
            </w: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112,929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12,861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Management and franchise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fees</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6,144</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12,111</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Tenant reinsurance</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7,596</w:t>
            </w:r>
          </w:p>
        </w:tc>
        <w:tc>
          <w:tcPr>
            <w:tcW w:w="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6,338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1,258</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14,620</w:t>
            </w: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12,230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2,390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152,521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136,364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 xml:space="preserve">Property Rental — </w:t>
      </w:r>
      <w:r>
        <w:rPr>
          <w:rFonts w:ascii="Arial" w:cs="Arial" w:eastAsia="Arial" w:hAnsi="Arial"/>
          <w:sz w:val="17"/>
          <w:szCs w:val="17"/>
          <w:color w:val="auto"/>
        </w:rPr>
        <w:t>The increases in property rental revenues for the three and six months ended June 30, 2011 consist primarily of increases of $3,562 and</w:t>
      </w:r>
      <w:r>
        <w:rPr>
          <w:rFonts w:ascii="Arial" w:cs="Arial" w:eastAsia="Arial" w:hAnsi="Arial"/>
          <w:sz w:val="17"/>
          <w:szCs w:val="17"/>
          <w:b w:val="1"/>
          <w:bCs w:val="1"/>
          <w:color w:val="auto"/>
        </w:rPr>
        <w:t xml:space="preserve"> </w:t>
      </w:r>
      <w:r>
        <w:rPr>
          <w:rFonts w:ascii="Arial" w:cs="Arial" w:eastAsia="Arial" w:hAnsi="Arial"/>
          <w:sz w:val="17"/>
          <w:szCs w:val="17"/>
          <w:color w:val="auto"/>
        </w:rPr>
        <w:t>$6,285, respectively, associated with acquisitions completed in 2011 and 2010, increases of $2,348 and $4,373, respectively, resulting from increases in occupancy and increases in rental rates to existing customers at our stabilized properties, and increases of $1,604 and $3,124, respectively, related to increases in occupancy at our lease-up properties. For the six months ended June 30, 2011, these increases were partially offset by a $921 decrease associated with the sale of 19 properties to Harrison Street Real Estate Capital, LLC (Harrison Street) in January 2010.</w:t>
      </w:r>
    </w:p>
    <w:p>
      <w:pPr>
        <w:spacing w:after="0" w:line="16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Management and Franchise Fees — </w:t>
      </w:r>
      <w:r>
        <w:rPr>
          <w:rFonts w:ascii="Arial" w:cs="Arial" w:eastAsia="Arial" w:hAnsi="Arial"/>
          <w:sz w:val="18"/>
          <w:szCs w:val="18"/>
          <w:color w:val="auto"/>
        </w:rPr>
        <w:t>Our taxable REIT subsidiary, Extra Space Management, Inc. manages properties owned by our joint ventures,</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franchisees and third parties. Management and franchise fees generally represent 6% of revenues generated from properties owned by third parties, franchisees, and unconsolidated joint ventures. The increases in management and franchise fees are related to the additional fees earned from the joint venture with Harrison Street and to the increase in third-party managed properties compared to the same periods in the prior year. We managed 180 third-party properties as of June 30, 2011 compared to 140 third-party properties as of June 30, 2010.</w:t>
      </w:r>
    </w:p>
    <w:p>
      <w:pPr>
        <w:spacing w:after="0" w:line="184"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Tenant Reinsurance — </w:t>
      </w:r>
      <w:r>
        <w:rPr>
          <w:rFonts w:ascii="Arial" w:cs="Arial" w:eastAsia="Arial" w:hAnsi="Arial"/>
          <w:sz w:val="18"/>
          <w:szCs w:val="18"/>
          <w:color w:val="auto"/>
        </w:rPr>
        <w:t>The increases in tenant reinsurance revenues were due to the increase of overall customer participation to approximately 64% at</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2011 compared to approximately 59% at June 30, 2010. In addition, we had 860 properties under management at June 30, 2011 compared to 789 at June 30, 2010.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expenses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For the Six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Change</w:t>
            </w:r>
          </w:p>
        </w:tc>
        <w:tc>
          <w:tcPr>
            <w:tcW w:w="116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8"/>
                <w:szCs w:val="18"/>
                <w:color w:val="auto"/>
              </w:rPr>
              <w:t>Property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22,712</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20,941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1,771</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8.5%</w:t>
            </w: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46,056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42,897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3,159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Tenant reinsurance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2"/>
        </w:trPr>
        <w:tc>
          <w:tcPr>
            <w:tcW w:w="2300" w:type="dxa"/>
            <w:vAlign w:val="bottom"/>
          </w:tcPr>
          <w:p>
            <w:pPr>
              <w:ind w:left="180"/>
              <w:spacing w:after="0" w:line="201" w:lineRule="exact"/>
              <w:rPr>
                <w:sz w:val="20"/>
                <w:szCs w:val="20"/>
                <w:color w:val="auto"/>
              </w:rPr>
            </w:pPr>
            <w:r>
              <w:rPr>
                <w:rFonts w:ascii="Arial" w:cs="Arial" w:eastAsia="Arial" w:hAnsi="Arial"/>
                <w:sz w:val="18"/>
                <w:szCs w:val="18"/>
                <w:color w:val="auto"/>
              </w:rPr>
              <w:t>Unrecovered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360"/>
              <w:spacing w:after="0"/>
              <w:rPr>
                <w:sz w:val="20"/>
                <w:szCs w:val="20"/>
                <w:color w:val="auto"/>
              </w:rPr>
            </w:pPr>
            <w:r>
              <w:rPr>
                <w:rFonts w:ascii="Arial" w:cs="Arial" w:eastAsia="Arial" w:hAnsi="Arial"/>
                <w:sz w:val="18"/>
                <w:szCs w:val="18"/>
                <w:color w:val="auto"/>
              </w:rPr>
              <w:t>development and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360"/>
              <w:spacing w:after="0"/>
              <w:rPr>
                <w:sz w:val="20"/>
                <w:szCs w:val="20"/>
                <w:color w:val="auto"/>
              </w:rPr>
            </w:pPr>
            <w:r>
              <w:rPr>
                <w:rFonts w:ascii="Arial" w:cs="Arial" w:eastAsia="Arial" w:hAnsi="Arial"/>
                <w:sz w:val="18"/>
                <w:szCs w:val="18"/>
                <w:color w:val="auto"/>
              </w:rPr>
              <w:t>acquisition costs</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1,428</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1,005.6%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1,819</w:t>
            </w:r>
          </w:p>
        </w:tc>
        <w:tc>
          <w:tcPr>
            <w:tcW w:w="2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1,607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General and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12,432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1,203</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24,090</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22,285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2"/>
        </w:trPr>
        <w:tc>
          <w:tcPr>
            <w:tcW w:w="2300" w:type="dxa"/>
            <w:vAlign w:val="bottom"/>
          </w:tcPr>
          <w:p>
            <w:pPr>
              <w:ind w:left="180"/>
              <w:spacing w:after="0" w:line="201" w:lineRule="exact"/>
              <w:rPr>
                <w:sz w:val="20"/>
                <w:szCs w:val="20"/>
                <w:color w:val="auto"/>
              </w:rPr>
            </w:pPr>
            <w:r>
              <w:rPr>
                <w:rFonts w:ascii="Arial" w:cs="Arial" w:eastAsia="Arial" w:hAnsi="Arial"/>
                <w:sz w:val="18"/>
                <w:szCs w:val="18"/>
                <w:color w:val="auto"/>
              </w:rPr>
              <w:t>Depreciation and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14,092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12,202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1,890</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27,677</w:t>
            </w:r>
          </w:p>
        </w:tc>
        <w:tc>
          <w:tcPr>
            <w:tcW w:w="2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24,621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3,056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Property Operations — </w:t>
      </w:r>
      <w:r>
        <w:rPr>
          <w:rFonts w:ascii="Arial" w:cs="Arial" w:eastAsia="Arial" w:hAnsi="Arial"/>
          <w:sz w:val="18"/>
          <w:szCs w:val="18"/>
          <w:color w:val="auto"/>
        </w:rPr>
        <w:t>The increases in property operations expense during the three and six months ended June 30, 2011 consist primarily of increases of</w:t>
      </w:r>
      <w:r>
        <w:rPr>
          <w:rFonts w:ascii="Arial" w:cs="Arial" w:eastAsia="Arial" w:hAnsi="Arial"/>
          <w:sz w:val="18"/>
          <w:szCs w:val="18"/>
          <w:b w:val="1"/>
          <w:bCs w:val="1"/>
          <w:color w:val="auto"/>
        </w:rPr>
        <w:t xml:space="preserve"> </w:t>
      </w:r>
      <w:r>
        <w:rPr>
          <w:rFonts w:ascii="Arial" w:cs="Arial" w:eastAsia="Arial" w:hAnsi="Arial"/>
          <w:sz w:val="18"/>
          <w:szCs w:val="18"/>
          <w:color w:val="auto"/>
        </w:rPr>
        <w:t>$1,578 and $2,890, respectively, associated with acquisitions completed in 2011 and 2010 and increases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47"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247" w:right="239" w:bottom="0" w:gutter="0" w:footer="0" w:header="0"/>
          <w:type w:val="continuous"/>
        </w:sectPr>
      </w:pPr>
    </w:p>
    <w:bookmarkStart w:id="16" w:name="page17"/>
    <w:bookmarkEnd w:id="16"/>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$432 and $867, respectively, related to increases in expenses at our lease-up properties. These increases for the three and six months ended June 30, 2011 were offset by decreases in expenses of $239 and $288, respectively, as a result of a reduction of expenses at our stabilized properties, which related mainly to property taxes, advertising and utilities expenses. For the six months ended June 30, 2011, there was also a decrease in expenses of $310 related to the sale of 19 properties to Harrison Street in January 2010.</w:t>
      </w:r>
    </w:p>
    <w:p>
      <w:pPr>
        <w:spacing w:after="0" w:line="183"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 xml:space="preserve">Tenant Reinsurance — </w:t>
      </w:r>
      <w:r>
        <w:rPr>
          <w:rFonts w:ascii="Arial" w:cs="Arial" w:eastAsia="Arial" w:hAnsi="Arial"/>
          <w:sz w:val="16"/>
          <w:szCs w:val="16"/>
          <w:color w:val="auto"/>
        </w:rPr>
        <w:t>Tenant reinsurance expense represents the costs that are incurred to provide tenant reinsurance. The increase in these expenses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six months ended June 30, 2011 relates to the increase of overall customer participation to approximately 64% at June 30, 2011 compared to approximately 59% at June 30, 2010. In addition, we had 860 properties under management at June 30, 2011 compared to 789 at June 30, 2010.</w:t>
      </w:r>
    </w:p>
    <w:p>
      <w:pPr>
        <w:spacing w:after="0" w:line="14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Unrecovered Development and Acquisition Costs — </w:t>
      </w:r>
      <w:r>
        <w:rPr>
          <w:rFonts w:ascii="Arial" w:cs="Arial" w:eastAsia="Arial" w:hAnsi="Arial"/>
          <w:sz w:val="18"/>
          <w:szCs w:val="18"/>
          <w:color w:val="auto"/>
        </w:rPr>
        <w:t>Unrecovered development and acquisition costs for the three and six months ended June 30, 2011 and</w:t>
      </w:r>
      <w:r>
        <w:rPr>
          <w:rFonts w:ascii="Arial" w:cs="Arial" w:eastAsia="Arial" w:hAnsi="Arial"/>
          <w:sz w:val="18"/>
          <w:szCs w:val="18"/>
          <w:b w:val="1"/>
          <w:bCs w:val="1"/>
          <w:color w:val="auto"/>
        </w:rPr>
        <w:t xml:space="preserve"> </w:t>
      </w:r>
      <w:r>
        <w:rPr>
          <w:rFonts w:ascii="Arial" w:cs="Arial" w:eastAsia="Arial" w:hAnsi="Arial"/>
          <w:sz w:val="18"/>
          <w:szCs w:val="18"/>
          <w:color w:val="auto"/>
        </w:rPr>
        <w:t>2010 relate to unsuccessful development activities and costs associated with the acquisition of properties during the periods indicated. The increases were due to increased acquisition activity over the prior year.</w:t>
      </w:r>
    </w:p>
    <w:p>
      <w:pPr>
        <w:spacing w:after="0" w:line="17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General and Administrative — </w:t>
      </w:r>
      <w:r>
        <w:rPr>
          <w:rFonts w:ascii="Arial" w:cs="Arial" w:eastAsia="Arial" w:hAnsi="Arial"/>
          <w:sz w:val="18"/>
          <w:szCs w:val="18"/>
          <w:color w:val="auto"/>
        </w:rPr>
        <w:t>The increases in general and administrative expenses for the three and six months ended June 30, 2011 were primarily due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overall cost associated with the management of additional properties. We managed 180 third-party properties as of June 30, 2011 compared to 140 third-party properties as of June 30, 2010. In addition, we purchased 24 properties and opened five development properties during the first six months of 2011.</w:t>
      </w:r>
    </w:p>
    <w:p>
      <w:pPr>
        <w:spacing w:after="0" w:line="180"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b w:val="1"/>
          <w:bCs w:val="1"/>
          <w:color w:val="auto"/>
        </w:rPr>
        <w:t xml:space="preserve">Depreciation and Amortization — </w:t>
      </w:r>
      <w:r>
        <w:rPr>
          <w:rFonts w:ascii="Arial" w:cs="Arial" w:eastAsia="Arial" w:hAnsi="Arial"/>
          <w:sz w:val="18"/>
          <w:szCs w:val="18"/>
          <w:color w:val="auto"/>
        </w:rPr>
        <w:t>Depreciation and amortization expense increased as a result of the acquisition of 15 properties and the completion of</w:t>
      </w:r>
      <w:r>
        <w:rPr>
          <w:rFonts w:ascii="Arial" w:cs="Arial" w:eastAsia="Arial" w:hAnsi="Arial"/>
          <w:sz w:val="18"/>
          <w:szCs w:val="18"/>
          <w:b w:val="1"/>
          <w:bCs w:val="1"/>
          <w:color w:val="auto"/>
        </w:rPr>
        <w:t xml:space="preserve"> </w:t>
      </w:r>
      <w:r>
        <w:rPr>
          <w:rFonts w:ascii="Arial" w:cs="Arial" w:eastAsia="Arial" w:hAnsi="Arial"/>
          <w:sz w:val="18"/>
          <w:szCs w:val="18"/>
          <w:color w:val="auto"/>
        </w:rPr>
        <w:t>four development properties in 2010 and the acquisition of 24 properties and the completion of five development properties during the first six months of 2011.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other revenues and expenses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w w:val="94"/>
              </w:rPr>
              <w:t>For the Three Months Ended</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w w:val="96"/>
              </w:rPr>
              <w:t>For the Six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1240" w:type="dxa"/>
            <w:vAlign w:val="bottom"/>
            <w:gridSpan w:val="2"/>
            <w:vMerge w:val="restart"/>
          </w:tcPr>
          <w:p>
            <w:pPr>
              <w:jc w:val="right"/>
              <w:ind w:right="388"/>
              <w:spacing w:after="0"/>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 Change</w:t>
            </w:r>
          </w:p>
        </w:tc>
        <w:tc>
          <w:tcPr>
            <w:tcW w:w="11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Other revenue and expenses:</w:t>
            </w: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180"/>
              <w:spacing w:after="0" w:line="149" w:lineRule="exact"/>
              <w:rPr>
                <w:sz w:val="20"/>
                <w:szCs w:val="20"/>
                <w:color w:val="auto"/>
              </w:rPr>
            </w:pPr>
            <w:r>
              <w:rPr>
                <w:rFonts w:ascii="Arial" w:cs="Arial" w:eastAsia="Arial" w:hAnsi="Arial"/>
                <w:sz w:val="14"/>
                <w:szCs w:val="14"/>
                <w:color w:val="auto"/>
              </w:rPr>
              <w:t>Interest expense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(16,261)</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(16,233)</w:t>
            </w:r>
          </w:p>
        </w:tc>
        <w:tc>
          <w:tcPr>
            <w:tcW w:w="220" w:type="dxa"/>
            <w:vAlign w:val="bottom"/>
          </w:tcPr>
          <w:p>
            <w:pPr>
              <w:jc w:val="right"/>
              <w:ind w:right="102"/>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w:t>
            </w:r>
          </w:p>
        </w:tc>
        <w:tc>
          <w:tcPr>
            <w:tcW w:w="12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0.2%</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(32,675)</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(33,507)</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832</w:t>
            </w:r>
          </w:p>
        </w:tc>
        <w:tc>
          <w:tcPr>
            <w:tcW w:w="220" w:type="dxa"/>
            <w:vAlign w:val="bottom"/>
          </w:tcPr>
          <w:p>
            <w:pPr>
              <w:spacing w:after="0"/>
              <w:rPr>
                <w:sz w:val="12"/>
                <w:szCs w:val="12"/>
                <w:color w:val="auto"/>
              </w:rPr>
            </w:pPr>
          </w:p>
        </w:tc>
        <w:tc>
          <w:tcPr>
            <w:tcW w:w="11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30"/>
        </w:trPr>
        <w:tc>
          <w:tcPr>
            <w:tcW w:w="23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Non-cash interest expense</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related to amortization of</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discount on exchangeable</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senior notes</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(440)</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(416)</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w:t>
            </w:r>
          </w:p>
        </w:tc>
        <w:tc>
          <w:tcPr>
            <w:tcW w:w="12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5.8%</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(868)</w:t>
            </w: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(820)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(48)</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340" w:type="dxa"/>
            <w:vAlign w:val="bottom"/>
          </w:tcPr>
          <w:p>
            <w:pPr>
              <w:ind w:left="180"/>
              <w:spacing w:after="0" w:line="149" w:lineRule="exact"/>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2"/>
                <w:szCs w:val="12"/>
                <w:color w:val="auto"/>
              </w:rPr>
            </w:pPr>
          </w:p>
        </w:tc>
        <w:tc>
          <w:tcPr>
            <w:tcW w:w="10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189</w:t>
            </w:r>
          </w:p>
        </w:tc>
        <w:tc>
          <w:tcPr>
            <w:tcW w:w="240" w:type="dxa"/>
            <w:vAlign w:val="bottom"/>
          </w:tcPr>
          <w:p>
            <w:pPr>
              <w:spacing w:after="0"/>
              <w:rPr>
                <w:sz w:val="12"/>
                <w:szCs w:val="12"/>
                <w:color w:val="auto"/>
              </w:rPr>
            </w:pP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211</w:t>
            </w:r>
          </w:p>
        </w:tc>
        <w:tc>
          <w:tcPr>
            <w:tcW w:w="2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w:t>
            </w:r>
          </w:p>
        </w:tc>
        <w:tc>
          <w:tcPr>
            <w:tcW w:w="12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(10.4)%</w:t>
            </w:r>
          </w:p>
        </w:tc>
        <w:tc>
          <w:tcPr>
            <w:tcW w:w="16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371</w:t>
            </w:r>
          </w:p>
        </w:tc>
        <w:tc>
          <w:tcPr>
            <w:tcW w:w="24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(165)</w:t>
            </w:r>
          </w:p>
        </w:tc>
        <w:tc>
          <w:tcPr>
            <w:tcW w:w="11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30"/>
        </w:trPr>
        <w:tc>
          <w:tcPr>
            <w:tcW w:w="23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Interest income on note</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receivable from Preferred</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Operating Partnership unit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holder</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1,212</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1,212</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2,425</w:t>
            </w: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2,425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40" w:type="dxa"/>
            <w:vAlign w:val="bottom"/>
          </w:tcPr>
          <w:p>
            <w:pPr>
              <w:ind w:left="180"/>
              <w:spacing w:after="0" w:line="130" w:lineRule="exact"/>
              <w:rPr>
                <w:sz w:val="20"/>
                <w:szCs w:val="20"/>
                <w:color w:val="auto"/>
              </w:rPr>
            </w:pPr>
            <w:r>
              <w:rPr>
                <w:rFonts w:ascii="Arial" w:cs="Arial" w:eastAsia="Arial" w:hAnsi="Arial"/>
                <w:sz w:val="14"/>
                <w:szCs w:val="14"/>
                <w:color w:val="auto"/>
              </w:rPr>
              <w:t>Equity in earnings of real estate</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40" w:type="dxa"/>
            <w:vAlign w:val="bottom"/>
          </w:tcPr>
          <w:p>
            <w:pPr>
              <w:ind w:left="360"/>
              <w:spacing w:after="0"/>
              <w:rPr>
                <w:sz w:val="20"/>
                <w:szCs w:val="20"/>
                <w:color w:val="auto"/>
              </w:rPr>
            </w:pPr>
            <w:r>
              <w:rPr>
                <w:rFonts w:ascii="Arial" w:cs="Arial" w:eastAsia="Arial" w:hAnsi="Arial"/>
                <w:sz w:val="14"/>
                <w:szCs w:val="14"/>
                <w:color w:val="auto"/>
              </w:rPr>
              <w:t>ventures</w:t>
            </w:r>
          </w:p>
        </w:tc>
        <w:tc>
          <w:tcPr>
            <w:tcW w:w="100" w:type="dxa"/>
            <w:vAlign w:val="bottom"/>
          </w:tcPr>
          <w:p>
            <w:pPr>
              <w:spacing w:after="0"/>
              <w:rPr>
                <w:sz w:val="14"/>
                <w:szCs w:val="14"/>
                <w:color w:val="auto"/>
              </w:rPr>
            </w:pPr>
          </w:p>
        </w:tc>
        <w:tc>
          <w:tcPr>
            <w:tcW w:w="1020" w:type="dxa"/>
            <w:vAlign w:val="bottom"/>
            <w:gridSpan w:val="2"/>
          </w:tcPr>
          <w:p>
            <w:pPr>
              <w:jc w:val="right"/>
              <w:ind w:right="179"/>
              <w:spacing w:after="0"/>
              <w:rPr>
                <w:sz w:val="20"/>
                <w:szCs w:val="20"/>
                <w:color w:val="auto"/>
              </w:rPr>
            </w:pPr>
            <w:r>
              <w:rPr>
                <w:rFonts w:ascii="Arial" w:cs="Arial" w:eastAsia="Arial" w:hAnsi="Arial"/>
                <w:sz w:val="14"/>
                <w:szCs w:val="14"/>
                <w:color w:val="auto"/>
              </w:rPr>
              <w:t>2,376</w:t>
            </w:r>
          </w:p>
        </w:tc>
        <w:tc>
          <w:tcPr>
            <w:tcW w:w="240" w:type="dxa"/>
            <w:vAlign w:val="bottom"/>
          </w:tcPr>
          <w:p>
            <w:pPr>
              <w:spacing w:after="0"/>
              <w:rPr>
                <w:sz w:val="14"/>
                <w:szCs w:val="14"/>
                <w:color w:val="auto"/>
              </w:rPr>
            </w:pPr>
          </w:p>
        </w:tc>
        <w:tc>
          <w:tcPr>
            <w:tcW w:w="920" w:type="dxa"/>
            <w:vAlign w:val="bottom"/>
            <w:gridSpan w:val="2"/>
          </w:tcPr>
          <w:p>
            <w:pPr>
              <w:jc w:val="right"/>
              <w:ind w:right="168"/>
              <w:spacing w:after="0"/>
              <w:rPr>
                <w:sz w:val="20"/>
                <w:szCs w:val="20"/>
                <w:color w:val="auto"/>
              </w:rPr>
            </w:pPr>
            <w:r>
              <w:rPr>
                <w:rFonts w:ascii="Arial" w:cs="Arial" w:eastAsia="Arial" w:hAnsi="Arial"/>
                <w:sz w:val="14"/>
                <w:szCs w:val="14"/>
                <w:color w:val="auto"/>
              </w:rPr>
              <w:t>1,559</w:t>
            </w:r>
          </w:p>
        </w:tc>
        <w:tc>
          <w:tcPr>
            <w:tcW w:w="2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817</w:t>
            </w: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52.4%</w:t>
            </w:r>
          </w:p>
        </w:tc>
        <w:tc>
          <w:tcPr>
            <w:tcW w:w="160" w:type="dxa"/>
            <w:vAlign w:val="bottom"/>
          </w:tcPr>
          <w:p>
            <w:pPr>
              <w:spacing w:after="0"/>
              <w:rPr>
                <w:sz w:val="14"/>
                <w:szCs w:val="14"/>
                <w:color w:val="auto"/>
              </w:rPr>
            </w:pPr>
          </w:p>
        </w:tc>
        <w:tc>
          <w:tcPr>
            <w:tcW w:w="980" w:type="dxa"/>
            <w:vAlign w:val="bottom"/>
            <w:gridSpan w:val="2"/>
          </w:tcPr>
          <w:p>
            <w:pPr>
              <w:jc w:val="right"/>
              <w:ind w:right="179"/>
              <w:spacing w:after="0"/>
              <w:rPr>
                <w:sz w:val="20"/>
                <w:szCs w:val="20"/>
                <w:color w:val="auto"/>
              </w:rPr>
            </w:pPr>
            <w:r>
              <w:rPr>
                <w:rFonts w:ascii="Arial" w:cs="Arial" w:eastAsia="Arial" w:hAnsi="Arial"/>
                <w:sz w:val="14"/>
                <w:szCs w:val="14"/>
                <w:color w:val="auto"/>
              </w:rPr>
              <w:t>4,187</w:t>
            </w:r>
          </w:p>
        </w:tc>
        <w:tc>
          <w:tcPr>
            <w:tcW w:w="240" w:type="dxa"/>
            <w:vAlign w:val="bottom"/>
          </w:tcPr>
          <w:p>
            <w:pPr>
              <w:spacing w:after="0"/>
              <w:rPr>
                <w:sz w:val="14"/>
                <w:szCs w:val="14"/>
                <w:color w:val="auto"/>
              </w:rPr>
            </w:pP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3,060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1,127</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Income tax expense</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(411)</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(1,214)</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803</w:t>
            </w:r>
          </w:p>
        </w:tc>
        <w:tc>
          <w:tcPr>
            <w:tcW w:w="12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(66.1)%</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(665)</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(2,259)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1,594</w:t>
            </w:r>
          </w:p>
        </w:tc>
        <w:tc>
          <w:tcPr>
            <w:tcW w:w="11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156"/>
        </w:trPr>
        <w:tc>
          <w:tcPr>
            <w:tcW w:w="2340" w:type="dxa"/>
            <w:vAlign w:val="bottom"/>
          </w:tcPr>
          <w:p>
            <w:pPr>
              <w:ind w:left="360"/>
              <w:spacing w:after="0" w:line="155" w:lineRule="exact"/>
              <w:rPr>
                <w:sz w:val="20"/>
                <w:szCs w:val="20"/>
                <w:color w:val="auto"/>
              </w:rPr>
            </w:pPr>
            <w:r>
              <w:rPr>
                <w:rFonts w:ascii="Arial" w:cs="Arial" w:eastAsia="Arial" w:hAnsi="Arial"/>
                <w:sz w:val="14"/>
                <w:szCs w:val="14"/>
                <w:color w:val="auto"/>
              </w:rPr>
              <w:t>Total other revenue (expense)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(13,335</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(14,881</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tcBorders>
          </w:tcPr>
          <w:p>
            <w:pPr>
              <w:jc w:val="right"/>
              <w:ind w:right="10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1,546</w:t>
            </w:r>
          </w:p>
        </w:tc>
        <w:tc>
          <w:tcPr>
            <w:tcW w:w="24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(10.4</w:t>
            </w:r>
          </w:p>
        </w:tc>
        <w:tc>
          <w:tcPr>
            <w:tcW w:w="3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1"/>
              </w:rPr>
              <w:t>)%</w:t>
            </w:r>
          </w:p>
        </w:tc>
        <w:tc>
          <w:tcPr>
            <w:tcW w:w="1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(27,225</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(30,565</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3,340</w:t>
            </w:r>
          </w:p>
        </w:tc>
        <w:tc>
          <w:tcPr>
            <w:tcW w:w="22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(10.9</w:t>
            </w:r>
          </w:p>
        </w:tc>
        <w:tc>
          <w:tcPr>
            <w:tcW w:w="2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3"/>
              </w:rPr>
              <w:t>)%</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Interest Expense — </w:t>
      </w:r>
      <w:r>
        <w:rPr>
          <w:rFonts w:ascii="Arial" w:cs="Arial" w:eastAsia="Arial" w:hAnsi="Arial"/>
          <w:sz w:val="18"/>
          <w:szCs w:val="18"/>
          <w:color w:val="auto"/>
        </w:rPr>
        <w:t>The decrease in interest expense for the six months ended June 30, 2011 was primarily the result of a decrease in our weighted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rate. As of June 30, 2011, the weighted average interest rate of our debt was 4.8%, compared to a weighted average interest rate of 5.0% as of June 30, 2010.</w:t>
      </w:r>
    </w:p>
    <w:p>
      <w:pPr>
        <w:spacing w:after="0" w:line="17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Non-cash Interest Expense Related to Amortization of Discount on Exchangeable Senior Notes — </w:t>
      </w:r>
      <w:r>
        <w:rPr>
          <w:rFonts w:ascii="Arial" w:cs="Arial" w:eastAsia="Arial" w:hAnsi="Arial"/>
          <w:sz w:val="18"/>
          <w:szCs w:val="18"/>
          <w:color w:val="auto"/>
        </w:rPr>
        <w:t>Represents the amortization of the discount on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exchangeable senior notes, which reflects the effective interest rate relative to the carrying amount of the liability.</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Interest Income — </w:t>
      </w:r>
      <w:r>
        <w:rPr>
          <w:rFonts w:ascii="Arial" w:cs="Arial" w:eastAsia="Arial" w:hAnsi="Arial"/>
          <w:sz w:val="18"/>
          <w:szCs w:val="18"/>
          <w:color w:val="auto"/>
        </w:rPr>
        <w:t>The decreases in interest income for the three and six months ended June 30, 2011, when compared to the same periods in the prior year,</w:t>
      </w:r>
      <w:r>
        <w:rPr>
          <w:rFonts w:ascii="Arial" w:cs="Arial" w:eastAsia="Arial" w:hAnsi="Arial"/>
          <w:sz w:val="18"/>
          <w:szCs w:val="18"/>
          <w:b w:val="1"/>
          <w:bCs w:val="1"/>
          <w:color w:val="auto"/>
        </w:rPr>
        <w:t xml:space="preserve"> </w:t>
      </w:r>
      <w:r>
        <w:rPr>
          <w:rFonts w:ascii="Arial" w:cs="Arial" w:eastAsia="Arial" w:hAnsi="Arial"/>
          <w:sz w:val="18"/>
          <w:szCs w:val="18"/>
          <w:color w:val="auto"/>
        </w:rPr>
        <w:t>were primarily due to a lower average cash balance during the periods presented.</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Interest Income on Note Receivable from Preferred Operating Partnership Unit Holder — </w:t>
      </w:r>
      <w:r>
        <w:rPr>
          <w:rFonts w:ascii="Arial" w:cs="Arial" w:eastAsia="Arial" w:hAnsi="Arial"/>
          <w:sz w:val="18"/>
          <w:szCs w:val="18"/>
          <w:color w:val="auto"/>
        </w:rPr>
        <w:t>Represents interest on a $100,000 loan to the 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OP units.</w:t>
      </w:r>
    </w:p>
    <w:p>
      <w:pPr>
        <w:spacing w:after="0" w:line="162"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color w:val="auto"/>
        </w:rPr>
        <w:t xml:space="preserve">Equity in Earnings of Real Estate Ventures — </w:t>
      </w:r>
      <w:r>
        <w:rPr>
          <w:rFonts w:ascii="Arial" w:cs="Arial" w:eastAsia="Arial" w:hAnsi="Arial"/>
          <w:sz w:val="17"/>
          <w:szCs w:val="17"/>
          <w:color w:val="auto"/>
        </w:rPr>
        <w:t>The increases in equity in earnings of real estate ventures for the three and six months ended June 30, 2011</w:t>
      </w:r>
      <w:r>
        <w:rPr>
          <w:rFonts w:ascii="Arial" w:cs="Arial" w:eastAsia="Arial" w:hAnsi="Arial"/>
          <w:sz w:val="17"/>
          <w:szCs w:val="17"/>
          <w:b w:val="1"/>
          <w:bCs w:val="1"/>
          <w:color w:val="auto"/>
        </w:rPr>
        <w:t xml:space="preserve"> </w:t>
      </w:r>
      <w:r>
        <w:rPr>
          <w:rFonts w:ascii="Arial" w:cs="Arial" w:eastAsia="Arial" w:hAnsi="Arial"/>
          <w:sz w:val="17"/>
          <w:szCs w:val="17"/>
          <w:color w:val="auto"/>
        </w:rPr>
        <w:t>were due primarily to increased revenues at these joint ventures as a result of increases in occupancy and rental rates to new and existing customers. In addition, we recognized an additional $367 related to gains on property sales from a joint venture in which we have a 25% ownership.</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Income Tax Expense </w:t>
      </w:r>
      <w:r>
        <w:rPr>
          <w:rFonts w:ascii="Arial" w:cs="Arial" w:eastAsia="Arial" w:hAnsi="Arial"/>
          <w:sz w:val="18"/>
          <w:szCs w:val="18"/>
          <w:color w:val="auto"/>
        </w:rPr>
        <w:t>— The decreases in income tax expense primarily relate to a solar tax credit that was partially offset by increased taxes resulting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tenant reinsurance income earned by our taxable REIT subsidiary.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 Allocated to 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net income allocated to noncontrolling interests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For the 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For the Six Months Ended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 Change</w:t>
            </w: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468"/>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 Change</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2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Net income allocated to</w:t>
            </w:r>
          </w:p>
        </w:tc>
        <w:tc>
          <w:tcPr>
            <w:tcW w:w="10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noncontrolling interests:</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20" w:type="dxa"/>
            <w:vAlign w:val="bottom"/>
          </w:tcPr>
          <w:p>
            <w:pPr>
              <w:ind w:left="180"/>
              <w:spacing w:after="0" w:line="130" w:lineRule="exact"/>
              <w:rPr>
                <w:sz w:val="20"/>
                <w:szCs w:val="20"/>
                <w:color w:val="auto"/>
              </w:rPr>
            </w:pPr>
            <w:r>
              <w:rPr>
                <w:rFonts w:ascii="Arial" w:cs="Arial" w:eastAsia="Arial" w:hAnsi="Arial"/>
                <w:sz w:val="14"/>
                <w:szCs w:val="14"/>
                <w:color w:val="auto"/>
              </w:rPr>
              <w:t>Net income allocated to Preferred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360"/>
              <w:spacing w:after="0" w:line="149" w:lineRule="exact"/>
              <w:rPr>
                <w:sz w:val="20"/>
                <w:szCs w:val="20"/>
                <w:color w:val="auto"/>
              </w:rPr>
            </w:pPr>
            <w:r>
              <w:rPr>
                <w:rFonts w:ascii="Arial" w:cs="Arial" w:eastAsia="Arial" w:hAnsi="Arial"/>
                <w:sz w:val="14"/>
                <w:szCs w:val="14"/>
                <w:color w:val="auto"/>
              </w:rPr>
              <w:t>Operating Partnership</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36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(1,552)</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(1,507)</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(45)</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(3,084)</w:t>
            </w: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(2,986)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(98)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2"/>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allocated to Operating</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(356)</w:t>
            </w: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49.6%</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36"/>
        </w:trPr>
        <w:tc>
          <w:tcPr>
            <w:tcW w:w="2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341" w:right="239" w:bottom="0" w:gutter="0" w:footer="0" w:header="0"/>
        </w:sectPr>
      </w:pPr>
    </w:p>
    <w:bookmarkStart w:id="17" w:name="page18"/>
    <w:bookmarkEnd w:id="17"/>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820" w:type="dxa"/>
            <w:vAlign w:val="bottom"/>
          </w:tcPr>
          <w:p>
            <w:pPr>
              <w:spacing w:after="0"/>
              <w:rPr>
                <w:sz w:val="20"/>
                <w:szCs w:val="20"/>
                <w:color w:val="auto"/>
              </w:rPr>
            </w:pPr>
            <w:r>
              <w:rPr>
                <w:rFonts w:ascii="Arial" w:cs="Arial" w:eastAsia="Arial" w:hAnsi="Arial"/>
                <w:sz w:val="14"/>
                <w:szCs w:val="14"/>
                <w:color w:val="auto"/>
              </w:rPr>
              <w:t>Partnership and other</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Arial" w:cs="Arial" w:eastAsia="Arial" w:hAnsi="Arial"/>
                <w:sz w:val="14"/>
                <w:szCs w:val="14"/>
                <w:color w:val="auto"/>
              </w:rPr>
              <w:t>noncontrolling interests</w:t>
            </w: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Arial" w:cs="Arial" w:eastAsia="Arial" w:hAnsi="Arial"/>
                <w:sz w:val="14"/>
                <w:szCs w:val="14"/>
                <w:color w:val="auto"/>
              </w:rPr>
              <w:t>Total income allocated to</w:t>
            </w:r>
          </w:p>
        </w:tc>
        <w:tc>
          <w:tcPr>
            <w:tcW w:w="5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148"/>
              <w:spacing w:after="0"/>
              <w:rPr>
                <w:sz w:val="20"/>
                <w:szCs w:val="20"/>
                <w:color w:val="auto"/>
              </w:rPr>
            </w:pPr>
            <w:r>
              <w:rPr>
                <w:rFonts w:ascii="Arial" w:cs="Arial" w:eastAsia="Arial" w:hAnsi="Arial"/>
                <w:sz w:val="14"/>
                <w:szCs w:val="14"/>
                <w:color w:val="auto"/>
              </w:rPr>
              <w:t>(1,908</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1220" w:type="dxa"/>
            <w:vAlign w:val="bottom"/>
            <w:vMerge w:val="restart"/>
          </w:tcPr>
          <w:p>
            <w:pPr>
              <w:jc w:val="right"/>
              <w:ind w:right="228"/>
              <w:spacing w:after="0"/>
              <w:rPr>
                <w:sz w:val="20"/>
                <w:szCs w:val="20"/>
                <w:color w:val="auto"/>
              </w:rPr>
            </w:pPr>
            <w:r>
              <w:rPr>
                <w:rFonts w:ascii="Arial" w:cs="Arial" w:eastAsia="Arial" w:hAnsi="Arial"/>
                <w:sz w:val="14"/>
                <w:szCs w:val="14"/>
                <w:color w:val="auto"/>
              </w:rPr>
              <w:t>(1,745</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1060" w:type="dxa"/>
            <w:vAlign w:val="bottom"/>
            <w:vMerge w:val="restart"/>
          </w:tcPr>
          <w:p>
            <w:pPr>
              <w:jc w:val="right"/>
              <w:ind w:right="388"/>
              <w:spacing w:after="0"/>
              <w:rPr>
                <w:sz w:val="20"/>
                <w:szCs w:val="20"/>
                <w:color w:val="auto"/>
              </w:rPr>
            </w:pPr>
            <w:r>
              <w:rPr>
                <w:rFonts w:ascii="Arial" w:cs="Arial" w:eastAsia="Arial" w:hAnsi="Arial"/>
                <w:sz w:val="14"/>
                <w:szCs w:val="14"/>
                <w:color w:val="auto"/>
              </w:rPr>
              <w:t>(163</w:t>
            </w:r>
            <w:r>
              <w:rPr>
                <w:rFonts w:ascii="Arial" w:cs="Arial" w:eastAsia="Arial" w:hAnsi="Arial"/>
                <w:sz w:val="28"/>
                <w:szCs w:val="28"/>
                <w:color w:val="auto"/>
                <w:vertAlign w:val="superscript"/>
              </w:rPr>
              <w:t>)</w:t>
            </w:r>
          </w:p>
        </w:tc>
        <w:tc>
          <w:tcPr>
            <w:tcW w:w="1180" w:type="dxa"/>
            <w:vAlign w:val="bottom"/>
            <w:vMerge w:val="restart"/>
          </w:tcPr>
          <w:p>
            <w:pPr>
              <w:jc w:val="right"/>
              <w:ind w:right="168"/>
              <w:spacing w:after="0"/>
              <w:rPr>
                <w:sz w:val="20"/>
                <w:szCs w:val="20"/>
                <w:color w:val="auto"/>
              </w:rPr>
            </w:pPr>
            <w:r>
              <w:rPr>
                <w:rFonts w:ascii="Arial" w:cs="Arial" w:eastAsia="Arial" w:hAnsi="Arial"/>
                <w:sz w:val="14"/>
                <w:szCs w:val="14"/>
                <w:color w:val="auto"/>
              </w:rPr>
              <w:t>9.3</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1140" w:type="dxa"/>
            <w:vAlign w:val="bottom"/>
            <w:vMerge w:val="restart"/>
          </w:tcPr>
          <w:p>
            <w:pPr>
              <w:jc w:val="right"/>
              <w:ind w:right="168"/>
              <w:spacing w:after="0"/>
              <w:rPr>
                <w:sz w:val="20"/>
                <w:szCs w:val="20"/>
                <w:color w:val="auto"/>
              </w:rPr>
            </w:pPr>
            <w:r>
              <w:rPr>
                <w:rFonts w:ascii="Arial" w:cs="Arial" w:eastAsia="Arial" w:hAnsi="Arial"/>
                <w:sz w:val="14"/>
                <w:szCs w:val="14"/>
                <w:color w:val="auto"/>
              </w:rPr>
              <w:t>(3,747</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color w:val="auto"/>
              </w:rPr>
              <w:t>(3,356</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color w:val="auto"/>
              </w:rPr>
              <w:t>(391</w:t>
            </w:r>
            <w:r>
              <w:rPr>
                <w:rFonts w:ascii="Arial" w:cs="Arial" w:eastAsia="Arial" w:hAnsi="Arial"/>
                <w:sz w:val="28"/>
                <w:szCs w:val="28"/>
                <w:color w:val="auto"/>
                <w:vertAlign w:val="superscript"/>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11.7</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334"/>
        </w:trPr>
        <w:tc>
          <w:tcPr>
            <w:tcW w:w="1820" w:type="dxa"/>
            <w:vAlign w:val="bottom"/>
          </w:tcPr>
          <w:p>
            <w:pPr>
              <w:ind w:left="180"/>
              <w:spacing w:after="0"/>
              <w:rPr>
                <w:sz w:val="20"/>
                <w:szCs w:val="20"/>
                <w:color w:val="auto"/>
              </w:rPr>
            </w:pPr>
            <w:r>
              <w:rPr>
                <w:rFonts w:ascii="Arial" w:cs="Arial" w:eastAsia="Arial" w:hAnsi="Arial"/>
                <w:sz w:val="14"/>
                <w:szCs w:val="14"/>
                <w:color w:val="auto"/>
              </w:rPr>
              <w:t>noncontrolling interests:</w:t>
            </w:r>
          </w:p>
        </w:tc>
        <w:tc>
          <w:tcPr>
            <w:tcW w:w="5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7246620" cy="394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38"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Net Income Allocated to Preferred Operating Partnership Noncontrolling Interests — </w:t>
      </w:r>
      <w:r>
        <w:rPr>
          <w:rFonts w:ascii="Arial" w:cs="Arial" w:eastAsia="Arial" w:hAnsi="Arial"/>
          <w:sz w:val="18"/>
          <w:szCs w:val="18"/>
          <w:color w:val="auto"/>
        </w:rPr>
        <w:t>Income allocated to the Preferred OP units as of June 30, 2011</w:t>
      </w:r>
      <w:r>
        <w:rPr>
          <w:rFonts w:ascii="Arial" w:cs="Arial" w:eastAsia="Arial" w:hAnsi="Arial"/>
          <w:sz w:val="18"/>
          <w:szCs w:val="18"/>
          <w:b w:val="1"/>
          <w:bCs w:val="1"/>
          <w:color w:val="auto"/>
        </w:rPr>
        <w:t xml:space="preserve"> </w:t>
      </w:r>
      <w:r>
        <w:rPr>
          <w:rFonts w:ascii="Arial" w:cs="Arial" w:eastAsia="Arial" w:hAnsi="Arial"/>
          <w:sz w:val="18"/>
          <w:szCs w:val="18"/>
          <w:color w:val="auto"/>
        </w:rPr>
        <w:t>and 2010 equals the fixed distribution paid to the Preferred OP unit holder plus approximately 1.0% of the remaining net income allocated after the adjustment for the fixed distribution paid.</w:t>
      </w:r>
    </w:p>
    <w:p>
      <w:pPr>
        <w:spacing w:after="0" w:line="176"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 xml:space="preserve">Net Income Allocated to Operating Partnership and Other Noncontrolling Interests — </w:t>
      </w:r>
      <w:r>
        <w:rPr>
          <w:rFonts w:ascii="Arial" w:cs="Arial" w:eastAsia="Arial" w:hAnsi="Arial"/>
          <w:sz w:val="17"/>
          <w:szCs w:val="17"/>
          <w:color w:val="auto"/>
        </w:rPr>
        <w:t>Income allocated to the Operating Partnership as of June 30,</w:t>
      </w:r>
      <w:r>
        <w:rPr>
          <w:rFonts w:ascii="Arial" w:cs="Arial" w:eastAsia="Arial" w:hAnsi="Arial"/>
          <w:sz w:val="17"/>
          <w:szCs w:val="17"/>
          <w:b w:val="1"/>
          <w:bCs w:val="1"/>
          <w:color w:val="auto"/>
        </w:rPr>
        <w:t xml:space="preserve"> </w:t>
      </w:r>
      <w:r>
        <w:rPr>
          <w:rFonts w:ascii="Arial" w:cs="Arial" w:eastAsia="Arial" w:hAnsi="Arial"/>
          <w:sz w:val="17"/>
          <w:szCs w:val="17"/>
          <w:color w:val="auto"/>
        </w:rPr>
        <w:t>2011 and 2010 represents approximately 3.2% and 3.9%, respectively, of net income after the allocation of the fixed distribution paid to the Preferred OP unit holder. Loss allocated to other noncontrolling interests represents the losses allocated to partners in consolidated joint ventures.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properties, plus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consolidated financial statements.</w:t>
      </w:r>
    </w:p>
    <w:p>
      <w:pPr>
        <w:spacing w:after="0" w:line="1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liquidity, or an indicator of our ability to make cash distributions. The following table sets forth the calculation of FFO for the periods indicated: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10,609</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Real estate depreciation</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12,677</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11,494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25,042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412</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Joint venture real estate depreciation and amortization</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2,057</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4,132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Joint venture (gain)/loss on sale of properties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6"/>
              </w:rPr>
              <w:t>Distributions paid on Preferred Operating Partnership units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(1,437)</w:t>
            </w:r>
          </w:p>
        </w:tc>
        <w:tc>
          <w:tcPr>
            <w:tcW w:w="8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(2,875)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Income allocated to Operating Partnership noncontrolling</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3,754</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11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25,862</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20,348</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49,353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SAME-STORE STABILIZED PROPERTY RESULTS</w:t>
            </w: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consider our same-store stabilized portfolio to consist of only those properties that were wholly-owned at the beginning and at the end of the applicable periods presented that have achieved stabilization as of the first day of such period. The following table sets forth operating data for our same-store portfolio. We consider the following same-store presentation to be meaningful in regards to the properties shown below. These results provide information relating to property-level operating changes without the effects of acquisitions or completed developments.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For the Three Months</w:t>
            </w:r>
          </w:p>
        </w:tc>
        <w:tc>
          <w:tcPr>
            <w:tcW w:w="14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4"/>
                <w:szCs w:val="14"/>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For the Six Months Ended</w:t>
            </w: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55"/>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44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2"/>
                <w:szCs w:val="12"/>
                <w:color w:val="auto"/>
              </w:rPr>
            </w:pPr>
          </w:p>
        </w:tc>
        <w:tc>
          <w:tcPr>
            <w:tcW w:w="880" w:type="dxa"/>
            <w:vAlign w:val="bottom"/>
          </w:tcPr>
          <w:p>
            <w:pPr>
              <w:jc w:val="right"/>
              <w:ind w:right="35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13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6"/>
              </w:rPr>
              <w:t>Same-store rental and tenant reinsurance</w:t>
            </w: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right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59,714</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57,050</w:t>
            </w:r>
          </w:p>
        </w:tc>
        <w:tc>
          <w:tcPr>
            <w:tcW w:w="14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117,882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112,893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Same-store operating and tenant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reinsurance expenses</w:t>
            </w: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19,297</w:t>
            </w:r>
          </w:p>
        </w:tc>
        <w:tc>
          <w:tcPr>
            <w:tcW w:w="3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19,544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39,814</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39,811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Same-store net operating income</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40,417</w:t>
            </w:r>
          </w:p>
        </w:tc>
        <w:tc>
          <w:tcPr>
            <w:tcW w:w="24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37,506</w:t>
            </w:r>
          </w:p>
        </w:tc>
        <w:tc>
          <w:tcPr>
            <w:tcW w:w="240" w:type="dxa"/>
            <w:vAlign w:val="bottom"/>
            <w:vMerge w:val="continue"/>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78,068</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73,082</w:t>
            </w:r>
          </w:p>
        </w:tc>
        <w:tc>
          <w:tcPr>
            <w:tcW w:w="22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 same-store rental and tenant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reinsurance revenues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12,182</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6,074</w:t>
            </w:r>
          </w:p>
        </w:tc>
        <w:tc>
          <w:tcPr>
            <w:tcW w:w="14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22,528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12,266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Non same-store operating and tenant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reinsurance expenses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4,797</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2,854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68.1%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9,239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5,766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Total rental and tenant reinsurance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71,896</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63,124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140,410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125,159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operating and tenant reinsurance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24,094</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22,398</w:t>
            </w:r>
          </w:p>
        </w:tc>
        <w:tc>
          <w:tcPr>
            <w:tcW w:w="14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49,053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45,577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Same-store square foot occupancy as of</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 end</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89.0%</w:t>
            </w: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86.1%</w:t>
            </w:r>
          </w:p>
        </w:tc>
        <w:tc>
          <w:tcPr>
            <w:tcW w:w="114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89.0%</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w:t>
            </w: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Properties included in same-store</w:t>
            </w:r>
          </w:p>
        </w:tc>
        <w:tc>
          <w:tcPr>
            <w:tcW w:w="1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253</w:t>
            </w:r>
          </w:p>
        </w:tc>
        <w:tc>
          <w:tcPr>
            <w:tcW w:w="210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rPr>
              <w:t>253</w:t>
            </w:r>
          </w:p>
        </w:tc>
        <w:tc>
          <w:tcPr>
            <w:tcW w:w="2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253</w:t>
            </w:r>
          </w:p>
        </w:tc>
        <w:tc>
          <w:tcPr>
            <w:tcW w:w="232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rPr>
              <w:t>253</w:t>
            </w:r>
          </w:p>
        </w:tc>
      </w:tr>
    </w:tbl>
    <w:p>
      <w:pPr>
        <w:spacing w:after="0" w:line="20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increases in same-store rental revenues for the three and six months ended June 30, 2011 as compared to the three and six months ended June 30, 2010 were due primarily to increased rental rates to incoming and existing customers and increased occupancy. The decrease in same-store operating expenses for the three months ended June 30, 2011 as compared to June 30, 2010 was primarily due to decreased property taxes, advertising and utilities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Cash flows provided by operating activities were $65,193 and $46,071, respectively, for the six months ended June 30, 2011 and 2010. The increases compared to the same period of the prior year primarily relate to a $9,553 increase in net income and a $5,025 change in other assets.</w:t>
      </w:r>
    </w:p>
    <w:p>
      <w:pPr>
        <w:spacing w:after="0" w:line="12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Cash used in investing activities was $95,635 and $23,681, respectively, for the six months ended June 30, 2011 and 2010. The increases relate primarily to an increase of $65,611 in the amount of cash used to acquire real estate assets during 2011 as compared to 2010 partially offset by a decrease of $13,812 in development and construction of real estate assets. Additionally, in January 2010 we sold 19 properties to a joint venture with Harrison Street for $15,750, whereas no sales to joint ventures occurred during the six months ended June 30, 2011.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Cash provided by financing activities for the six months ended June 30, 2011 was $18,879, compared to cash used in financing activities of $125,986 for the six months ended June 30, 2010. The increase in cash provided by financing activities was primarily the result of net proceeds from the sale of common stock of $112,532 in 2011 compared to $0 in 2010. There was also an increase in proceeds from notes payable and lines of credit of $160,593 over the same period of the prior year offset by an increase in cash paid for principal payments on notes payable and lines of credit of $125,046.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June 30, 2011, we had $35,187 available in cash and cash equivalents. We intend to use this cash to repay debt scheduled to mature in 2011 and 2012 and for general corporate purposes. We are required to distribute at least 90% of our net taxable income, excluding net capital gains, to our stockholders on an annual basis to maintain our qualification as a REIT.</w:t>
      </w:r>
    </w:p>
    <w:p>
      <w:pPr>
        <w:spacing w:after="0" w:line="18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Our cash and cash equivalents are held in accounts managed by third party financial institutions and consist of invested cash and cash in our operating accounts. During 2010 and the first six months of 2011, we experienced no loss or lack of access to our cash or cash equivalents; however, there can be no assurance that access to our cash and cash equivalents will not be impacted by adverse conditions in the financial markets.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our lines of credit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tcBorders>
              <w:bottom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rPr>
              <w:t>As of June 30, 2011</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Origination</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rPr>
              <w:t>Line of Credit</w:t>
            </w:r>
          </w:p>
        </w:tc>
        <w:tc>
          <w:tcPr>
            <w:tcW w:w="220" w:type="dxa"/>
            <w:vAlign w:val="bottom"/>
            <w:vMerge w:val="restart"/>
          </w:tcPr>
          <w:p>
            <w:pPr>
              <w:spacing w:after="0"/>
              <w:rPr>
                <w:sz w:val="10"/>
                <w:szCs w:val="10"/>
                <w:color w:val="auto"/>
              </w:rPr>
            </w:pPr>
          </w:p>
        </w:tc>
        <w:tc>
          <w:tcPr>
            <w:tcW w:w="126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Amount</w:t>
            </w:r>
          </w:p>
        </w:tc>
        <w:tc>
          <w:tcPr>
            <w:tcW w:w="9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Capacity</w:t>
            </w:r>
          </w:p>
        </w:tc>
        <w:tc>
          <w:tcPr>
            <w:tcW w:w="220" w:type="dxa"/>
            <w:vAlign w:val="bottom"/>
            <w:gridSpan w:val="2"/>
            <w:vMerge w:val="restart"/>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Interest</w:t>
            </w:r>
          </w:p>
        </w:tc>
        <w:tc>
          <w:tcPr>
            <w:tcW w:w="2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0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Maturity</w:t>
            </w:r>
          </w:p>
        </w:tc>
        <w:tc>
          <w:tcPr>
            <w:tcW w:w="200" w:type="dxa"/>
            <w:vAlign w:val="bottom"/>
          </w:tcPr>
          <w:p>
            <w:pPr>
              <w:spacing w:after="0"/>
              <w:rPr>
                <w:sz w:val="10"/>
                <w:szCs w:val="10"/>
                <w:color w:val="auto"/>
              </w:rPr>
            </w:pPr>
          </w:p>
        </w:tc>
        <w:tc>
          <w:tcPr>
            <w:tcW w:w="24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Basis Rate</w:t>
            </w:r>
          </w:p>
        </w:tc>
        <w:tc>
          <w:tcPr>
            <w:tcW w:w="200" w:type="dxa"/>
            <w:vAlign w:val="bottom"/>
            <w:vMerge w:val="restart"/>
          </w:tcPr>
          <w:p>
            <w:pPr>
              <w:spacing w:after="0"/>
              <w:rPr>
                <w:sz w:val="10"/>
                <w:szCs w:val="10"/>
                <w:color w:val="auto"/>
              </w:rPr>
            </w:pPr>
          </w:p>
        </w:tc>
        <w:tc>
          <w:tcPr>
            <w:tcW w:w="9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Notes</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Drawn</w:t>
            </w:r>
          </w:p>
        </w:tc>
        <w:tc>
          <w:tcPr>
            <w:tcW w:w="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gridSpan w:val="2"/>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2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Credit Line 1</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10/19/2007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10/31/2011</w:t>
            </w:r>
          </w:p>
        </w:tc>
        <w:tc>
          <w:tcPr>
            <w:tcW w:w="2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LIBOR plus 1.0% - 2.1%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Credit Line 2</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2/13/2009</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2/13/2013</w:t>
            </w:r>
          </w:p>
        </w:tc>
        <w:tc>
          <w:tcPr>
            <w:tcW w:w="2860" w:type="dxa"/>
            <w:vAlign w:val="bottom"/>
            <w:gridSpan w:val="3"/>
          </w:tcPr>
          <w:p>
            <w:pPr>
              <w:ind w:left="200"/>
              <w:spacing w:after="0"/>
              <w:rPr>
                <w:sz w:val="20"/>
                <w:szCs w:val="20"/>
                <w:color w:val="auto"/>
              </w:rPr>
            </w:pPr>
            <w:r>
              <w:rPr>
                <w:rFonts w:ascii="Arial" w:cs="Arial" w:eastAsia="Arial" w:hAnsi="Arial"/>
                <w:sz w:val="18"/>
                <w:szCs w:val="18"/>
                <w:color w:val="auto"/>
              </w:rPr>
              <w:t>LIBOR plus 3.5%</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Line 3</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6/4/2010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5/31/2013</w:t>
            </w:r>
          </w:p>
        </w:tc>
        <w:tc>
          <w:tcPr>
            <w:tcW w:w="2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LIBOR plus 2.2%</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(2),(4),(5)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LIBOR plus 3.2% with floor of</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spacing w:after="0"/>
              <w:rPr>
                <w:sz w:val="20"/>
                <w:szCs w:val="20"/>
                <w:color w:val="auto"/>
              </w:rPr>
            </w:pPr>
            <w:r>
              <w:rPr>
                <w:rFonts w:ascii="Arial" w:cs="Arial" w:eastAsia="Arial" w:hAnsi="Arial"/>
                <w:sz w:val="18"/>
                <w:szCs w:val="18"/>
                <w:color w:val="auto"/>
              </w:rPr>
              <w:t>Credit Line 4</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11/16/2010</w:t>
            </w: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11/16/2013</w:t>
            </w:r>
          </w:p>
        </w:tc>
        <w:tc>
          <w:tcPr>
            <w:tcW w:w="2660" w:type="dxa"/>
            <w:vAlign w:val="bottom"/>
            <w:gridSpan w:val="2"/>
          </w:tcPr>
          <w:p>
            <w:pPr>
              <w:ind w:left="20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(3),(4,)(5)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Line 5</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4/29/2011</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4/29/2014</w:t>
            </w:r>
          </w:p>
        </w:tc>
        <w:tc>
          <w:tcPr>
            <w:tcW w:w="2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LIBOR plus 2.75%</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(3),(4),(5)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$129,000</w:t>
            </w:r>
          </w:p>
        </w:tc>
        <w:tc>
          <w:tcPr>
            <w:tcW w:w="2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$315,000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 year extension available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 two-year extension available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Two one-year extensions available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Guaranteed by the Company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Secured by mortgages on certain real estate assets</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June 30, 2011, we had $1,191,576 of debt, resulting in a debt to total capitalization ratio of 36.5%. As of June 30, 2011, the ratio of total fixed rate debt and other instruments to total debt was 71.0% (including $210,680 on which we have interest rate swaps that have been included as fixed-rate debt). The weighted average interest rate of the total of fixed and variable rate debt at June 30, 2011 was 4.8%. Certain of our real estate assets are pledged as collateral for our debt. We are subject to certain restrictive covenants relating to our outstanding debt. We were in compliance with all financial covenants at June 30, 2011.</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expect to fund our short-term liquidity requirements, including operating expenses, recurring capital expenditures, dividends to stockholders, distributions to holders of OP units and interest on our outstanding indebtedness, out of our operating cash flow, cash on hand and borrowings under our lines of credit. In addition, we are pursuing additional term loans secured by unencumbered properties.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liquidity needs consist primarily of cash distributions to stockholders, facility development, property acquisitions, principal payments under our borrowings and non-recurring capital expenditures. We may from time to time seek to repurchase or redeem our outstanding debt, shares of common stock or other securities in open market purchases, privately negotiated transactions or otherwise. Such repurchases or redemptions, if any, will depend on prevailing market conditions, our liquidity requirements, contractual restrictions and other factors. In addition, we evaluate, on an ongoing basis, the merits of strategic acquisitions and other relationships, which may require us to raise additional funds. We do not expect that our operating cash flow or cash balances will be sufficient to fund our liquidity needs and instead expect to fund such needs out of additional borrowings of secured or unsecured indebtedness, joint ventures with third parties, and from the proceeds of public and private offerings of equity and debt. Additional capital may not be available on terms favorable to us or at all. Any additional issuance of equity or equity-linked securities may result in dilution to our stockholders. In addition, any new securities we issue could have rights, preferences and privileges senior to holders</w:t>
      </w:r>
    </w:p>
    <w:p>
      <w:pPr>
        <w:sectPr>
          <w:pgSz w:w="11900" w:h="16838" w:orient="portrait"/>
          <w:cols w:equalWidth="0" w:num="1">
            <w:col w:w="11420"/>
          </w:cols>
          <w:pgMar w:left="240" w:top="356" w:right="239" w:bottom="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of our common stock. We may also use OP units as currency to fund acquisitions from self-storage owners who desire tax-deferral in their exiting transactions.</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U.S. credit markets have experienced dislocations and liquidity disruptions, which have caused the spreads on prospective debt financings to widen. These circumstances have impacted liquidity in the debt markets, making financing terms for borrowers less attractive, and in certain cases have resulted in the unavailability of certain types of debt financing. Uncertainty in the credit markets may negatively impact our ability to make acquisitions. A prolonged downturn in the credit markets may cause us to seek alternative sources of potentially less attractive financing, and may require us to adjust our business plan accordingly. In addition, these factors may make it more difficult for us to sell properties or may adversely affect the price we receive for properties that we do sell, as prospective buyers may experience increased costs of debt financing or difficulties in obtaining debt financing. These events in the credit markets have also had an adverse effect on other financial markets in the United States, which may make it more difficult or costly for us to raise capital through the issuance of common stock, preferred stock or other equity securities. These disruptions in the financial market may have other adverse effects on us or the economy generally, which could cause our stock price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Except as disclosed in the notes to our condensed consolidated financial statements,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exchangeable senior notes provide for excess exchange value to be paid in shares of our common stock if our stock price exceeds a certain amount. For a further description of our exchangeable senior notes, refer to the consolidated financial statements and footnotes thereto included in our Annual Report on Form 10-K for the year ended December 31, 2010 as filed with the Securities and Exchange Commission.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payments due by period as of June 30, 2011:</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Payments due by Period:</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Less Than</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9"/>
              </w:rPr>
              <w:t>1-3 Years</w:t>
            </w:r>
          </w:p>
        </w:tc>
        <w:tc>
          <w:tcPr>
            <w:tcW w:w="180" w:type="dxa"/>
            <w:vAlign w:val="bottom"/>
          </w:tcPr>
          <w:p>
            <w:pPr>
              <w:spacing w:after="0"/>
              <w:rPr>
                <w:sz w:val="10"/>
                <w:szCs w:val="10"/>
                <w:color w:val="auto"/>
              </w:rPr>
            </w:pPr>
          </w:p>
        </w:tc>
        <w:tc>
          <w:tcPr>
            <w:tcW w:w="11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right"/>
              <w:ind w:right="317"/>
              <w:spacing w:after="0" w:line="119" w:lineRule="exact"/>
              <w:rPr>
                <w:sz w:val="20"/>
                <w:szCs w:val="20"/>
                <w:color w:val="auto"/>
              </w:rPr>
            </w:pPr>
            <w:r>
              <w:rPr>
                <w:rFonts w:ascii="Arial" w:cs="Arial" w:eastAsia="Arial" w:hAnsi="Arial"/>
                <w:sz w:val="13"/>
                <w:szCs w:val="13"/>
                <w:b w:val="1"/>
                <w:bCs w:val="1"/>
                <w:color w:val="auto"/>
              </w:rPr>
              <w:t>After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1 Year</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tcPr>
          <w:p>
            <w:pPr>
              <w:spacing w:after="0" w:line="201" w:lineRule="exact"/>
              <w:rPr>
                <w:sz w:val="20"/>
                <w:szCs w:val="20"/>
                <w:color w:val="auto"/>
              </w:rPr>
            </w:pPr>
            <w:r>
              <w:rPr>
                <w:rFonts w:ascii="Arial" w:cs="Arial" w:eastAsia="Arial" w:hAnsi="Arial"/>
                <w:sz w:val="18"/>
                <w:szCs w:val="18"/>
                <w:color w:val="auto"/>
              </w:rPr>
              <w:t>Notes payable, notes payable to trusts,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exchangeable senior notes and lines of</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credit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319,264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93,094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58,961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112,361</w:t>
            </w: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Principal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1,191,576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243,369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215,440</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403,526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329,241</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1,576,747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304,241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480,280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June 30, 2011, the weighted-average interest rate for all fixed rate loans was 5.6%, and the weighted-average interest rate for all variable rate loans was 3.1%.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continue to employ leverage in our capital structure in amounts reviewed from time to time by our board of directors. Although our board of directors has not adopted a policy that limits the total amount of indebtedness that we may incur, we will consider a number of factors in evaluating our level of indebtedness from time to time, as well as the amount of such indebtedness that will be either fixed or variable rate. In making financing decisions, we will consider factors including but not limited to:</w:t>
      </w:r>
    </w:p>
    <w:p>
      <w:pPr>
        <w:spacing w:after="0" w:line="187" w:lineRule="exact"/>
        <w:rPr>
          <w:sz w:val="20"/>
          <w:szCs w:val="20"/>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interest rate of the proposed financing;</w:t>
      </w:r>
    </w:p>
    <w:p>
      <w:pPr>
        <w:spacing w:after="0" w:line="225" w:lineRule="exact"/>
        <w:rPr>
          <w:rFonts w:ascii="Arial" w:cs="Arial" w:eastAsia="Arial" w:hAnsi="Arial"/>
          <w:sz w:val="18"/>
          <w:szCs w:val="18"/>
          <w:color w:val="auto"/>
        </w:rPr>
      </w:pPr>
    </w:p>
    <w:p>
      <w:pPr>
        <w:ind w:left="5620" w:right="4960" w:hanging="5288"/>
        <w:spacing w:after="0" w:line="432" w:lineRule="auto"/>
        <w:tabs>
          <w:tab w:leader="none" w:pos="68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extent to which the financing impacts flexibility in managing our properties;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prepayment penalties and restrictions on refinancing;</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 price of properties acquired with debt financing;</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long-term objectives with respect to the financing;</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target investment returns;</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of particular properties, and our company as a whole, to generate cash flow sufficient to cover expected debt service payments;</w:t>
      </w:r>
    </w:p>
    <w:p>
      <w:pPr>
        <w:sectPr>
          <w:pgSz w:w="11900" w:h="16838" w:orient="portrait"/>
          <w:cols w:equalWidth="0" w:num="1">
            <w:col w:w="11420"/>
          </w:cols>
          <w:pgMar w:left="240" w:top="341" w:right="239" w:bottom="0" w:gutter="0" w:footer="0" w:header="0"/>
        </w:sectPr>
      </w:pPr>
    </w:p>
    <w:bookmarkStart w:id="20" w:name="page21"/>
    <w:bookmarkEnd w:id="20"/>
    <w:p>
      <w:pPr>
        <w:spacing w:after="0" w:line="96" w:lineRule="exact"/>
        <w:rPr>
          <w:sz w:val="20"/>
          <w:szCs w:val="20"/>
          <w:color w:val="auto"/>
        </w:rPr>
      </w:pPr>
    </w:p>
    <w:p>
      <w:pPr>
        <w:ind w:left="680" w:hanging="34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overall level of consolidated indebtedness;</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debt and lease maturities;</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provisions that require recourse and cross-collateralization;</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corporate credit ratios including debt service coverage, debt to total capitalization and debt to undepreciated assets; and</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overall ratio of fixed and variable rate debt.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indebtedness may be recourse, non-recourse or cross-collateralized. If the indebtedness is non-recourse, the collateral will be limited to the particular properties to which the indebtedness relates. In addition, we may invest in properties subject to existing loans collateralized by mortgages or similar liens on our properties, or may refinance properties acquired on a leveraged basis. We may use the proceeds from any borrowings to refinance existing indebtedness, to refinance investments, including the redevelopment of existing properties, for general working capital or to purchase additional interests in partnerships or joint ventures or for other purposes when we believe it is advisable.</w:t>
      </w:r>
    </w:p>
    <w:p>
      <w:pPr>
        <w:spacing w:after="0" w:line="18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may from time to time seek to retire, repurchase or redeem our additional outstanding debt including our exchangeable senior notes as well as shares of common stock or other securities in open market purchases, privately negotiated transactions or otherwise. Such repurchases or redemptions, if any, will depend on prevailing market conditions, our liquidity requirements, contractual restrictions and other factors. The amounts involved may be material.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self-storage business is subject to seasonal fluctuations. A greater portion of revenues and profits are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June 30, 2011, we had approximately $1,191,576 in total debt, of which $345,992 was subject to variable interest rates (excluding debt with interest rate swaps). If LIBOR were to increase or decrease by 100 basis points, the increase or decrease in interest expense on the variable rate debt (excluding variable rate debt with interest rate floors) would increase or decrease future earnings and cash flows by approximately $2,443 annually.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notes receivable, our fixed rate notes payable and notes payable to trusts and exchangeable senior notes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2011</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ind w:left="620"/>
              <w:spacing w:after="0"/>
              <w:rPr>
                <w:sz w:val="20"/>
                <w:szCs w:val="20"/>
                <w:color w:val="auto"/>
              </w:rPr>
            </w:pPr>
            <w:r>
              <w:rPr>
                <w:rFonts w:ascii="Arial" w:cs="Arial" w:eastAsia="Arial" w:hAnsi="Arial"/>
                <w:sz w:val="14"/>
                <w:szCs w:val="14"/>
                <w:b w:val="1"/>
                <w:bCs w:val="1"/>
                <w:color w:val="auto"/>
              </w:rPr>
              <w:t>December 31, 2010</w:t>
            </w:r>
          </w:p>
        </w:tc>
      </w:tr>
      <w:tr>
        <w:trPr>
          <w:trHeight w:val="119"/>
        </w:trPr>
        <w:tc>
          <w:tcPr>
            <w:tcW w:w="4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840"/>
              <w:spacing w:after="0" w:line="119" w:lineRule="exact"/>
              <w:rPr>
                <w:sz w:val="20"/>
                <w:szCs w:val="20"/>
                <w:color w:val="auto"/>
              </w:rPr>
            </w:pPr>
            <w:r>
              <w:rPr>
                <w:rFonts w:ascii="Arial" w:cs="Arial" w:eastAsia="Arial" w:hAnsi="Arial"/>
                <w:sz w:val="13"/>
                <w:szCs w:val="13"/>
                <w:b w:val="1"/>
                <w:bCs w:val="1"/>
                <w:color w:val="auto"/>
              </w:rPr>
              <w:t>Fair</w:t>
            </w:r>
          </w:p>
        </w:tc>
        <w:tc>
          <w:tcPr>
            <w:tcW w:w="3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318"/>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Fair</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58"/>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r>
      <w:tr>
        <w:trPr>
          <w:trHeight w:val="182"/>
        </w:trPr>
        <w:tc>
          <w:tcPr>
            <w:tcW w:w="4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Note receivable from Preferred Operating Partnership unit</w:t>
            </w:r>
          </w:p>
        </w:tc>
        <w:tc>
          <w:tcPr>
            <w:tcW w:w="4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holder</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95,582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115,696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Fixed rate notes payable and notes payable to trusts</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791,198</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757,921</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777,575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731,588</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92,383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87,663</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118,975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87,663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720" w:hanging="712"/>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or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have a disclosure committee that is responsible to ensure that all disclosures made by the Company to its security holders or to the investment community will be accurate and complete and fairly present the Company’s financial condition and results of operations in all material respects, and are made on a timely</w:t>
      </w:r>
    </w:p>
    <w:p>
      <w:pPr>
        <w:sectPr>
          <w:pgSz w:w="11900" w:h="16935" w:orient="portrait"/>
          <w:cols w:equalWidth="0" w:num="1">
            <w:col w:w="11420"/>
          </w:cols>
          <w:pgMar w:left="240" w:top="125" w:right="239" w:bottom="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basis as required by applicable laws, regulations and stock exchange requirements.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the Chief Executive Officer and the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183"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involved in various litigation and proceedings in the ordinary course of business. We are not a party to any material litigation or legal proceedings, or to the best of our knowledge, any threatened litigation or legal proceedings, which, in the opinion of management, are expected to have a material adverse effect on our financial condition or results of operations either individually or in the aggregate.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risk factors from those disclosed in our 2010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ind w:left="4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Pr>
          <w:p>
            <w:pPr>
              <w:ind w:left="4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tcPr>
          <w:p>
            <w:pPr>
              <w:ind w:left="460"/>
              <w:spacing w:after="0"/>
              <w:rPr>
                <w:sz w:val="20"/>
                <w:szCs w:val="20"/>
                <w:color w:val="auto"/>
              </w:rPr>
            </w:pPr>
            <w:r>
              <w:rPr>
                <w:rFonts w:ascii="Arial" w:cs="Arial" w:eastAsia="Arial" w:hAnsi="Arial"/>
                <w:sz w:val="18"/>
                <w:szCs w:val="18"/>
                <w:color w:val="auto"/>
                <w:w w:val="96"/>
              </w:rPr>
              <w:t>Certifications of the Chief Executive Officer and Chief Financial Officer pursuant to 18 U.S.C. Section 1350, as adopted pursuant to</w:t>
            </w:r>
          </w:p>
        </w:tc>
      </w:tr>
      <w:tr>
        <w:trPr>
          <w:trHeight w:val="230"/>
        </w:trPr>
        <w:tc>
          <w:tcPr>
            <w:tcW w:w="920" w:type="dxa"/>
            <w:vAlign w:val="bottom"/>
          </w:tcPr>
          <w:p>
            <w:pPr>
              <w:spacing w:after="0"/>
              <w:rPr>
                <w:sz w:val="20"/>
                <w:szCs w:val="20"/>
                <w:color w:val="auto"/>
              </w:rPr>
            </w:pPr>
          </w:p>
        </w:tc>
        <w:tc>
          <w:tcPr>
            <w:tcW w:w="10480" w:type="dxa"/>
            <w:vAlign w:val="bottom"/>
          </w:tcPr>
          <w:p>
            <w:pPr>
              <w:ind w:left="460"/>
              <w:spacing w:after="0"/>
              <w:rPr>
                <w:sz w:val="20"/>
                <w:szCs w:val="20"/>
                <w:color w:val="auto"/>
              </w:rPr>
            </w:pPr>
            <w:r>
              <w:rPr>
                <w:rFonts w:ascii="Arial" w:cs="Arial" w:eastAsia="Arial" w:hAnsi="Arial"/>
                <w:sz w:val="18"/>
                <w:szCs w:val="18"/>
                <w:color w:val="auto"/>
              </w:rPr>
              <w:t>Section 906 of the Sarbanes-Oxley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480" w:type="dxa"/>
            <w:vAlign w:val="bottom"/>
          </w:tcPr>
          <w:p>
            <w:pPr>
              <w:ind w:left="460"/>
              <w:spacing w:after="0"/>
              <w:rPr>
                <w:sz w:val="20"/>
                <w:szCs w:val="20"/>
                <w:color w:val="auto"/>
              </w:rPr>
            </w:pPr>
            <w:r>
              <w:rPr>
                <w:rFonts w:ascii="Arial" w:cs="Arial" w:eastAsia="Arial" w:hAnsi="Arial"/>
                <w:sz w:val="18"/>
                <w:szCs w:val="18"/>
                <w:color w:val="auto"/>
                <w:w w:val="90"/>
              </w:rPr>
              <w:t>The following materials from Extra Space Storage Inc.’s Quarterly Report on Form 10-Q for the quarter ended June 30, 2011 are formatted</w:t>
            </w:r>
          </w:p>
        </w:tc>
      </w:tr>
      <w:tr>
        <w:trPr>
          <w:trHeight w:val="216"/>
        </w:trPr>
        <w:tc>
          <w:tcPr>
            <w:tcW w:w="920" w:type="dxa"/>
            <w:vAlign w:val="bottom"/>
          </w:tcPr>
          <w:p>
            <w:pPr>
              <w:spacing w:after="0"/>
              <w:rPr>
                <w:sz w:val="18"/>
                <w:szCs w:val="18"/>
                <w:color w:val="auto"/>
              </w:rPr>
            </w:pPr>
          </w:p>
        </w:tc>
        <w:tc>
          <w:tcPr>
            <w:tcW w:w="10480" w:type="dxa"/>
            <w:vAlign w:val="bottom"/>
          </w:tcPr>
          <w:p>
            <w:pPr>
              <w:ind w:left="460"/>
              <w:spacing w:after="0"/>
              <w:rPr>
                <w:sz w:val="20"/>
                <w:szCs w:val="20"/>
                <w:color w:val="auto"/>
              </w:rPr>
            </w:pPr>
            <w:r>
              <w:rPr>
                <w:rFonts w:ascii="Arial" w:cs="Arial" w:eastAsia="Arial" w:hAnsi="Arial"/>
                <w:sz w:val="18"/>
                <w:szCs w:val="18"/>
                <w:color w:val="auto"/>
                <w:w w:val="92"/>
              </w:rPr>
              <w:t>in XBRL (eXtensible Business Reporting Language): (1) the Condensed Consolidated Balance Sheets, (2) the Condensed Consolidated</w:t>
            </w:r>
          </w:p>
        </w:tc>
      </w:tr>
      <w:tr>
        <w:trPr>
          <w:trHeight w:val="216"/>
        </w:trPr>
        <w:tc>
          <w:tcPr>
            <w:tcW w:w="920" w:type="dxa"/>
            <w:vAlign w:val="bottom"/>
          </w:tcPr>
          <w:p>
            <w:pPr>
              <w:spacing w:after="0"/>
              <w:rPr>
                <w:sz w:val="18"/>
                <w:szCs w:val="18"/>
                <w:color w:val="auto"/>
              </w:rPr>
            </w:pPr>
          </w:p>
        </w:tc>
        <w:tc>
          <w:tcPr>
            <w:tcW w:w="10480" w:type="dxa"/>
            <w:vAlign w:val="bottom"/>
          </w:tcPr>
          <w:p>
            <w:pPr>
              <w:ind w:left="460"/>
              <w:spacing w:after="0"/>
              <w:rPr>
                <w:sz w:val="20"/>
                <w:szCs w:val="20"/>
                <w:color w:val="auto"/>
              </w:rPr>
            </w:pPr>
            <w:r>
              <w:rPr>
                <w:rFonts w:ascii="Arial" w:cs="Arial" w:eastAsia="Arial" w:hAnsi="Arial"/>
                <w:sz w:val="18"/>
                <w:szCs w:val="18"/>
                <w:color w:val="auto"/>
                <w:w w:val="89"/>
              </w:rPr>
              <w:t>Statements of Operations, (3) the Condensed Consolidated Statement of Equity, (4) the Condensed Consolidated Statements of Cash Flows</w:t>
            </w:r>
          </w:p>
        </w:tc>
      </w:tr>
      <w:tr>
        <w:trPr>
          <w:trHeight w:val="230"/>
        </w:trPr>
        <w:tc>
          <w:tcPr>
            <w:tcW w:w="920" w:type="dxa"/>
            <w:vAlign w:val="bottom"/>
          </w:tcPr>
          <w:p>
            <w:pPr>
              <w:spacing w:after="0"/>
              <w:rPr>
                <w:sz w:val="20"/>
                <w:szCs w:val="20"/>
                <w:color w:val="auto"/>
              </w:rPr>
            </w:pPr>
          </w:p>
        </w:tc>
        <w:tc>
          <w:tcPr>
            <w:tcW w:w="10480" w:type="dxa"/>
            <w:vAlign w:val="bottom"/>
          </w:tcPr>
          <w:p>
            <w:pPr>
              <w:ind w:left="460"/>
              <w:spacing w:after="0"/>
              <w:rPr>
                <w:sz w:val="20"/>
                <w:szCs w:val="20"/>
                <w:color w:val="auto"/>
              </w:rPr>
            </w:pPr>
            <w:r>
              <w:rPr>
                <w:rFonts w:ascii="Arial" w:cs="Arial" w:eastAsia="Arial" w:hAnsi="Arial"/>
                <w:sz w:val="18"/>
                <w:szCs w:val="18"/>
                <w:color w:val="auto"/>
              </w:rPr>
              <w:t>and (5) notes to these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60" w:firstLine="8"/>
        <w:spacing w:after="0" w:line="302" w:lineRule="auto"/>
        <w:tabs>
          <w:tab w:leader="none" w:pos="135"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Extra Space Storage Inc., whether made before or after the date hereof, regardless of any general incorporation language in such filing. Signed originals of these certifications have been provided to the Company and will be retained by the Company and furnished to the Securities and Exchange Commission or its staff upon request.</w:t>
      </w:r>
    </w:p>
    <w:p>
      <w:pPr>
        <w:spacing w:after="0" w:line="154" w:lineRule="exact"/>
        <w:rPr>
          <w:sz w:val="20"/>
          <w:szCs w:val="20"/>
          <w:color w:val="auto"/>
        </w:rPr>
      </w:pPr>
    </w:p>
    <w:p>
      <w:pPr>
        <w:ind w:right="140" w:firstLine="8"/>
        <w:spacing w:after="0" w:line="264" w:lineRule="auto"/>
        <w:tabs>
          <w:tab w:leader="none" w:pos="22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 11 or 12 of the Securities Act of 1933, as amended, are deemed not filed for purposes of Section 18 of the Securities Exchange Act of 1934, as amended, and otherwise are not subject to liability under these sections.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400"/>
          </w:cols>
          <w:pgMar w:left="240" w:top="125" w:right="259" w:bottom="23" w:gutter="0" w:footer="0" w:header="0"/>
        </w:sectPr>
      </w:pPr>
    </w:p>
    <w:bookmarkStart w:id="22" w:name="page23"/>
    <w:bookmarkEnd w:id="22"/>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EXTRA SPACE STORAGE INC.</w:t>
            </w:r>
          </w:p>
        </w:tc>
        <w:tc>
          <w:tcPr>
            <w:tcW w:w="40" w:type="dxa"/>
            <w:vAlign w:val="bottom"/>
          </w:tcPr>
          <w:p>
            <w:pPr>
              <w:spacing w:after="0"/>
              <w:rPr>
                <w:sz w:val="18"/>
                <w:szCs w:val="18"/>
                <w:color w:val="auto"/>
              </w:rPr>
            </w:pPr>
          </w:p>
        </w:tc>
      </w:tr>
      <w:tr>
        <w:trPr>
          <w:trHeight w:val="230"/>
        </w:trPr>
        <w:tc>
          <w:tcPr>
            <w:tcW w:w="556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i w:val="1"/>
                <w:iCs w:val="1"/>
                <w:color w:val="auto"/>
              </w:rPr>
              <w:t>Registrant</w:t>
            </w:r>
          </w:p>
        </w:tc>
        <w:tc>
          <w:tcPr>
            <w:tcW w:w="40" w:type="dxa"/>
            <w:vAlign w:val="bottom"/>
          </w:tcPr>
          <w:p>
            <w:pPr>
              <w:spacing w:after="0"/>
              <w:rPr>
                <w:sz w:val="20"/>
                <w:szCs w:val="20"/>
                <w:color w:val="auto"/>
              </w:rPr>
            </w:pPr>
          </w:p>
        </w:tc>
      </w:tr>
      <w:tr>
        <w:trPr>
          <w:trHeight w:val="432"/>
        </w:trPr>
        <w:tc>
          <w:tcPr>
            <w:tcW w:w="5560" w:type="dxa"/>
            <w:vAlign w:val="bottom"/>
          </w:tcPr>
          <w:p>
            <w:pPr>
              <w:spacing w:after="0"/>
              <w:rPr>
                <w:sz w:val="20"/>
                <w:szCs w:val="20"/>
                <w:color w:val="auto"/>
              </w:rPr>
            </w:pPr>
            <w:r>
              <w:rPr>
                <w:rFonts w:ascii="Arial" w:cs="Arial" w:eastAsia="Arial" w:hAnsi="Arial"/>
                <w:sz w:val="18"/>
                <w:szCs w:val="18"/>
                <w:color w:val="auto"/>
              </w:rPr>
              <w:t>Date: August 8, 2011</w:t>
            </w: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c>
          <w:tcPr>
            <w:tcW w:w="40" w:type="dxa"/>
            <w:vAlign w:val="bottom"/>
          </w:tcPr>
          <w:p>
            <w:pPr>
              <w:spacing w:after="0"/>
              <w:rPr>
                <w:sz w:val="24"/>
                <w:szCs w:val="24"/>
                <w:color w:val="auto"/>
              </w:rPr>
            </w:pPr>
          </w:p>
        </w:tc>
      </w:tr>
      <w:tr>
        <w:trPr>
          <w:trHeight w:val="195"/>
        </w:trPr>
        <w:tc>
          <w:tcPr>
            <w:tcW w:w="5560" w:type="dxa"/>
            <w:vAlign w:val="bottom"/>
          </w:tcPr>
          <w:p>
            <w:pPr>
              <w:spacing w:after="0"/>
              <w:rPr>
                <w:sz w:val="16"/>
                <w:szCs w:val="16"/>
                <w:color w:val="auto"/>
              </w:rPr>
            </w:pPr>
          </w:p>
        </w:tc>
        <w:tc>
          <w:tcPr>
            <w:tcW w:w="586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c>
          <w:tcPr>
            <w:tcW w:w="40" w:type="dxa"/>
            <w:vAlign w:val="bottom"/>
          </w:tcPr>
          <w:p>
            <w:pPr>
              <w:spacing w:after="0"/>
              <w:rPr>
                <w:sz w:val="16"/>
                <w:szCs w:val="16"/>
                <w:color w:val="auto"/>
              </w:rPr>
            </w:pPr>
          </w:p>
        </w:tc>
      </w:tr>
      <w:tr>
        <w:trPr>
          <w:trHeight w:val="216"/>
        </w:trPr>
        <w:tc>
          <w:tcPr>
            <w:tcW w:w="556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40" w:type="dxa"/>
            <w:vAlign w:val="bottom"/>
          </w:tcPr>
          <w:p>
            <w:pPr>
              <w:spacing w:after="0"/>
              <w:rPr>
                <w:sz w:val="18"/>
                <w:szCs w:val="18"/>
                <w:color w:val="auto"/>
              </w:rPr>
            </w:pPr>
          </w:p>
        </w:tc>
      </w:tr>
      <w:tr>
        <w:trPr>
          <w:trHeight w:val="230"/>
        </w:trPr>
        <w:tc>
          <w:tcPr>
            <w:tcW w:w="556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432"/>
        </w:trPr>
        <w:tc>
          <w:tcPr>
            <w:tcW w:w="5560" w:type="dxa"/>
            <w:vAlign w:val="bottom"/>
          </w:tcPr>
          <w:p>
            <w:pPr>
              <w:spacing w:after="0"/>
              <w:rPr>
                <w:sz w:val="20"/>
                <w:szCs w:val="20"/>
                <w:color w:val="auto"/>
              </w:rPr>
            </w:pPr>
            <w:r>
              <w:rPr>
                <w:rFonts w:ascii="Arial" w:cs="Arial" w:eastAsia="Arial" w:hAnsi="Arial"/>
                <w:sz w:val="18"/>
                <w:szCs w:val="18"/>
                <w:color w:val="auto"/>
              </w:rPr>
              <w:t>Date: August 8, 2011</w:t>
            </w: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4"/>
                <w:szCs w:val="24"/>
                <w:color w:val="auto"/>
              </w:rPr>
            </w:pPr>
          </w:p>
        </w:tc>
      </w:tr>
      <w:tr>
        <w:trPr>
          <w:trHeight w:val="195"/>
        </w:trPr>
        <w:tc>
          <w:tcPr>
            <w:tcW w:w="5560" w:type="dxa"/>
            <w:vAlign w:val="bottom"/>
          </w:tcPr>
          <w:p>
            <w:pPr>
              <w:spacing w:after="0"/>
              <w:rPr>
                <w:sz w:val="16"/>
                <w:szCs w:val="16"/>
                <w:color w:val="auto"/>
              </w:rPr>
            </w:pPr>
          </w:p>
        </w:tc>
        <w:tc>
          <w:tcPr>
            <w:tcW w:w="586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16"/>
        </w:trPr>
        <w:tc>
          <w:tcPr>
            <w:tcW w:w="556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40" w:type="dxa"/>
            <w:vAlign w:val="bottom"/>
          </w:tcPr>
          <w:p>
            <w:pPr>
              <w:spacing w:after="0"/>
              <w:rPr>
                <w:sz w:val="18"/>
                <w:szCs w:val="18"/>
                <w:color w:val="auto"/>
              </w:rPr>
            </w:pPr>
          </w:p>
        </w:tc>
      </w:tr>
      <w:tr>
        <w:trPr>
          <w:trHeight w:val="230"/>
        </w:trPr>
        <w:tc>
          <w:tcPr>
            <w:tcW w:w="556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40" w:type="dxa"/>
            <w:vAlign w:val="bottom"/>
          </w:tcPr>
          <w:p>
            <w:pPr>
              <w:spacing w:after="0"/>
              <w:rPr>
                <w:sz w:val="20"/>
                <w:szCs w:val="20"/>
                <w:color w:val="auto"/>
              </w:rPr>
            </w:pPr>
          </w:p>
        </w:tc>
      </w:tr>
      <w:tr>
        <w:trPr>
          <w:trHeight w:val="432"/>
        </w:trPr>
        <w:tc>
          <w:tcPr>
            <w:tcW w:w="5560" w:type="dxa"/>
            <w:vAlign w:val="bottom"/>
          </w:tcPr>
          <w:p>
            <w:pPr>
              <w:spacing w:after="0"/>
              <w:rPr>
                <w:sz w:val="24"/>
                <w:szCs w:val="24"/>
                <w:color w:val="auto"/>
              </w:rPr>
            </w:pPr>
          </w:p>
        </w:tc>
        <w:tc>
          <w:tcPr>
            <w:tcW w:w="5860" w:type="dxa"/>
            <w:vAlign w:val="bottom"/>
          </w:tcPr>
          <w:p>
            <w:pPr>
              <w:ind w:left="6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r>
      <w:tr>
        <w:trPr>
          <w:trHeight w:val="132"/>
        </w:trPr>
        <w:tc>
          <w:tcPr>
            <w:tcW w:w="5560" w:type="dxa"/>
            <w:vAlign w:val="bottom"/>
            <w:tcBorders>
              <w:bottom w:val="single" w:sz="8" w:color="010101"/>
            </w:tcBorders>
          </w:tcPr>
          <w:p>
            <w:pPr>
              <w:spacing w:after="0"/>
              <w:rPr>
                <w:sz w:val="11"/>
                <w:szCs w:val="11"/>
                <w:color w:val="auto"/>
              </w:rPr>
            </w:pPr>
          </w:p>
        </w:tc>
        <w:tc>
          <w:tcPr>
            <w:tcW w:w="58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3" w:name="page24"/>
    <w:bookmarkEnd w:id="23"/>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Spencer F. Kirk,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2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0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80" w:hanging="644"/>
        <w:spacing w:after="0" w:line="264" w:lineRule="auto"/>
        <w:tabs>
          <w:tab w:leader="none" w:pos="129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1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20" w:hanging="644"/>
        <w:spacing w:after="0" w:line="342" w:lineRule="auto"/>
        <w:tabs>
          <w:tab w:leader="none" w:pos="1297"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hanging="644"/>
        <w:spacing w:after="0" w:line="277" w:lineRule="auto"/>
        <w:tabs>
          <w:tab w:leader="none" w:pos="130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Date: August 8, 2011</w:t>
            </w:r>
          </w:p>
        </w:tc>
        <w:tc>
          <w:tcPr>
            <w:tcW w:w="2820" w:type="dxa"/>
            <w:vAlign w:val="bottom"/>
          </w:tcPr>
          <w:p>
            <w:pPr>
              <w:ind w:left="192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c>
          <w:tcPr>
            <w:tcW w:w="40" w:type="dxa"/>
            <w:vAlign w:val="bottom"/>
          </w:tcPr>
          <w:p>
            <w:pPr>
              <w:spacing w:after="0"/>
              <w:rPr>
                <w:sz w:val="20"/>
                <w:szCs w:val="20"/>
                <w:color w:val="auto"/>
              </w:rPr>
            </w:pPr>
          </w:p>
        </w:tc>
      </w:tr>
      <w:tr>
        <w:trPr>
          <w:trHeight w:val="195"/>
        </w:trPr>
        <w:tc>
          <w:tcPr>
            <w:tcW w:w="3440" w:type="dxa"/>
            <w:vAlign w:val="bottom"/>
          </w:tcPr>
          <w:p>
            <w:pPr>
              <w:spacing w:after="0"/>
              <w:rPr>
                <w:sz w:val="16"/>
                <w:szCs w:val="16"/>
                <w:color w:val="auto"/>
              </w:rPr>
            </w:pPr>
          </w:p>
        </w:tc>
        <w:tc>
          <w:tcPr>
            <w:tcW w:w="2820" w:type="dxa"/>
            <w:vAlign w:val="bottom"/>
          </w:tcPr>
          <w:p>
            <w:pPr>
              <w:ind w:left="1920"/>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c>
          <w:tcPr>
            <w:tcW w:w="40" w:type="dxa"/>
            <w:vAlign w:val="bottom"/>
          </w:tcPr>
          <w:p>
            <w:pPr>
              <w:spacing w:after="0"/>
              <w:rPr>
                <w:sz w:val="16"/>
                <w:szCs w:val="16"/>
                <w:color w:val="auto"/>
              </w:rPr>
            </w:pPr>
          </w:p>
        </w:tc>
      </w:tr>
      <w:tr>
        <w:trPr>
          <w:trHeight w:val="230"/>
        </w:trPr>
        <w:tc>
          <w:tcPr>
            <w:tcW w:w="3440" w:type="dxa"/>
            <w:vAlign w:val="bottom"/>
          </w:tcPr>
          <w:p>
            <w:pPr>
              <w:spacing w:after="0"/>
              <w:rPr>
                <w:sz w:val="20"/>
                <w:szCs w:val="20"/>
                <w:color w:val="auto"/>
              </w:rPr>
            </w:pPr>
          </w:p>
        </w:tc>
        <w:tc>
          <w:tcPr>
            <w:tcW w:w="2820" w:type="dxa"/>
            <w:vAlign w:val="bottom"/>
          </w:tcPr>
          <w:p>
            <w:pPr>
              <w:ind w:left="1920"/>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40" w:type="dxa"/>
            <w:vAlign w:val="bottom"/>
          </w:tcPr>
          <w:p>
            <w:pPr>
              <w:spacing w:after="0"/>
              <w:rPr>
                <w:sz w:val="20"/>
                <w:szCs w:val="20"/>
                <w:color w:val="auto"/>
              </w:rPr>
            </w:pPr>
          </w:p>
        </w:tc>
      </w:tr>
      <w:tr>
        <w:trPr>
          <w:trHeight w:val="432"/>
        </w:trPr>
        <w:tc>
          <w:tcPr>
            <w:tcW w:w="3440" w:type="dxa"/>
            <w:vAlign w:val="bottom"/>
          </w:tcPr>
          <w:p>
            <w:pPr>
              <w:spacing w:after="0"/>
              <w:rPr>
                <w:sz w:val="24"/>
                <w:szCs w:val="24"/>
                <w:color w:val="auto"/>
              </w:rPr>
            </w:pPr>
          </w:p>
        </w:tc>
        <w:tc>
          <w:tcPr>
            <w:tcW w:w="2820" w:type="dxa"/>
            <w:vAlign w:val="bottom"/>
          </w:tcPr>
          <w:p>
            <w:pPr>
              <w:jc w:val="right"/>
              <w:ind w:right="410"/>
              <w:spacing w:after="0"/>
              <w:rPr>
                <w:sz w:val="20"/>
                <w:szCs w:val="20"/>
                <w:color w:val="auto"/>
              </w:rPr>
            </w:pPr>
            <w:r>
              <w:rPr>
                <w:rFonts w:ascii="Arial" w:cs="Arial" w:eastAsia="Arial" w:hAnsi="Arial"/>
                <w:sz w:val="18"/>
                <w:szCs w:val="18"/>
                <w:color w:val="auto"/>
              </w:rPr>
              <w:t>1</w:t>
            </w:r>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440" w:type="dxa"/>
            <w:vAlign w:val="bottom"/>
            <w:tcBorders>
              <w:bottom w:val="single" w:sz="8" w:color="010101"/>
            </w:tcBorders>
          </w:tcPr>
          <w:p>
            <w:pPr>
              <w:spacing w:after="0"/>
              <w:rPr>
                <w:sz w:val="11"/>
                <w:szCs w:val="11"/>
                <w:color w:val="auto"/>
              </w:rPr>
            </w:pPr>
          </w:p>
        </w:tc>
        <w:tc>
          <w:tcPr>
            <w:tcW w:w="2820" w:type="dxa"/>
            <w:vAlign w:val="bottom"/>
            <w:tcBorders>
              <w:bottom w:val="single" w:sz="8" w:color="010101"/>
            </w:tcBorders>
          </w:tcPr>
          <w:p>
            <w:pPr>
              <w:spacing w:after="0"/>
              <w:rPr>
                <w:sz w:val="11"/>
                <w:szCs w:val="11"/>
                <w:color w:val="auto"/>
              </w:rPr>
            </w:pPr>
          </w:p>
        </w:tc>
        <w:tc>
          <w:tcPr>
            <w:tcW w:w="5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4" w:name="page25"/>
    <w:bookmarkEnd w:id="24"/>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Kent W. Christensen,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2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0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80" w:hanging="644"/>
        <w:spacing w:after="0" w:line="264" w:lineRule="auto"/>
        <w:tabs>
          <w:tab w:leader="none" w:pos="129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1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20" w:hanging="644"/>
        <w:spacing w:after="0" w:line="342" w:lineRule="auto"/>
        <w:tabs>
          <w:tab w:leader="none" w:pos="1297"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hanging="644"/>
        <w:spacing w:after="0" w:line="277" w:lineRule="auto"/>
        <w:tabs>
          <w:tab w:leader="none" w:pos="130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August 8, 2011</w:t>
            </w:r>
          </w:p>
        </w:tc>
        <w:tc>
          <w:tcPr>
            <w:tcW w:w="2920" w:type="dxa"/>
            <w:vAlign w:val="bottom"/>
          </w:tcPr>
          <w:p>
            <w:pPr>
              <w:ind w:left="20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0"/>
                <w:szCs w:val="20"/>
                <w:color w:val="auto"/>
              </w:rPr>
            </w:pPr>
          </w:p>
        </w:tc>
      </w:tr>
      <w:tr>
        <w:trPr>
          <w:trHeight w:val="195"/>
        </w:trPr>
        <w:tc>
          <w:tcPr>
            <w:tcW w:w="3580" w:type="dxa"/>
            <w:vAlign w:val="bottom"/>
          </w:tcPr>
          <w:p>
            <w:pPr>
              <w:spacing w:after="0"/>
              <w:rPr>
                <w:sz w:val="16"/>
                <w:szCs w:val="16"/>
                <w:color w:val="auto"/>
              </w:rPr>
            </w:pPr>
          </w:p>
        </w:tc>
        <w:tc>
          <w:tcPr>
            <w:tcW w:w="292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920" w:type="dxa"/>
            <w:vAlign w:val="bottom"/>
          </w:tcPr>
          <w:p>
            <w:pPr>
              <w:ind w:left="202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20"/>
                <w:szCs w:val="20"/>
                <w:color w:val="auto"/>
              </w:rPr>
            </w:pPr>
          </w:p>
        </w:tc>
      </w:tr>
      <w:tr>
        <w:trPr>
          <w:trHeight w:val="348"/>
        </w:trPr>
        <w:tc>
          <w:tcPr>
            <w:tcW w:w="3580" w:type="dxa"/>
            <w:vAlign w:val="bottom"/>
            <w:tcBorders>
              <w:bottom w:val="single" w:sz="8" w:color="010101"/>
            </w:tcBorders>
          </w:tcPr>
          <w:p>
            <w:pPr>
              <w:spacing w:after="0"/>
              <w:rPr>
                <w:sz w:val="24"/>
                <w:szCs w:val="24"/>
                <w:color w:val="auto"/>
              </w:rPr>
            </w:pPr>
          </w:p>
        </w:tc>
        <w:tc>
          <w:tcPr>
            <w:tcW w:w="2920" w:type="dxa"/>
            <w:vAlign w:val="bottom"/>
            <w:tcBorders>
              <w:bottom w:val="single" w:sz="8" w:color="010101"/>
            </w:tcBorders>
          </w:tcPr>
          <w:p>
            <w:pPr>
              <w:spacing w:after="0"/>
              <w:rPr>
                <w:sz w:val="24"/>
                <w:szCs w:val="24"/>
                <w:color w:val="auto"/>
              </w:rPr>
            </w:pPr>
          </w:p>
        </w:tc>
        <w:tc>
          <w:tcPr>
            <w:tcW w:w="49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5" w:name="page26"/>
    <w:bookmarkEnd w:id="25"/>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18 U.S. C. Section 1350,</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June 30, 2011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88" w:lineRule="exact"/>
        <w:rPr>
          <w:sz w:val="20"/>
          <w:szCs w:val="20"/>
          <w:color w:val="auto"/>
        </w:rPr>
      </w:pPr>
    </w:p>
    <w:tbl>
      <w:tblPr>
        <w:tblLayout w:type="fixed"/>
        <w:tblInd w:w="54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r>
      <w:tr>
        <w:trPr>
          <w:trHeight w:val="195"/>
        </w:trPr>
        <w:tc>
          <w:tcPr>
            <w:tcW w:w="8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20"/>
                <w:szCs w:val="20"/>
                <w:color w:val="auto"/>
              </w:rPr>
            </w:pPr>
            <w:r>
              <w:rPr>
                <w:rFonts w:ascii="Arial" w:cs="Arial" w:eastAsia="Arial" w:hAnsi="Arial"/>
                <w:sz w:val="18"/>
                <w:szCs w:val="18"/>
                <w:color w:val="auto"/>
              </w:rPr>
              <w:t>August 8, 2011</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June 30, 2011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ind w:left="54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0"/>
                <w:szCs w:val="20"/>
                <w:color w:val="auto"/>
              </w:rPr>
            </w:pPr>
          </w:p>
        </w:tc>
      </w:tr>
      <w:tr>
        <w:trPr>
          <w:trHeight w:val="195"/>
        </w:trPr>
        <w:tc>
          <w:tcPr>
            <w:tcW w:w="6320" w:type="dxa"/>
            <w:vAlign w:val="bottom"/>
          </w:tcPr>
          <w:p>
            <w:pPr>
              <w:ind w:left="5460"/>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16"/>
        </w:trPr>
        <w:tc>
          <w:tcPr>
            <w:tcW w:w="6320" w:type="dxa"/>
            <w:vAlign w:val="bottom"/>
          </w:tcPr>
          <w:p>
            <w:pPr>
              <w:ind w:left="5460"/>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18"/>
                <w:szCs w:val="18"/>
                <w:color w:val="auto"/>
              </w:rPr>
            </w:pPr>
          </w:p>
        </w:tc>
      </w:tr>
      <w:tr>
        <w:trPr>
          <w:trHeight w:val="230"/>
        </w:trPr>
        <w:tc>
          <w:tcPr>
            <w:tcW w:w="6320" w:type="dxa"/>
            <w:vAlign w:val="bottom"/>
          </w:tcPr>
          <w:p>
            <w:pPr>
              <w:ind w:left="5460"/>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20"/>
                <w:szCs w:val="20"/>
                <w:color w:val="auto"/>
              </w:rPr>
            </w:pPr>
            <w:r>
              <w:rPr>
                <w:rFonts w:ascii="Arial" w:cs="Arial" w:eastAsia="Arial" w:hAnsi="Arial"/>
                <w:sz w:val="18"/>
                <w:szCs w:val="18"/>
                <w:color w:val="auto"/>
              </w:rPr>
              <w:t>August 8, 2011</w:t>
            </w:r>
          </w:p>
        </w:tc>
        <w:tc>
          <w:tcPr>
            <w:tcW w:w="40" w:type="dxa"/>
            <w:vAlign w:val="bottom"/>
          </w:tcPr>
          <w:p>
            <w:pPr>
              <w:spacing w:after="0"/>
              <w:rPr>
                <w:sz w:val="20"/>
                <w:szCs w:val="20"/>
                <w:color w:val="auto"/>
              </w:rPr>
            </w:pPr>
          </w:p>
        </w:tc>
      </w:tr>
      <w:tr>
        <w:trPr>
          <w:trHeight w:val="348"/>
        </w:trPr>
        <w:tc>
          <w:tcPr>
            <w:tcW w:w="6320" w:type="dxa"/>
            <w:vAlign w:val="bottom"/>
            <w:tcBorders>
              <w:bottom w:val="single" w:sz="8" w:color="010101"/>
            </w:tcBorders>
          </w:tcPr>
          <w:p>
            <w:pPr>
              <w:spacing w:after="0"/>
              <w:rPr>
                <w:sz w:val="24"/>
                <w:szCs w:val="24"/>
                <w:color w:val="auto"/>
              </w:rPr>
            </w:pPr>
          </w:p>
        </w:tc>
        <w:tc>
          <w:tcPr>
            <w:tcW w:w="5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7"/>
    </w:lvl>
  </w:abstractNum>
  <w:abstractNum w:abstractNumId="10">
    <w:nsid w:val="3F2DBA31"/>
    <w:multiLevelType w:val="hybridMultilevel"/>
    <w:lvl w:ilvl="0">
      <w:lvlJc w:val="left"/>
      <w:lvlText w:val="%1."/>
      <w:numFmt w:val="decimal"/>
      <w:start w:val="8"/>
    </w:lvl>
  </w:abstractNum>
  <w:abstractNum w:abstractNumId="11">
    <w:nsid w:val="7C83E458"/>
    <w:multiLevelType w:val="hybridMultilevel"/>
    <w:lvl w:ilvl="0">
      <w:lvlJc w:val="left"/>
      <w:lvlText w:val="%1."/>
      <w:numFmt w:val="decimal"/>
      <w:start w:val="9"/>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2"/>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2019-12-11T00:26:32Z</dcterms:created>
  <dcterms:modified xsi:type="dcterms:W3CDTF">2019-12-11T00:26:32Z</dcterms:modified>
</cp:coreProperties>
</file>