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896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89610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Margolis Joseph 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2795 EAST COTTONWOOD PARKWAY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Extra Space Storage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80"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33"/>
        </w:trPr>
        <w:tc>
          <w:tcPr>
            <w:tcW w:w="40" w:type="dxa"/>
            <w:vAlign w:val="bottom"/>
          </w:tcPr>
          <w:p>
            <w:pPr>
              <w:spacing w:after="0"/>
              <w:rPr>
                <w:sz w:val="2"/>
                <w:szCs w:val="2"/>
                <w:color w:val="auto"/>
              </w:rPr>
            </w:pPr>
          </w:p>
        </w:tc>
        <w:tc>
          <w:tcPr>
            <w:tcW w:w="364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84121</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J</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07/01/2025</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7,500</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150.35</w:t>
            </w:r>
          </w:p>
        </w:tc>
        <w:tc>
          <w:tcPr>
            <w:tcW w:w="1200" w:type="dxa"/>
            <w:vAlign w:val="bottom"/>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27,260</w:t>
            </w:r>
          </w:p>
        </w:tc>
        <w:tc>
          <w:tcPr>
            <w:tcW w:w="92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&amp; 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Margolis</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TTEE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17"/>
              <w:spacing w:after="0"/>
              <w:rPr>
                <w:sz w:val="20"/>
                <w:szCs w:val="20"/>
                <w:color w:val="auto"/>
              </w:rPr>
            </w:pPr>
            <w:r>
              <w:rPr>
                <w:rFonts w:ascii="Times New Roman" w:cs="Times New Roman" w:eastAsia="Times New Roman" w:hAnsi="Times New Roman"/>
                <w:sz w:val="17"/>
                <w:szCs w:val="17"/>
                <w:color w:val="0000FF"/>
              </w:rPr>
              <w:t>84,385</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7"/>
                <w:szCs w:val="17"/>
                <w:color w:val="0000FF"/>
              </w:rPr>
              <w:t>97,260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Lane I,</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Cove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9,190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Hollow</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Lane II,</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dated as of February 28,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in J Margolis &amp; K Margolis TTEE Joseph Daniel Margolis Revocab U/A DTD 05/24/2013.</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controls the investment decisions with respect to shares of common stock held by Cove Hollow Lane I, LLC. The reporting person disclaims beneficial ownership in the common stock held by Cove Hollow Lane I, LLC,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in the common stock held by Cove Hollow Lane II, LLC, except to the extent of his pecuniary interest therein.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Grace Kunde, Attorney-in-  </w:t>
      </w:r>
      <w:r>
        <w:rPr>
          <w:rFonts w:ascii="Times New Roman" w:cs="Times New Roman" w:eastAsia="Times New Roman" w:hAnsi="Times New Roman"/>
          <w:sz w:val="34"/>
          <w:szCs w:val="34"/>
          <w:color w:val="0000FF"/>
          <w:vertAlign w:val="subscript"/>
        </w:rPr>
        <w:t>07/03/2025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38"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30121" TargetMode="External"/><Relationship Id="rId14" Type="http://schemas.openxmlformats.org/officeDocument/2006/relationships/hyperlink" Target="http://www.sec.gov/cgi-bin/browse-edgar?action=getcompany&amp;CIK=00012894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2025-07-03T15:43:12Z</dcterms:created>
  <dcterms:modified xsi:type="dcterms:W3CDTF">2025-07-03T15:43:12Z</dcterms:modified>
</cp:coreProperties>
</file>