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248920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121285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139065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460" w:hanging="454"/>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406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fiscal year ended December 31, 2015</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4"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27" w:right="239" w:bottom="1440" w:gutter="0" w:footer="0" w:header="0"/>
        </w:sectPr>
      </w:pPr>
    </w:p>
    <w:p>
      <w:pPr>
        <w:spacing w:after="0" w:line="107"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03" w:lineRule="exact"/>
        <w:rPr>
          <w:sz w:val="24"/>
          <w:szCs w:val="24"/>
          <w:color w:val="auto"/>
        </w:rPr>
      </w:pPr>
    </w:p>
    <w:p>
      <w:pPr>
        <w:sectPr>
          <w:pgSz w:w="11900" w:h="16838" w:orient="portrait"/>
          <w:cols w:equalWidth="0" w:num="3">
            <w:col w:w="5960" w:space="720"/>
            <w:col w:w="120" w:space="680"/>
            <w:col w:w="3940"/>
          </w:cols>
          <w:pgMar w:left="240" w:top="22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Commission File Number: 001-32269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149860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EXTRA SPACE STORAGE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123825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3" w:lineRule="exact"/>
        <w:rPr>
          <w:sz w:val="24"/>
          <w:szCs w:val="24"/>
          <w:color w:val="auto"/>
        </w:rPr>
      </w:pPr>
    </w:p>
    <w:tbl>
      <w:tblPr>
        <w:tblLayout w:type="fixed"/>
        <w:tblInd w:w="34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760" w:type="dxa"/>
            <w:vAlign w:val="bottom"/>
            <w:gridSpan w:val="2"/>
          </w:tcPr>
          <w:p>
            <w:pPr>
              <w:jc w:val="center"/>
              <w:ind w:right="521"/>
              <w:spacing w:after="0"/>
              <w:rPr>
                <w:sz w:val="20"/>
                <w:szCs w:val="20"/>
                <w:color w:val="auto"/>
              </w:rPr>
            </w:pPr>
            <w:r>
              <w:rPr>
                <w:rFonts w:ascii="Arial" w:cs="Arial" w:eastAsia="Arial" w:hAnsi="Arial"/>
                <w:sz w:val="16"/>
                <w:szCs w:val="16"/>
                <w:b w:val="1"/>
                <w:bCs w:val="1"/>
                <w:color w:val="auto"/>
                <w:w w:val="96"/>
              </w:rPr>
              <w:t>Maryland</w:t>
            </w:r>
          </w:p>
        </w:tc>
        <w:tc>
          <w:tcPr>
            <w:tcW w:w="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2"/>
          </w:tcPr>
          <w:p>
            <w:pPr>
              <w:jc w:val="center"/>
              <w:ind w:right="321"/>
              <w:spacing w:after="0"/>
              <w:rPr>
                <w:sz w:val="20"/>
                <w:szCs w:val="20"/>
                <w:color w:val="auto"/>
              </w:rPr>
            </w:pPr>
            <w:r>
              <w:rPr>
                <w:rFonts w:ascii="Arial" w:cs="Arial" w:eastAsia="Arial" w:hAnsi="Arial"/>
                <w:sz w:val="16"/>
                <w:szCs w:val="16"/>
                <w:b w:val="1"/>
                <w:bCs w:val="1"/>
                <w:color w:val="auto"/>
                <w:w w:val="88"/>
              </w:rPr>
              <w:t>20-1076777</w:t>
            </w:r>
          </w:p>
        </w:tc>
        <w:tc>
          <w:tcPr>
            <w:tcW w:w="0" w:type="dxa"/>
            <w:vAlign w:val="bottom"/>
          </w:tcPr>
          <w:p>
            <w:pPr>
              <w:spacing w:after="0"/>
              <w:rPr>
                <w:sz w:val="1"/>
                <w:szCs w:val="1"/>
                <w:color w:val="auto"/>
              </w:rPr>
            </w:pPr>
          </w:p>
        </w:tc>
      </w:tr>
      <w:tr>
        <w:trPr>
          <w:trHeight w:val="145"/>
        </w:trPr>
        <w:tc>
          <w:tcPr>
            <w:tcW w:w="3700" w:type="dxa"/>
            <w:vAlign w:val="bottom"/>
            <w:gridSpan w:val="3"/>
          </w:tcPr>
          <w:p>
            <w:pPr>
              <w:jc w:val="center"/>
              <w:ind w:left="1265"/>
              <w:spacing w:after="0" w:line="145" w:lineRule="exact"/>
              <w:rPr>
                <w:sz w:val="20"/>
                <w:szCs w:val="20"/>
                <w:color w:val="auto"/>
              </w:rPr>
            </w:pPr>
            <w:r>
              <w:rPr>
                <w:rFonts w:ascii="Arial" w:cs="Arial" w:eastAsia="Arial" w:hAnsi="Arial"/>
                <w:sz w:val="14"/>
                <w:szCs w:val="14"/>
                <w:b w:val="1"/>
                <w:bCs w:val="1"/>
                <w:color w:val="auto"/>
                <w:w w:val="91"/>
              </w:rPr>
              <w:t>(State or other jurisdiction of</w:t>
            </w:r>
          </w:p>
        </w:tc>
        <w:tc>
          <w:tcPr>
            <w:tcW w:w="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2"/>
          </w:tcPr>
          <w:p>
            <w:pPr>
              <w:jc w:val="center"/>
              <w:ind w:right="341"/>
              <w:spacing w:after="0" w:line="145"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3"/>
        </w:trPr>
        <w:tc>
          <w:tcPr>
            <w:tcW w:w="3700" w:type="dxa"/>
            <w:vAlign w:val="bottom"/>
            <w:gridSpan w:val="3"/>
          </w:tcPr>
          <w:p>
            <w:pPr>
              <w:jc w:val="center"/>
              <w:ind w:left="1265"/>
              <w:spacing w:after="0"/>
              <w:rPr>
                <w:sz w:val="20"/>
                <w:szCs w:val="20"/>
                <w:color w:val="auto"/>
              </w:rPr>
            </w:pPr>
            <w:r>
              <w:rPr>
                <w:rFonts w:ascii="Arial" w:cs="Arial" w:eastAsia="Arial" w:hAnsi="Arial"/>
                <w:sz w:val="14"/>
                <w:szCs w:val="14"/>
                <w:b w:val="1"/>
                <w:bCs w:val="1"/>
                <w:color w:val="auto"/>
                <w:w w:val="92"/>
              </w:rPr>
              <w:t>incorporation or organization)</w:t>
            </w:r>
          </w:p>
        </w:tc>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gridSpan w:val="4"/>
          </w:tcPr>
          <w:p>
            <w:pPr>
              <w:jc w:val="center"/>
              <w:ind w:right="465"/>
              <w:spacing w:after="0"/>
              <w:rPr>
                <w:sz w:val="20"/>
                <w:szCs w:val="20"/>
                <w:color w:val="auto"/>
              </w:rPr>
            </w:pPr>
            <w:r>
              <w:rPr>
                <w:rFonts w:ascii="Arial" w:cs="Arial" w:eastAsia="Arial" w:hAnsi="Arial"/>
                <w:sz w:val="16"/>
                <w:szCs w:val="16"/>
                <w:b w:val="1"/>
                <w:bCs w:val="1"/>
                <w:color w:val="auto"/>
                <w:w w:val="89"/>
              </w:rPr>
              <w:t>2795 East Cottonwood Parkway, Suite 400</w:t>
            </w: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gridSpan w:val="3"/>
          </w:tcPr>
          <w:p>
            <w:pPr>
              <w:jc w:val="center"/>
              <w:ind w:right="945"/>
              <w:spacing w:after="0"/>
              <w:rPr>
                <w:sz w:val="20"/>
                <w:szCs w:val="20"/>
                <w:color w:val="auto"/>
              </w:rPr>
            </w:pPr>
            <w:r>
              <w:rPr>
                <w:rFonts w:ascii="Arial" w:cs="Arial" w:eastAsia="Arial" w:hAnsi="Arial"/>
                <w:sz w:val="16"/>
                <w:szCs w:val="16"/>
                <w:b w:val="1"/>
                <w:bCs w:val="1"/>
                <w:color w:val="auto"/>
                <w:w w:val="91"/>
              </w:rPr>
              <w:t>Salt Lake City, Utah 84121</w:t>
            </w: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80" w:type="dxa"/>
            <w:vAlign w:val="bottom"/>
            <w:gridSpan w:val="4"/>
          </w:tcPr>
          <w:p>
            <w:pPr>
              <w:jc w:val="center"/>
              <w:ind w:right="465"/>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120" w:type="dxa"/>
            <w:vAlign w:val="bottom"/>
            <w:gridSpan w:val="6"/>
          </w:tcPr>
          <w:p>
            <w:pPr>
              <w:jc w:val="center"/>
              <w:ind w:right="444"/>
              <w:spacing w:after="0"/>
              <w:rPr>
                <w:sz w:val="20"/>
                <w:szCs w:val="20"/>
                <w:color w:val="auto"/>
              </w:rPr>
            </w:pPr>
            <w:r>
              <w:rPr>
                <w:rFonts w:ascii="Arial" w:cs="Arial" w:eastAsia="Arial" w:hAnsi="Arial"/>
                <w:sz w:val="16"/>
                <w:szCs w:val="16"/>
                <w:b w:val="1"/>
                <w:bCs w:val="1"/>
                <w:color w:val="auto"/>
                <w:w w:val="88"/>
              </w:rPr>
              <w:t>Registrant’s telephone number, including area code: (801) 365-4600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00" w:type="dxa"/>
            <w:vAlign w:val="bottom"/>
            <w:gridSpan w:val="5"/>
          </w:tcPr>
          <w:p>
            <w:pPr>
              <w:jc w:val="center"/>
              <w:ind w:left="1"/>
              <w:spacing w:after="0"/>
              <w:rPr>
                <w:sz w:val="20"/>
                <w:szCs w:val="20"/>
                <w:color w:val="auto"/>
              </w:rPr>
            </w:pPr>
            <w:r>
              <w:rPr>
                <w:rFonts w:ascii="Arial" w:cs="Arial" w:eastAsia="Arial" w:hAnsi="Arial"/>
                <w:sz w:val="16"/>
                <w:szCs w:val="16"/>
                <w:b w:val="1"/>
                <w:bCs w:val="1"/>
                <w:color w:val="auto"/>
                <w:w w:val="88"/>
              </w:rPr>
              <w:t>Securities Registered Pursuant to Section 12(b) of the Act:</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940" w:type="dxa"/>
            <w:vAlign w:val="bottom"/>
            <w:vMerge w:val="restart"/>
          </w:tcPr>
          <w:p>
            <w:pPr>
              <w:ind w:left="1440"/>
              <w:spacing w:after="0"/>
              <w:rPr>
                <w:sz w:val="20"/>
                <w:szCs w:val="20"/>
                <w:color w:val="auto"/>
              </w:rPr>
            </w:pPr>
            <w:r>
              <w:rPr>
                <w:rFonts w:ascii="Arial" w:cs="Arial" w:eastAsia="Arial" w:hAnsi="Arial"/>
                <w:sz w:val="15"/>
                <w:szCs w:val="15"/>
                <w:b w:val="1"/>
                <w:bCs w:val="1"/>
                <w:color w:val="auto"/>
                <w:w w:val="73"/>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0" w:type="dxa"/>
            <w:vAlign w:val="bottom"/>
          </w:tcPr>
          <w:p>
            <w:pPr>
              <w:spacing w:after="0"/>
              <w:rPr>
                <w:sz w:val="1"/>
                <w:szCs w:val="1"/>
                <w:color w:val="auto"/>
              </w:rPr>
            </w:pPr>
          </w:p>
        </w:tc>
      </w:tr>
      <w:tr>
        <w:trPr>
          <w:trHeight w:val="198"/>
        </w:trPr>
        <w:tc>
          <w:tcPr>
            <w:tcW w:w="1940" w:type="dxa"/>
            <w:vAlign w:val="bottom"/>
            <w:vMerge w:val="continue"/>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w w:val="94"/>
              </w:rPr>
              <w:t>Stock, $0.01 par value</w:t>
            </w:r>
          </w:p>
        </w:tc>
        <w:tc>
          <w:tcPr>
            <w:tcW w:w="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New York Stock Exchange, Inc.</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500" w:type="dxa"/>
            <w:vAlign w:val="bottom"/>
            <w:gridSpan w:val="5"/>
          </w:tcPr>
          <w:p>
            <w:pPr>
              <w:jc w:val="center"/>
              <w:ind w:left="1"/>
              <w:spacing w:after="0"/>
              <w:rPr>
                <w:sz w:val="20"/>
                <w:szCs w:val="20"/>
                <w:color w:val="auto"/>
              </w:rPr>
            </w:pPr>
            <w:r>
              <w:rPr>
                <w:rFonts w:ascii="Arial" w:cs="Arial" w:eastAsia="Arial" w:hAnsi="Arial"/>
                <w:sz w:val="16"/>
                <w:szCs w:val="16"/>
                <w:b w:val="1"/>
                <w:bCs w:val="1"/>
                <w:color w:val="auto"/>
                <w:w w:val="88"/>
              </w:rPr>
              <w:t>Securities registered pursuant to Section 12(g) of the Act: None</w:t>
            </w: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180" w:type="dxa"/>
            <w:vAlign w:val="bottom"/>
            <w:gridSpan w:val="4"/>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020" w:type="dxa"/>
            <w:vAlign w:val="bottom"/>
            <w:gridSpan w:val="2"/>
          </w:tcPr>
          <w:p>
            <w:pPr>
              <w:spacing w:after="0"/>
              <w:rPr>
                <w:sz w:val="16"/>
                <w:szCs w:val="16"/>
                <w:color w:val="auto"/>
              </w:rPr>
            </w:pPr>
          </w:p>
        </w:tc>
        <w:tc>
          <w:tcPr>
            <w:tcW w:w="6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30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2"/>
        </w:trPr>
        <w:tc>
          <w:tcPr>
            <w:tcW w:w="7580" w:type="dxa"/>
            <w:vAlign w:val="bottom"/>
            <w:gridSpan w:val="7"/>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6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80" w:type="dxa"/>
            <w:vAlign w:val="bottom"/>
            <w:gridSpan w:val="7"/>
          </w:tcPr>
          <w:p>
            <w:pPr>
              <w:spacing w:after="0"/>
              <w:rPr>
                <w:sz w:val="20"/>
                <w:szCs w:val="20"/>
                <w:color w:val="auto"/>
              </w:rPr>
            </w:pPr>
            <w:r>
              <w:rPr>
                <w:rFonts w:ascii="Arial" w:cs="Arial" w:eastAsia="Arial" w:hAnsi="Arial"/>
                <w:sz w:val="16"/>
                <w:szCs w:val="16"/>
                <w:color w:val="auto"/>
                <w:w w:val="90"/>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3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100" w:firstLine="342"/>
        <w:spacing w:after="0" w:line="27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60" w:val="left"/>
          <w:tab w:leader="none" w:pos="10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0" w:lineRule="exact"/>
        <w:rPr>
          <w:sz w:val="24"/>
          <w:szCs w:val="24"/>
          <w:color w:val="auto"/>
        </w:rPr>
      </w:pPr>
    </w:p>
    <w:p>
      <w:pPr>
        <w:ind w:right="60" w:firstLine="342"/>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160" w:firstLine="342"/>
        <w:spacing w:after="0" w:line="209"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of this Form 10-K. </w:t>
      </w:r>
      <w:r>
        <w:rPr>
          <w:rFonts w:ascii="MS PGothic" w:cs="MS PGothic" w:eastAsia="MS PGothic" w:hAnsi="MS PGothic"/>
          <w:sz w:val="15"/>
          <w:szCs w:val="15"/>
          <w:color w:val="auto"/>
        </w:rPr>
        <w:t>☒</w:t>
      </w:r>
    </w:p>
    <w:p>
      <w:pPr>
        <w:spacing w:after="0" w:line="45" w:lineRule="exact"/>
        <w:rPr>
          <w:sz w:val="24"/>
          <w:szCs w:val="24"/>
          <w:color w:val="auto"/>
        </w:rPr>
      </w:pPr>
    </w:p>
    <w:p>
      <w:pPr>
        <w:ind w:right="260" w:firstLine="342"/>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7" w:right="239" w:bottom="1440" w:gutter="0" w:footer="0" w:header="0"/>
          <w:type w:val="continuous"/>
        </w:sectPr>
      </w:pPr>
    </w:p>
    <w:p>
      <w:pPr>
        <w:spacing w:after="0" w:line="46" w:lineRule="exact"/>
        <w:rPr>
          <w:sz w:val="24"/>
          <w:szCs w:val="24"/>
          <w:color w:val="auto"/>
        </w:rPr>
      </w:pPr>
    </w:p>
    <w:p>
      <w:pPr>
        <w:spacing w:after="0" w:line="333"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4">
            <w:col w:w="1420" w:space="520"/>
            <w:col w:w="6220" w:space="720"/>
            <w:col w:w="1740" w:space="660"/>
            <w:col w:w="140"/>
          </w:cols>
          <w:pgMar w:left="240" w:top="227" w:right="23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0" w:lineRule="exact"/>
        <w:rPr>
          <w:sz w:val="24"/>
          <w:szCs w:val="24"/>
          <w:color w:val="auto"/>
        </w:rPr>
      </w:pPr>
    </w:p>
    <w:p>
      <w:pPr>
        <w:sectPr>
          <w:pgSz w:w="11900" w:h="16838" w:orient="portrait"/>
          <w:cols w:equalWidth="0" w:num="5">
            <w:col w:w="7540" w:space="140"/>
            <w:col w:w="240" w:space="80"/>
            <w:col w:w="140" w:space="160"/>
            <w:col w:w="200" w:space="80"/>
            <w:col w:w="2840"/>
          </w:cols>
          <w:pgMar w:left="240" w:top="227" w:right="239" w:bottom="1440" w:gutter="0" w:footer="0" w:header="0"/>
          <w:type w:val="continuous"/>
        </w:sectPr>
      </w:pPr>
    </w:p>
    <w:p>
      <w:pPr>
        <w:ind w:right="40" w:firstLine="342"/>
        <w:spacing w:after="0" w:line="269" w:lineRule="auto"/>
        <w:rPr>
          <w:sz w:val="20"/>
          <w:szCs w:val="20"/>
          <w:color w:val="auto"/>
        </w:rPr>
      </w:pPr>
      <w:r>
        <w:rPr>
          <w:rFonts w:ascii="Arial" w:cs="Arial" w:eastAsia="Arial" w:hAnsi="Arial"/>
          <w:sz w:val="16"/>
          <w:szCs w:val="16"/>
          <w:color w:val="auto"/>
        </w:rPr>
        <w:t>The aggregate market value of the common stock held by non-affiliates of the registrant was $7,668,549,404 based upon the closing price on the New York Stock Exchange on June 30, 2015, the last business day of the registrant’s most recently completed second fiscal quarter. This calculation does not reflect a determination that persons whose shares are excluded from the computation are affiliates for any other purpose.</w:t>
      </w:r>
    </w:p>
    <w:p>
      <w:pPr>
        <w:spacing w:after="0" w:line="37" w:lineRule="exact"/>
        <w:rPr>
          <w:sz w:val="24"/>
          <w:szCs w:val="24"/>
          <w:color w:val="auto"/>
        </w:rPr>
      </w:pPr>
    </w:p>
    <w:p>
      <w:pPr>
        <w:ind w:left="4400" w:right="1880" w:hanging="4058"/>
        <w:spacing w:after="0" w:line="355" w:lineRule="auto"/>
        <w:rPr>
          <w:sz w:val="20"/>
          <w:szCs w:val="20"/>
          <w:color w:val="auto"/>
        </w:rPr>
      </w:pPr>
      <w:r>
        <w:rPr>
          <w:rFonts w:ascii="Arial" w:cs="Arial" w:eastAsia="Arial" w:hAnsi="Arial"/>
          <w:sz w:val="16"/>
          <w:szCs w:val="16"/>
          <w:b w:val="1"/>
          <w:bCs w:val="1"/>
          <w:color w:val="auto"/>
        </w:rPr>
        <w:t>The number of shares outstanding of the registrant’s common stock, $0.01 par value per share, as of February 18, 2016 was 125,054,328. Documents Incorporated by Reference</w:t>
      </w:r>
    </w:p>
    <w:p>
      <w:pPr>
        <w:spacing w:after="0" w:line="1" w:lineRule="exact"/>
        <w:rPr>
          <w:sz w:val="24"/>
          <w:szCs w:val="24"/>
          <w:color w:val="auto"/>
        </w:rPr>
      </w:pPr>
    </w:p>
    <w:p>
      <w:pPr>
        <w:ind w:right="360" w:firstLine="342"/>
        <w:spacing w:after="0" w:line="280" w:lineRule="auto"/>
        <w:rPr>
          <w:sz w:val="20"/>
          <w:szCs w:val="20"/>
          <w:color w:val="auto"/>
        </w:rPr>
      </w:pPr>
      <w:r>
        <w:rPr>
          <w:rFonts w:ascii="Arial" w:cs="Arial" w:eastAsia="Arial" w:hAnsi="Arial"/>
          <w:sz w:val="16"/>
          <w:szCs w:val="16"/>
          <w:color w:val="auto"/>
        </w:rPr>
        <w:t>Portions of the registrant’s definitive proxy statement to be issued in connection with the registrant’s annual stockholders’ meeting to be held in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20" w:type="dxa"/>
            <w:vAlign w:val="bottom"/>
            <w:gridSpan w:val="2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520"/>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8"/>
          </w:tcPr>
          <w:p>
            <w:pPr>
              <w:jc w:val="center"/>
              <w:ind w:right="2640"/>
              <w:spacing w:after="0"/>
              <w:rPr>
                <w:sz w:val="20"/>
                <w:szCs w:val="20"/>
                <w:color w:val="auto"/>
              </w:rPr>
            </w:pPr>
            <w:r>
              <w:rPr>
                <w:rFonts w:ascii="Arial" w:cs="Arial" w:eastAsia="Arial" w:hAnsi="Arial"/>
                <w:sz w:val="18"/>
                <w:szCs w:val="18"/>
                <w:b w:val="1"/>
                <w:bCs w:val="1"/>
                <w:color w:val="auto"/>
                <w:w w:val="96"/>
              </w:rPr>
              <w:t>EXTRA SPACE STORAGE INC.</w:t>
            </w:r>
          </w:p>
        </w:tc>
        <w:tc>
          <w:tcPr>
            <w:tcW w:w="1420" w:type="dxa"/>
            <w:vAlign w:val="bottom"/>
          </w:tcPr>
          <w:p>
            <w:pPr>
              <w:spacing w:after="0"/>
              <w:rPr>
                <w:sz w:val="24"/>
                <w:szCs w:val="24"/>
                <w:color w:val="auto"/>
              </w:rPr>
            </w:pPr>
          </w:p>
        </w:tc>
      </w:tr>
      <w:tr>
        <w:trPr>
          <w:trHeight w:val="42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2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86"/>
              </w:rPr>
              <w:t>Table of Contents</w:t>
            </w:r>
          </w:p>
        </w:tc>
        <w:tc>
          <w:tcPr>
            <w:tcW w:w="1420" w:type="dxa"/>
            <w:vAlign w:val="bottom"/>
          </w:tcPr>
          <w:p>
            <w:pPr>
              <w:spacing w:after="0"/>
              <w:rPr>
                <w:sz w:val="24"/>
                <w:szCs w:val="24"/>
                <w:color w:val="auto"/>
              </w:rPr>
            </w:pPr>
          </w:p>
        </w:tc>
      </w:tr>
      <w:tr>
        <w:trPr>
          <w:trHeight w:val="410"/>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4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line="191"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400" w:type="dxa"/>
            <w:vAlign w:val="bottom"/>
            <w:gridSpan w:val="19"/>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4</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1"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8140" w:type="dxa"/>
            <w:vAlign w:val="bottom"/>
            <w:gridSpan w:val="17"/>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8</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1B.</w:t>
            </w:r>
          </w:p>
        </w:tc>
        <w:tc>
          <w:tcPr>
            <w:tcW w:w="9040" w:type="dxa"/>
            <w:vAlign w:val="bottom"/>
            <w:gridSpan w:val="22"/>
          </w:tcPr>
          <w:p>
            <w:pPr>
              <w:spacing w:after="0" w:line="191"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20</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11"/>
          </w:tcPr>
          <w:p>
            <w:pPr>
              <w:spacing w:after="0" w:line="191"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040" w:type="dxa"/>
            <w:vAlign w:val="bottom"/>
            <w:gridSpan w:val="11"/>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20</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7"/>
          </w:tcPr>
          <w:p>
            <w:pPr>
              <w:spacing w:after="0" w:line="191"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Legal Proceedings</w:t>
              </w:r>
            </w:hyperlink>
          </w:p>
        </w:tc>
        <w:tc>
          <w:tcPr>
            <w:tcW w:w="7720" w:type="dxa"/>
            <w:vAlign w:val="bottom"/>
            <w:gridSpan w:val="15"/>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4.</w:t>
            </w:r>
          </w:p>
        </w:tc>
        <w:tc>
          <w:tcPr>
            <w:tcW w:w="9040" w:type="dxa"/>
            <w:vAlign w:val="bottom"/>
            <w:gridSpan w:val="22"/>
          </w:tcPr>
          <w:p>
            <w:pPr>
              <w:spacing w:after="0" w:line="191"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191"/>
        </w:trPr>
        <w:tc>
          <w:tcPr>
            <w:tcW w:w="880" w:type="dxa"/>
            <w:vAlign w:val="bottom"/>
            <w:gridSpan w:val="5"/>
          </w:tcPr>
          <w:p>
            <w:pPr>
              <w:spacing w:after="0" w:line="191" w:lineRule="exact"/>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2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191"/>
        </w:trPr>
        <w:tc>
          <w:tcPr>
            <w:tcW w:w="580" w:type="dxa"/>
            <w:vAlign w:val="bottom"/>
            <w:tcBorders>
              <w:top w:val="single" w:sz="8" w:color="0000EE"/>
            </w:tcBorders>
            <w:gridSpan w:val="2"/>
          </w:tcPr>
          <w:p>
            <w:pPr>
              <w:spacing w:after="0" w:line="191" w:lineRule="exact"/>
              <w:rPr>
                <w:sz w:val="20"/>
                <w:szCs w:val="20"/>
                <w:color w:val="auto"/>
              </w:rPr>
            </w:pPr>
            <w:r>
              <w:rPr>
                <w:rFonts w:ascii="Arial" w:cs="Arial" w:eastAsia="Arial" w:hAnsi="Arial"/>
                <w:sz w:val="18"/>
                <w:szCs w:val="18"/>
                <w:color w:val="auto"/>
              </w:rPr>
              <w:t>Item 5.</w:t>
            </w:r>
          </w:p>
        </w:tc>
        <w:tc>
          <w:tcPr>
            <w:tcW w:w="300" w:type="dxa"/>
            <w:vAlign w:val="bottom"/>
            <w:gridSpan w:val="3"/>
          </w:tcPr>
          <w:p>
            <w:pPr>
              <w:spacing w:after="0"/>
              <w:rPr>
                <w:sz w:val="16"/>
                <w:szCs w:val="16"/>
                <w:color w:val="auto"/>
              </w:rPr>
            </w:pPr>
          </w:p>
        </w:tc>
        <w:tc>
          <w:tcPr>
            <w:tcW w:w="9040" w:type="dxa"/>
            <w:vAlign w:val="bottom"/>
            <w:gridSpan w:val="22"/>
          </w:tcPr>
          <w:p>
            <w:pPr>
              <w:spacing w:after="0" w:line="191"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6.</w:t>
            </w:r>
          </w:p>
        </w:tc>
        <w:tc>
          <w:tcPr>
            <w:tcW w:w="7900" w:type="dxa"/>
            <w:vAlign w:val="bottom"/>
            <w:tcBorders>
              <w:top w:val="single" w:sz="8" w:color="0000EE"/>
            </w:tcBorders>
            <w:gridSpan w:val="21"/>
          </w:tcPr>
          <w:p>
            <w:pPr>
              <w:spacing w:after="0" w:line="191"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27</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7.</w:t>
            </w:r>
          </w:p>
        </w:tc>
        <w:tc>
          <w:tcPr>
            <w:tcW w:w="9040" w:type="dxa"/>
            <w:vAlign w:val="bottom"/>
            <w:gridSpan w:val="22"/>
          </w:tcPr>
          <w:p>
            <w:pPr>
              <w:spacing w:after="0" w:line="191"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29</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7A.</w:t>
            </w:r>
          </w:p>
        </w:tc>
        <w:tc>
          <w:tcPr>
            <w:tcW w:w="6320" w:type="dxa"/>
            <w:vAlign w:val="bottom"/>
            <w:tcBorders>
              <w:top w:val="single" w:sz="8" w:color="0000EE"/>
            </w:tcBorders>
            <w:gridSpan w:val="18"/>
          </w:tcPr>
          <w:p>
            <w:pPr>
              <w:spacing w:after="0" w:line="191"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2720" w:type="dxa"/>
            <w:vAlign w:val="bottom"/>
            <w:gridSpan w:val="4"/>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48</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8.</w:t>
            </w:r>
          </w:p>
        </w:tc>
        <w:tc>
          <w:tcPr>
            <w:tcW w:w="4260" w:type="dxa"/>
            <w:vAlign w:val="bottom"/>
            <w:tcBorders>
              <w:top w:val="single" w:sz="8" w:color="0000EE"/>
            </w:tcBorders>
            <w:gridSpan w:val="16"/>
          </w:tcPr>
          <w:p>
            <w:pPr>
              <w:spacing w:after="0" w:line="191"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780" w:type="dxa"/>
            <w:vAlign w:val="bottom"/>
            <w:gridSpan w:val="6"/>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49</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9.</w:t>
            </w:r>
          </w:p>
        </w:tc>
        <w:tc>
          <w:tcPr>
            <w:tcW w:w="9040" w:type="dxa"/>
            <w:vAlign w:val="bottom"/>
            <w:gridSpan w:val="22"/>
          </w:tcPr>
          <w:p>
            <w:pPr>
              <w:spacing w:after="0" w:line="191" w:lineRule="exact"/>
              <w:rPr>
                <w:rFonts w:ascii="Arial" w:cs="Arial" w:eastAsia="Arial" w:hAnsi="Arial"/>
                <w:sz w:val="18"/>
                <w:szCs w:val="18"/>
                <w:color w:val="0000EE"/>
              </w:rPr>
            </w:pPr>
            <w:hyperlink w:anchor="page120">
              <w:r>
                <w:rPr>
                  <w:rFonts w:ascii="Arial" w:cs="Arial" w:eastAsia="Arial" w:hAnsi="Arial"/>
                  <w:sz w:val="18"/>
                  <w:szCs w:val="18"/>
                  <w:color w:val="0000EE"/>
                </w:rPr>
                <w:t>Changes in and Disagreements with Accountants on Accounting and Financial Disclosure</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120</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9"/>
          </w:tcPr>
          <w:p>
            <w:pPr>
              <w:spacing w:after="0" w:line="191" w:lineRule="exact"/>
              <w:rPr>
                <w:rFonts w:ascii="Arial" w:cs="Arial" w:eastAsia="Arial" w:hAnsi="Arial"/>
                <w:sz w:val="18"/>
                <w:szCs w:val="18"/>
                <w:color w:val="0000EE"/>
                <w:w w:val="86"/>
              </w:rPr>
            </w:pPr>
            <w:hyperlink w:anchor="page120">
              <w:r>
                <w:rPr>
                  <w:rFonts w:ascii="Arial" w:cs="Arial" w:eastAsia="Arial" w:hAnsi="Arial"/>
                  <w:sz w:val="18"/>
                  <w:szCs w:val="18"/>
                  <w:color w:val="0000EE"/>
                  <w:w w:val="86"/>
                </w:rPr>
                <w:t>Controls and Procedures</w:t>
              </w:r>
            </w:hyperlink>
          </w:p>
        </w:tc>
        <w:tc>
          <w:tcPr>
            <w:tcW w:w="4600" w:type="dxa"/>
            <w:vAlign w:val="bottom"/>
            <w:tcBorders>
              <w:top w:val="single" w:sz="8" w:color="0000EE"/>
            </w:tcBorders>
            <w:gridSpan w:val="10"/>
          </w:tcPr>
          <w:p>
            <w:pPr>
              <w:spacing w:after="0"/>
              <w:rPr>
                <w:sz w:val="16"/>
                <w:szCs w:val="16"/>
                <w:color w:val="auto"/>
              </w:rPr>
            </w:pPr>
          </w:p>
        </w:tc>
        <w:tc>
          <w:tcPr>
            <w:tcW w:w="2700" w:type="dxa"/>
            <w:vAlign w:val="bottom"/>
            <w:gridSpan w:val="3"/>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120</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9B.</w:t>
            </w:r>
          </w:p>
        </w:tc>
        <w:tc>
          <w:tcPr>
            <w:tcW w:w="9040" w:type="dxa"/>
            <w:vAlign w:val="bottom"/>
            <w:gridSpan w:val="22"/>
          </w:tcPr>
          <w:p>
            <w:pPr>
              <w:spacing w:after="0" w:line="191" w:lineRule="exact"/>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122</w:t>
            </w:r>
          </w:p>
        </w:tc>
      </w:tr>
      <w:tr>
        <w:trPr>
          <w:trHeight w:val="191"/>
        </w:trPr>
        <w:tc>
          <w:tcPr>
            <w:tcW w:w="880" w:type="dxa"/>
            <w:vAlign w:val="bottom"/>
            <w:gridSpan w:val="5"/>
          </w:tcPr>
          <w:p>
            <w:pPr>
              <w:spacing w:after="0" w:line="191" w:lineRule="exact"/>
              <w:rPr>
                <w:rFonts w:ascii="Arial" w:cs="Arial" w:eastAsia="Arial" w:hAnsi="Arial"/>
                <w:sz w:val="18"/>
                <w:szCs w:val="18"/>
                <w:color w:val="0000EE"/>
              </w:rPr>
            </w:pPr>
            <w:hyperlink w:anchor="page123">
              <w:r>
                <w:rPr>
                  <w:rFonts w:ascii="Arial" w:cs="Arial" w:eastAsia="Arial" w:hAnsi="Arial"/>
                  <w:sz w:val="18"/>
                  <w:szCs w:val="18"/>
                  <w:color w:val="0000EE"/>
                </w:rPr>
                <w:t>PART III</w:t>
              </w:r>
            </w:hyperlink>
          </w:p>
        </w:tc>
        <w:tc>
          <w:tcPr>
            <w:tcW w:w="2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640" w:type="dxa"/>
            <w:vAlign w:val="bottom"/>
            <w:tcBorders>
              <w:top w:val="single" w:sz="8" w:color="0000EE"/>
            </w:tcBorders>
            <w:gridSpan w:val="3"/>
          </w:tcPr>
          <w:p>
            <w:pPr>
              <w:spacing w:after="0" w:line="191" w:lineRule="exact"/>
              <w:rPr>
                <w:sz w:val="20"/>
                <w:szCs w:val="20"/>
                <w:color w:val="auto"/>
              </w:rPr>
            </w:pPr>
            <w:r>
              <w:rPr>
                <w:rFonts w:ascii="Arial" w:cs="Arial" w:eastAsia="Arial" w:hAnsi="Arial"/>
                <w:sz w:val="18"/>
                <w:szCs w:val="18"/>
                <w:color w:val="auto"/>
                <w:w w:val="95"/>
              </w:rPr>
              <w:t>Item 10.</w:t>
            </w:r>
          </w:p>
        </w:tc>
        <w:tc>
          <w:tcPr>
            <w:tcW w:w="240" w:type="dxa"/>
            <w:vAlign w:val="bottom"/>
            <w:gridSpan w:val="2"/>
          </w:tcPr>
          <w:p>
            <w:pPr>
              <w:spacing w:after="0"/>
              <w:rPr>
                <w:sz w:val="16"/>
                <w:szCs w:val="16"/>
                <w:color w:val="auto"/>
              </w:rPr>
            </w:pPr>
          </w:p>
        </w:tc>
        <w:tc>
          <w:tcPr>
            <w:tcW w:w="4020" w:type="dxa"/>
            <w:vAlign w:val="bottom"/>
            <w:tcBorders>
              <w:bottom w:val="single" w:sz="8" w:color="0000EE"/>
            </w:tcBorders>
            <w:gridSpan w:val="15"/>
          </w:tcPr>
          <w:p>
            <w:pPr>
              <w:spacing w:after="0" w:line="191"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Directors, Executive Officers and Corporate Governance</w:t>
              </w:r>
            </w:hyperlink>
          </w:p>
        </w:tc>
        <w:tc>
          <w:tcPr>
            <w:tcW w:w="5020" w:type="dxa"/>
            <w:vAlign w:val="bottom"/>
            <w:gridSpan w:val="7"/>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10"/>
          </w:tcPr>
          <w:p>
            <w:pPr>
              <w:spacing w:after="0" w:line="191"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Executive Compensation</w:t>
              </w:r>
            </w:hyperlink>
          </w:p>
        </w:tc>
        <w:tc>
          <w:tcPr>
            <w:tcW w:w="7260" w:type="dxa"/>
            <w:vAlign w:val="bottom"/>
            <w:gridSpan w:val="12"/>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12.</w:t>
            </w:r>
          </w:p>
        </w:tc>
        <w:tc>
          <w:tcPr>
            <w:tcW w:w="7140" w:type="dxa"/>
            <w:vAlign w:val="bottom"/>
            <w:tcBorders>
              <w:bottom w:val="single" w:sz="8" w:color="0000EE"/>
            </w:tcBorders>
            <w:gridSpan w:val="20"/>
          </w:tcPr>
          <w:p>
            <w:pPr>
              <w:spacing w:after="0" w:line="191"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Security Ownership of Certain Beneficial Owners and Management and Related Stockholder Matters</w:t>
              </w:r>
            </w:hyperlink>
          </w:p>
        </w:tc>
        <w:tc>
          <w:tcPr>
            <w:tcW w:w="1900" w:type="dxa"/>
            <w:vAlign w:val="bottom"/>
            <w:gridSpan w:val="2"/>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13.</w:t>
            </w:r>
          </w:p>
        </w:tc>
        <w:tc>
          <w:tcPr>
            <w:tcW w:w="5340" w:type="dxa"/>
            <w:vAlign w:val="bottom"/>
            <w:tcBorders>
              <w:bottom w:val="single" w:sz="8" w:color="0000EE"/>
            </w:tcBorders>
            <w:gridSpan w:val="17"/>
          </w:tcPr>
          <w:p>
            <w:pPr>
              <w:spacing w:after="0" w:line="191"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Certain Relationships and Related Transactions, and Director Independence</w:t>
              </w:r>
            </w:hyperlink>
          </w:p>
        </w:tc>
        <w:tc>
          <w:tcPr>
            <w:tcW w:w="3700" w:type="dxa"/>
            <w:vAlign w:val="bottom"/>
            <w:gridSpan w:val="5"/>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14.</w:t>
            </w:r>
          </w:p>
        </w:tc>
        <w:tc>
          <w:tcPr>
            <w:tcW w:w="9040" w:type="dxa"/>
            <w:vAlign w:val="bottom"/>
            <w:gridSpan w:val="22"/>
          </w:tcPr>
          <w:p>
            <w:pPr>
              <w:spacing w:after="0" w:line="191"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Accounting Fees and Services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123</w:t>
            </w:r>
          </w:p>
        </w:tc>
      </w:tr>
      <w:tr>
        <w:trPr>
          <w:trHeight w:val="191"/>
        </w:trPr>
        <w:tc>
          <w:tcPr>
            <w:tcW w:w="660" w:type="dxa"/>
            <w:vAlign w:val="bottom"/>
            <w:tcBorders>
              <w:bottom w:val="single" w:sz="8" w:color="0000EE"/>
            </w:tcBorders>
            <w:gridSpan w:val="4"/>
          </w:tcPr>
          <w:p>
            <w:pPr>
              <w:spacing w:after="0" w:line="191"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PART IV</w:t>
              </w:r>
            </w:hyperlink>
          </w:p>
        </w:tc>
        <w:tc>
          <w:tcPr>
            <w:tcW w:w="2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124</w:t>
            </w:r>
          </w:p>
        </w:tc>
      </w:tr>
      <w:tr>
        <w:trPr>
          <w:trHeight w:val="191"/>
        </w:trPr>
        <w:tc>
          <w:tcPr>
            <w:tcW w:w="880" w:type="dxa"/>
            <w:vAlign w:val="bottom"/>
            <w:gridSpan w:val="5"/>
          </w:tcPr>
          <w:p>
            <w:pPr>
              <w:spacing w:after="0" w:line="191" w:lineRule="exact"/>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3"/>
          </w:tcPr>
          <w:p>
            <w:pPr>
              <w:spacing w:after="0" w:line="191"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Exhibits and Financial Statement Schedules</w:t>
              </w:r>
            </w:hyperlink>
          </w:p>
        </w:tc>
        <w:tc>
          <w:tcPr>
            <w:tcW w:w="5940" w:type="dxa"/>
            <w:vAlign w:val="bottom"/>
            <w:gridSpan w:val="9"/>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124</w:t>
            </w:r>
          </w:p>
        </w:tc>
      </w:tr>
      <w:tr>
        <w:trPr>
          <w:trHeight w:val="191"/>
        </w:trPr>
        <w:tc>
          <w:tcPr>
            <w:tcW w:w="9920" w:type="dxa"/>
            <w:vAlign w:val="bottom"/>
            <w:gridSpan w:val="27"/>
          </w:tcPr>
          <w:p>
            <w:pPr>
              <w:spacing w:after="0" w:line="191" w:lineRule="exact"/>
              <w:rPr>
                <w:rFonts w:ascii="Arial" w:cs="Arial" w:eastAsia="Arial" w:hAnsi="Arial"/>
                <w:sz w:val="18"/>
                <w:szCs w:val="18"/>
                <w:color w:val="0000EE"/>
              </w:rPr>
            </w:pPr>
            <w:hyperlink w:anchor="page128">
              <w:r>
                <w:rPr>
                  <w:rFonts w:ascii="Arial" w:cs="Arial" w:eastAsia="Arial" w:hAnsi="Arial"/>
                  <w:sz w:val="18"/>
                  <w:szCs w:val="18"/>
                  <w:color w:val="0000EE"/>
                </w:rPr>
                <w:t>SIGNATURES</w:t>
              </w:r>
            </w:hyperlink>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128</w:t>
            </w:r>
          </w:p>
        </w:tc>
      </w:tr>
      <w:tr>
        <w:trPr>
          <w:trHeight w:val="375"/>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140" w:type="dxa"/>
            <w:vAlign w:val="bottom"/>
            <w:gridSpan w:val="16"/>
          </w:tcPr>
          <w:p>
            <w:pPr>
              <w:jc w:val="center"/>
              <w:ind w:left="4052"/>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240" w:top="434" w:right="31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Regarding Forward-Looking Information</w:t>
      </w:r>
    </w:p>
    <w:p>
      <w:pPr>
        <w:spacing w:after="0" w:line="11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63" w:lineRule="exact"/>
        <w:rPr>
          <w:sz w:val="20"/>
          <w:szCs w:val="20"/>
          <w:color w:val="auto"/>
        </w:rPr>
      </w:pPr>
    </w:p>
    <w:p>
      <w:pPr>
        <w:jc w:val="both"/>
        <w:ind w:right="60" w:firstLine="457"/>
        <w:spacing w:after="0" w:line="254" w:lineRule="auto"/>
        <w:rPr>
          <w:sz w:val="20"/>
          <w:szCs w:val="20"/>
          <w:color w:val="auto"/>
        </w:rPr>
      </w:pPr>
      <w:r>
        <w:rPr>
          <w:rFonts w:ascii="Arial" w:cs="Arial" w:eastAsia="Arial" w:hAnsi="Arial"/>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95" w:lineRule="exact"/>
        <w:rPr>
          <w:sz w:val="20"/>
          <w:szCs w:val="20"/>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in general economic conditions, the real estate industry and in the markets in which we operate;</w:t>
      </w:r>
    </w:p>
    <w:p>
      <w:pPr>
        <w:spacing w:after="0" w:line="122"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close pending acquisitions on expected terms, or at all;</w:t>
      </w:r>
    </w:p>
    <w:p>
      <w:pPr>
        <w:spacing w:after="0" w:line="122"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effect of competition from new and existing stores or other storage alternatives, which could cause rents and occupancy rates to decline;</w:t>
      </w:r>
    </w:p>
    <w:p>
      <w:pPr>
        <w:spacing w:after="0" w:line="145" w:lineRule="exact"/>
        <w:rPr>
          <w:rFonts w:ascii="Arial" w:cs="Arial" w:eastAsia="Arial" w:hAnsi="Arial"/>
          <w:sz w:val="16"/>
          <w:szCs w:val="16"/>
          <w:i w:val="1"/>
          <w:iCs w:val="1"/>
          <w:color w:val="auto"/>
        </w:rPr>
      </w:pPr>
    </w:p>
    <w:p>
      <w:pPr>
        <w:ind w:left="880" w:right="40" w:hanging="426"/>
        <w:spacing w:after="0" w:line="263" w:lineRule="auto"/>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in our ability to evaluate, finance, complete and integrate acquisitions and developments successfully and to lease up those stores, which could adversely affect our profitability;</w:t>
      </w:r>
    </w:p>
    <w:p>
      <w:pPr>
        <w:spacing w:after="0" w:line="87"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liability for uninsured losses and environmental contamination;</w:t>
      </w:r>
    </w:p>
    <w:p>
      <w:pPr>
        <w:spacing w:after="0" w:line="122" w:lineRule="exact"/>
        <w:rPr>
          <w:rFonts w:ascii="Arial" w:cs="Arial" w:eastAsia="Arial" w:hAnsi="Arial"/>
          <w:sz w:val="18"/>
          <w:szCs w:val="18"/>
          <w:i w:val="1"/>
          <w:iCs w:val="1"/>
          <w:color w:val="auto"/>
        </w:rPr>
      </w:pPr>
    </w:p>
    <w:p>
      <w:pPr>
        <w:ind w:left="880" w:right="280" w:hanging="426"/>
        <w:spacing w:after="0" w:line="326" w:lineRule="auto"/>
        <w:tabs>
          <w:tab w:leader="none" w:pos="8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41" w:lineRule="exact"/>
        <w:rPr>
          <w:rFonts w:ascii="Arial" w:cs="Arial" w:eastAsia="Arial" w:hAnsi="Arial"/>
          <w:sz w:val="16"/>
          <w:szCs w:val="16"/>
          <w:i w:val="1"/>
          <w:iCs w:val="1"/>
          <w:color w:val="auto"/>
        </w:rPr>
      </w:pPr>
    </w:p>
    <w:p>
      <w:pPr>
        <w:ind w:left="880" w:right="140" w:hanging="426"/>
        <w:spacing w:after="0" w:line="263" w:lineRule="auto"/>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in credit and financial markets and resulting difficulties in raising capital or obtaining credit at reasonable rates or at all, which could impede our ability to grow;</w:t>
      </w:r>
    </w:p>
    <w:p>
      <w:pPr>
        <w:spacing w:after="0" w:line="87"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interest rates and operating costs;</w:t>
      </w:r>
    </w:p>
    <w:p>
      <w:pPr>
        <w:spacing w:after="0" w:line="122"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failure to effectively manage our growth and expansion into new markets or to successfully operate acquired properties and operations;</w:t>
      </w:r>
    </w:p>
    <w:p>
      <w:pPr>
        <w:spacing w:after="0" w:line="145" w:lineRule="exact"/>
        <w:rPr>
          <w:rFonts w:ascii="Arial" w:cs="Arial" w:eastAsia="Arial" w:hAnsi="Arial"/>
          <w:sz w:val="16"/>
          <w:szCs w:val="16"/>
          <w:i w:val="1"/>
          <w:iCs w:val="1"/>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reductions in asset valuations and related impairment charges;</w:t>
      </w:r>
    </w:p>
    <w:p>
      <w:pPr>
        <w:spacing w:after="0" w:line="122" w:lineRule="exact"/>
        <w:rPr>
          <w:rFonts w:ascii="Arial" w:cs="Arial" w:eastAsia="Arial" w:hAnsi="Arial"/>
          <w:sz w:val="18"/>
          <w:szCs w:val="18"/>
          <w:i w:val="1"/>
          <w:iCs w:val="1"/>
          <w:color w:val="auto"/>
        </w:rPr>
      </w:pPr>
    </w:p>
    <w:p>
      <w:pPr>
        <w:ind w:left="880" w:hanging="426"/>
        <w:spacing w:after="0"/>
        <w:tabs>
          <w:tab w:leader="none" w:pos="8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failure of our joint venture partners to fulfill their obligations to us or their pursuit of actions that are inconsistent with our objectives;</w:t>
      </w:r>
    </w:p>
    <w:p>
      <w:pPr>
        <w:spacing w:after="0" w:line="145" w:lineRule="exact"/>
        <w:rPr>
          <w:rFonts w:ascii="Arial" w:cs="Arial" w:eastAsia="Arial" w:hAnsi="Arial"/>
          <w:sz w:val="16"/>
          <w:szCs w:val="16"/>
          <w:i w:val="1"/>
          <w:iCs w:val="1"/>
          <w:color w:val="auto"/>
        </w:rPr>
      </w:pPr>
    </w:p>
    <w:p>
      <w:pPr>
        <w:ind w:left="880" w:hanging="426"/>
        <w:spacing w:after="0"/>
        <w:tabs>
          <w:tab w:leader="none" w:pos="8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maintain our REIT status for federal income tax purposes;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2"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80" w:hanging="426"/>
        <w:spacing w:after="0"/>
        <w:tabs>
          <w:tab w:leader="none" w:pos="8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economic uncertainty due to the impact of war or terrorism, which could adversely affect our business plan; and</w:t>
      </w:r>
    </w:p>
    <w:p>
      <w:pPr>
        <w:spacing w:after="0" w:line="122" w:lineRule="exact"/>
        <w:rPr>
          <w:rFonts w:ascii="Arial" w:cs="Arial" w:eastAsia="Arial" w:hAnsi="Arial"/>
          <w:sz w:val="18"/>
          <w:szCs w:val="18"/>
          <w:i w:val="1"/>
          <w:iCs w:val="1"/>
          <w:color w:val="auto"/>
        </w:rPr>
      </w:pPr>
    </w:p>
    <w:p>
      <w:pPr>
        <w:ind w:left="880" w:hanging="426"/>
        <w:spacing w:after="0"/>
        <w:tabs>
          <w:tab w:leader="none" w:pos="8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in our ability to attract and retain qualified personnel and management members.</w:t>
      </w:r>
    </w:p>
    <w:p>
      <w:pPr>
        <w:spacing w:after="0" w:line="215"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60" w:lineRule="exact"/>
        <w:rPr>
          <w:sz w:val="20"/>
          <w:szCs w:val="20"/>
          <w:color w:val="auto"/>
        </w:rPr>
      </w:pPr>
    </w:p>
    <w:p>
      <w:pPr>
        <w:ind w:right="620" w:firstLine="457"/>
        <w:spacing w:after="0" w:line="263" w:lineRule="auto"/>
        <w:rPr>
          <w:sz w:val="20"/>
          <w:szCs w:val="20"/>
          <w:color w:val="auto"/>
        </w:rPr>
      </w:pPr>
      <w:r>
        <w:rPr>
          <w:rFonts w:ascii="Arial" w:cs="Arial" w:eastAsia="Arial" w:hAnsi="Arial"/>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6"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Extra Space Storage Inc. (“we,” “our,” “us” or the “Company”) is a fully integrated, self-administered and self-managed real estate investment trust (“REIT”) formed as a Maryland corporation on April 30, 2004, to own, operate, manage, acquire, develop and redevelop professionally managed self-storage properties (“stores”). We closed our initial public offering (“IPO”) on August 17, 2004. Our common stock is traded on the New York Stock Exchange under the symbol “EXR.”</w:t>
      </w:r>
    </w:p>
    <w:p>
      <w:pPr>
        <w:spacing w:after="0" w:line="19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were formed to continue the business of Extra Space Storage LLC and its subsidiaries, which had engaged in the self-storage business since 1977. These companies were reorganized after the consummation of our IPO and various formation transactions. As of December 31, 2015, we held ownership interests in 999 operating stores. Of these operating stores, 746 are wholly-owned and 253 are owned in joint venture partnerships. An additional 348 operating stores are owned by third parties and operated by us in exchange for a management fee, bringing the total number of operating stores which we own and/or manage to 1,347. These operating stores are located in 36 states, Washington, D.C. and Puerto Rico and contain approximately 101 million square feet of net rentable space in approximately 896,000 units and currently serve a customer base of approximately 800,000 tenants.</w:t>
      </w:r>
    </w:p>
    <w:p>
      <w:pPr>
        <w:spacing w:after="0" w:line="167"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We operate in three distinct segments: (1) rental operations; (2) tenant reinsurance; and (3) property management, acquisition and development. Our rental operations activities include rental operations of stores in which we have an ownership interest. Tenant reinsurance activities include the reinsurance of risks relating to the loss of goods stored by tenants in the Company’s stores. Our property management, acquisition and development activities include managing, acquiring, developing and selling stores.</w:t>
      </w:r>
    </w:p>
    <w:p>
      <w:pPr>
        <w:spacing w:after="0" w:line="193"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tax, with certain exceptions, on our net taxable income that is distributed to our stockholders.</w:t>
      </w:r>
    </w:p>
    <w:p>
      <w:pPr>
        <w:spacing w:after="0" w:line="160" w:lineRule="exact"/>
        <w:rPr>
          <w:sz w:val="20"/>
          <w:szCs w:val="20"/>
          <w:color w:val="auto"/>
        </w:rPr>
      </w:pPr>
    </w:p>
    <w:p>
      <w:pPr>
        <w:ind w:right="500" w:firstLine="457"/>
        <w:spacing w:after="0" w:line="263" w:lineRule="auto"/>
        <w:rPr>
          <w:sz w:val="20"/>
          <w:szCs w:val="20"/>
          <w:color w:val="auto"/>
        </w:rPr>
      </w:pPr>
      <w:r>
        <w:rPr>
          <w:rFonts w:ascii="Arial" w:cs="Arial" w:eastAsia="Arial" w:hAnsi="Arial"/>
          <w:sz w:val="18"/>
          <w:szCs w:val="18"/>
          <w:color w:val="auto"/>
        </w:rPr>
        <w:t>We file our annual report on Form 10-K, quarterly reports on Form 10-Q, current reports on Form 8-K, and all amendments to those reports with the Securities and Exchange Commission (the “SEC”). You may obtain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2"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copies of these documents by visiting the SEC’s Public Reference Room at 100 F Street, N.E., Washington, D.C. 20549, by calling the SEC at 1-800-SEC-0330 or by accessing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400, Salt Lake City, Utah 84121, telephone number (801) 365-4600.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SmartStop</w:t>
      </w:r>
    </w:p>
    <w:p>
      <w:pPr>
        <w:spacing w:after="0" w:line="110" w:lineRule="exact"/>
        <w:rPr>
          <w:sz w:val="20"/>
          <w:szCs w:val="20"/>
          <w:color w:val="auto"/>
        </w:rPr>
      </w:pPr>
    </w:p>
    <w:p>
      <w:pPr>
        <w:ind w:right="340" w:firstLine="457"/>
        <w:spacing w:after="0" w:line="292" w:lineRule="auto"/>
        <w:rPr>
          <w:sz w:val="20"/>
          <w:szCs w:val="20"/>
          <w:color w:val="auto"/>
        </w:rPr>
      </w:pPr>
      <w:r>
        <w:rPr>
          <w:rFonts w:ascii="Arial" w:cs="Arial" w:eastAsia="Arial" w:hAnsi="Arial"/>
          <w:sz w:val="16"/>
          <w:szCs w:val="16"/>
          <w:color w:val="auto"/>
        </w:rPr>
        <w:t>On October 1, 2015, we completed the previously announced acquisition of SmartStop Self Storage, Inc. (“SmartStop”), a public non-traded REIT. SmartStop stockholders received $13.75 per share in cash, which represents a total purchase price of approximately $1.4 billion. We paid approximately $1.3 billion and the remaining consideration came from the sale of certain assets by SmartStop immediately prior to the closing. As a result of the acquisition, we acquired 122 stores and assumed the management of 43 stores previously managed by SmartStop.</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16" w:lineRule="exact"/>
        <w:rPr>
          <w:sz w:val="20"/>
          <w:szCs w:val="20"/>
          <w:color w:val="auto"/>
        </w:rPr>
      </w:pPr>
    </w:p>
    <w:p>
      <w:pPr>
        <w:ind w:right="140" w:firstLine="457"/>
        <w:spacing w:after="0" w:line="248" w:lineRule="auto"/>
        <w:rPr>
          <w:sz w:val="20"/>
          <w:szCs w:val="20"/>
          <w:color w:val="auto"/>
        </w:rPr>
      </w:pPr>
      <w:r>
        <w:rPr>
          <w:rFonts w:ascii="Arial" w:cs="Arial" w:eastAsia="Arial" w:hAnsi="Arial"/>
          <w:sz w:val="18"/>
          <w:szCs w:val="18"/>
          <w:color w:val="auto"/>
        </w:rPr>
        <w:t>Members of our executive management team have significant experience in all aspects of the self-storage industry, having acquired and/or developed a significant number of stores since before our IPO. Our executive management team and their years of industry experience are as follows: Spencer F. Kirk, Chief Executive Officer, 18 years; Scott Stubbs, Executive Vice President and Chief Financial Officer, 15 years; Samrat Sondhi, Executive Vice President and Chief Operating Officer, 12 years; Gwyn McNeal, Executive Vice President and Chief Legal Officer, 10 years; James Overturf, Executive Vice President and Chief Marketing Officer, 17 years; Joseph D. Margolis, Executive Vice President and Chief Investment Officer, 10 years; and Kenneth M. Woolley, Executive Chairman, 35 years.</w:t>
      </w:r>
    </w:p>
    <w:p>
      <w:pPr>
        <w:spacing w:after="0" w:line="195" w:lineRule="exact"/>
        <w:rPr>
          <w:sz w:val="20"/>
          <w:szCs w:val="20"/>
          <w:color w:val="auto"/>
        </w:rPr>
      </w:pPr>
    </w:p>
    <w:p>
      <w:pPr>
        <w:ind w:right="20" w:firstLine="457"/>
        <w:spacing w:after="0" w:line="263" w:lineRule="auto"/>
        <w:rPr>
          <w:sz w:val="20"/>
          <w:szCs w:val="20"/>
          <w:color w:val="auto"/>
        </w:rPr>
      </w:pPr>
      <w:r>
        <w:rPr>
          <w:rFonts w:ascii="Arial" w:cs="Arial" w:eastAsia="Arial" w:hAnsi="Arial"/>
          <w:sz w:val="18"/>
          <w:szCs w:val="18"/>
          <w:color w:val="auto"/>
        </w:rPr>
        <w:t>Our executive management team and board of directors have a significant ownership position in the Company with executive officers and directors owning approximately 4,923,970 shares or 3.9% of our outstanding common stock as of February 18,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Competition</w:t>
      </w:r>
    </w:p>
    <w:p>
      <w:pPr>
        <w:spacing w:after="0" w:line="116" w:lineRule="exact"/>
        <w:rPr>
          <w:sz w:val="20"/>
          <w:szCs w:val="20"/>
          <w:color w:val="auto"/>
        </w:rPr>
      </w:pPr>
    </w:p>
    <w:p>
      <w:pPr>
        <w:ind w:right="40" w:firstLine="457"/>
        <w:spacing w:after="0" w:line="292" w:lineRule="auto"/>
        <w:rPr>
          <w:sz w:val="20"/>
          <w:szCs w:val="20"/>
          <w:color w:val="auto"/>
        </w:rPr>
      </w:pPr>
      <w:r>
        <w:rPr>
          <w:rFonts w:ascii="Arial" w:cs="Arial" w:eastAsia="Arial" w:hAnsi="Arial"/>
          <w:sz w:val="16"/>
          <w:szCs w:val="16"/>
          <w:color w:val="auto"/>
        </w:rPr>
        <w:t>Stores offer month-to-month storage space rental for personal or business use and are a cost-effective and flexible storage alternative. Tenants rent fully enclosed spaces that can vary in size according to their specific needs and to which they have unlimited, exclusive access. Tenants have responsibility for moving their items into and out of their units. Self-storage unit sizes typically range from 5 feet by 5 feet to 20 feet by 20 feet, with an interior height of 8 feet to 12 feet. Stores generally have on-site managers who supervise and run the day-to-day operations, providing tenants with assistance as needed.</w:t>
      </w:r>
    </w:p>
    <w:p>
      <w:pPr>
        <w:spacing w:after="0" w:line="16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looking to downsize their living space or others who are not yet settled into a permanent residence. Items that residential tenants place in self-storage range from cars, boats and recreational vehicles, to furniture, household items and appliances. Commercial tenants tend to include small business owners who require easy and frequent access to their goods, records, inventory or storage for seasonal goods.</w:t>
      </w:r>
    </w:p>
    <w:p>
      <w:pPr>
        <w:spacing w:after="0" w:line="163" w:lineRule="exact"/>
        <w:rPr>
          <w:sz w:val="20"/>
          <w:szCs w:val="20"/>
          <w:color w:val="auto"/>
        </w:rPr>
      </w:pPr>
    </w:p>
    <w:p>
      <w:pPr>
        <w:ind w:right="500" w:firstLine="457"/>
        <w:spacing w:after="0" w:line="254" w:lineRule="auto"/>
        <w:rPr>
          <w:sz w:val="20"/>
          <w:szCs w:val="20"/>
          <w:color w:val="auto"/>
        </w:rPr>
      </w:pPr>
      <w:r>
        <w:rPr>
          <w:rFonts w:ascii="Arial" w:cs="Arial" w:eastAsia="Arial" w:hAnsi="Arial"/>
          <w:sz w:val="18"/>
          <w:szCs w:val="18"/>
          <w:color w:val="auto"/>
        </w:rPr>
        <w:t>Our research has shown that tenants choose a store based primarily on the convenience of the site to their home or business, making high-density, high-traffic population centers ideal locations for stores. A store’s perceived security and the general professionalism of the site managers and staff are also contributing factors to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2"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site’s ability to successfully secure rentals. Although most stores are leased to tenants on a month-to-month basis, tenants tend to continue their leases for extended periods of time.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self-storage business is subject to seasonal fluctuations. A greater portion of revenues and profits are realized from May through September.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227"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Since inception in the early 1970’s, the self-storage industry has experienced significant growth. The self-storage industry has also seen increases in occupancy over the past several years. According to the Self-Storage Almanac (the “Almanac”), in 2008, the national average physical occupancy rate was 80.3% of net rentable square feet, compared to an average physical occupancy rate of 90.2% in 2015.</w:t>
      </w:r>
    </w:p>
    <w:p>
      <w:pPr>
        <w:spacing w:after="0" w:line="188" w:lineRule="exact"/>
        <w:rPr>
          <w:sz w:val="20"/>
          <w:szCs w:val="20"/>
          <w:color w:val="auto"/>
        </w:rPr>
      </w:pPr>
    </w:p>
    <w:p>
      <w:pPr>
        <w:ind w:right="480" w:firstLine="457"/>
        <w:spacing w:after="0" w:line="263" w:lineRule="auto"/>
        <w:rPr>
          <w:sz w:val="20"/>
          <w:szCs w:val="20"/>
          <w:color w:val="auto"/>
        </w:rPr>
      </w:pPr>
      <w:r>
        <w:rPr>
          <w:rFonts w:ascii="Arial" w:cs="Arial" w:eastAsia="Arial" w:hAnsi="Arial"/>
          <w:sz w:val="18"/>
          <w:szCs w:val="18"/>
          <w:color w:val="auto"/>
        </w:rPr>
        <w:t>We have encountered competition when we have sought to acquire stores, especially for brokered portfolios. Aggressive bidding practices have been commonplace between both public and private entities, and this competition will likely continue.</w:t>
      </w:r>
    </w:p>
    <w:p>
      <w:pPr>
        <w:spacing w:after="0" w:line="180"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The industry is also characterized by fragmented ownership. According to the Almanac, the top ten self-storage companies in the United States owned approximately 17.4% of the total U.S. stores, and the top 50 self-storage companies owned approximately 21.9% of the total U.S. stores as of December 31, 2015. We believe this fragmentation will contribute to continued consolidation at some level in the future. We also believe that we are well positioned to compete for acquisitions given our historical reputation for closing deals.</w:t>
      </w:r>
    </w:p>
    <w:p>
      <w:pPr>
        <w:spacing w:after="0" w:line="193" w:lineRule="exact"/>
        <w:rPr>
          <w:sz w:val="20"/>
          <w:szCs w:val="20"/>
          <w:color w:val="auto"/>
        </w:rPr>
      </w:pPr>
    </w:p>
    <w:p>
      <w:pPr>
        <w:ind w:right="120" w:firstLine="457"/>
        <w:spacing w:after="0" w:line="263" w:lineRule="auto"/>
        <w:rPr>
          <w:sz w:val="20"/>
          <w:szCs w:val="20"/>
          <w:color w:val="auto"/>
        </w:rPr>
      </w:pPr>
      <w:r>
        <w:rPr>
          <w:rFonts w:ascii="Arial" w:cs="Arial" w:eastAsia="Arial" w:hAnsi="Arial"/>
          <w:sz w:val="18"/>
          <w:szCs w:val="18"/>
          <w:color w:val="auto"/>
        </w:rPr>
        <w:t>We are the second largest self-storage operator in the United States. We are one of five public self-storage REITs along with CubeSmart, National Storage Affiliates, Sovran Self-Storage, Inc. and Public Storage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Growth and Investment Strategies</w:t>
      </w:r>
    </w:p>
    <w:p>
      <w:pPr>
        <w:spacing w:after="0" w:line="116"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Our primary business objectives are to maximize cash flow available for distribution to our stockholders and to achieve sustainable long-term growth in cash flow per share in order to maximize long-term stockholder value. We continue to evaluate a range of growth initiatives and opportunities, including the following:</w:t>
      </w:r>
    </w:p>
    <w:p>
      <w:pPr>
        <w:spacing w:after="0" w:line="95" w:lineRule="exact"/>
        <w:rPr>
          <w:sz w:val="20"/>
          <w:szCs w:val="20"/>
          <w:color w:val="auto"/>
        </w:rPr>
      </w:pPr>
    </w:p>
    <w:p>
      <w:pPr>
        <w:ind w:left="880" w:right="160" w:hanging="426"/>
        <w:spacing w:after="0" w:line="24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performance of our stores through strategic, efficient and proactive management. </w:t>
      </w:r>
      <w:r>
        <w:rPr>
          <w:rFonts w:ascii="Arial" w:cs="Arial" w:eastAsia="Arial" w:hAnsi="Arial"/>
          <w:sz w:val="18"/>
          <w:szCs w:val="18"/>
          <w:color w:val="auto"/>
        </w:rPr>
        <w:t>We pursue revenue-generating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100" w:lineRule="exact"/>
        <w:rPr>
          <w:rFonts w:ascii="Arial" w:cs="Arial" w:eastAsia="Arial" w:hAnsi="Arial"/>
          <w:sz w:val="18"/>
          <w:szCs w:val="18"/>
          <w:color w:val="auto"/>
        </w:rPr>
      </w:pPr>
    </w:p>
    <w:p>
      <w:pPr>
        <w:ind w:left="880" w:right="60" w:hanging="426"/>
        <w:spacing w:after="0" w:line="24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stores. </w:t>
      </w:r>
      <w:r>
        <w:rPr>
          <w:rFonts w:ascii="Arial" w:cs="Arial" w:eastAsia="Arial" w:hAnsi="Arial"/>
          <w:sz w:val="18"/>
          <w:szCs w:val="18"/>
          <w:color w:val="auto"/>
        </w:rPr>
        <w:t>Our acquisitions team continues to pursue the acquisition of multi-store portfolios and single stores that we believe can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value. We have established a reputation as a reliable, ethical buyer, which we believe enhances our ability to negotiate and close acquisitions. In addition, we believe our status as an UPREIT enables flexibility when structuring deals. We continue to bid on available acquisitions and are seeing increasing prices. However, we remain a disciplined buyer and look for acquisitions that will strengthen our portfolio and increase stockholder value.</w:t>
      </w:r>
    </w:p>
    <w:p>
      <w:pPr>
        <w:spacing w:after="0" w:line="100" w:lineRule="exact"/>
        <w:rPr>
          <w:rFonts w:ascii="Arial" w:cs="Arial" w:eastAsia="Arial" w:hAnsi="Arial"/>
          <w:sz w:val="18"/>
          <w:szCs w:val="18"/>
          <w:color w:val="auto"/>
        </w:rPr>
      </w:pPr>
    </w:p>
    <w:p>
      <w:pPr>
        <w:ind w:left="880" w:right="20" w:hanging="426"/>
        <w:spacing w:after="0" w:line="250"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management business. </w:t>
      </w:r>
      <w:r>
        <w:rPr>
          <w:rFonts w:ascii="Arial" w:cs="Arial" w:eastAsia="Arial" w:hAnsi="Arial"/>
          <w:sz w:val="18"/>
          <w:szCs w:val="18"/>
          <w:color w:val="auto"/>
        </w:rPr>
        <w:t>Our management business enables us to generate increased revenues through management fees and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footprint.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2"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Our Long-Term Growth Strategies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Development Financing</w:t>
      </w:r>
    </w:p>
    <w:p>
      <w:pPr>
        <w:spacing w:after="0" w:line="110" w:lineRule="exact"/>
        <w:rPr>
          <w:sz w:val="20"/>
          <w:szCs w:val="20"/>
          <w:color w:val="auto"/>
        </w:rPr>
      </w:pPr>
    </w:p>
    <w:p>
      <w:pPr>
        <w:ind w:right="160" w:firstLine="457"/>
        <w:spacing w:after="0" w:line="263" w:lineRule="auto"/>
        <w:rPr>
          <w:sz w:val="20"/>
          <w:szCs w:val="20"/>
          <w:color w:val="auto"/>
        </w:rPr>
      </w:pPr>
      <w:r>
        <w:rPr>
          <w:rFonts w:ascii="Arial" w:cs="Arial" w:eastAsia="Arial" w:hAnsi="Arial"/>
          <w:sz w:val="18"/>
          <w:szCs w:val="18"/>
          <w:color w:val="auto"/>
        </w:rPr>
        <w:t>The following table presents information on our lines of credit (the “Credit Lines”) for the periods indicated. All of our Credit Lines are guaranteed by us and secured by mortgages on certain real estate assets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As of December 31, 2015</w:t>
            </w: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Origination</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Line of Credit</w:t>
            </w:r>
          </w:p>
        </w:tc>
        <w:tc>
          <w:tcPr>
            <w:tcW w:w="3380" w:type="dxa"/>
            <w:vAlign w:val="bottom"/>
            <w:vMerge w:val="restart"/>
          </w:tcPr>
          <w:p>
            <w:pPr>
              <w:spacing w:after="0"/>
              <w:rPr>
                <w:sz w:val="10"/>
                <w:szCs w:val="10"/>
                <w:color w:val="auto"/>
              </w:rPr>
            </w:pPr>
          </w:p>
        </w:tc>
        <w:tc>
          <w:tcPr>
            <w:tcW w:w="740" w:type="dxa"/>
            <w:vAlign w:val="bottom"/>
            <w:tcBorders>
              <w:top w:val="single" w:sz="8" w:color="auto"/>
            </w:tcBorders>
            <w:gridSpan w:val="2"/>
          </w:tcPr>
          <w:p>
            <w:pPr>
              <w:jc w:val="right"/>
              <w:ind w:right="200"/>
              <w:spacing w:after="0" w:line="116"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9"/>
              </w:rPr>
              <w:t>Capacity</w:t>
            </w:r>
          </w:p>
        </w:tc>
        <w:tc>
          <w:tcPr>
            <w:tcW w:w="300" w:type="dxa"/>
            <w:vAlign w:val="bottom"/>
            <w:tcBorders>
              <w:top w:val="single" w:sz="8" w:color="auto"/>
            </w:tcBorders>
            <w:vMerge w:val="restart"/>
          </w:tcPr>
          <w:p>
            <w:pPr>
              <w:spacing w:after="0"/>
              <w:rPr>
                <w:sz w:val="10"/>
                <w:szCs w:val="10"/>
                <w:color w:val="auto"/>
              </w:rPr>
            </w:pPr>
          </w:p>
        </w:tc>
        <w:tc>
          <w:tcPr>
            <w:tcW w:w="4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w w:val="97"/>
              </w:rPr>
              <w:t>Interest</w:t>
            </w:r>
          </w:p>
        </w:tc>
        <w:tc>
          <w:tcPr>
            <w:tcW w:w="4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Maturity</w:t>
            </w:r>
          </w:p>
        </w:tc>
        <w:tc>
          <w:tcPr>
            <w:tcW w:w="320" w:type="dxa"/>
            <w:vAlign w:val="bottom"/>
            <w:vMerge w:val="restart"/>
          </w:tcPr>
          <w:p>
            <w:pPr>
              <w:spacing w:after="0"/>
              <w:rPr>
                <w:sz w:val="10"/>
                <w:szCs w:val="10"/>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Basis Rate (1)</w:t>
            </w:r>
          </w:p>
        </w:tc>
        <w:tc>
          <w:tcPr>
            <w:tcW w:w="420" w:type="dxa"/>
            <w:vAlign w:val="bottom"/>
            <w:vMerge w:val="restart"/>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33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Drawn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Rate</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6"/>
              </w:rPr>
              <w:t>Credit Line</w:t>
            </w:r>
          </w:p>
        </w:tc>
        <w:tc>
          <w:tcPr>
            <w:tcW w:w="3380" w:type="dxa"/>
            <w:vAlign w:val="bottom"/>
            <w:shd w:val="clear" w:color="auto" w:fill="CCEEFF"/>
          </w:tcPr>
          <w:p>
            <w:pPr>
              <w:jc w:val="right"/>
              <w:ind w:right="3223"/>
              <w:spacing w:after="0"/>
              <w:rPr>
                <w:sz w:val="20"/>
                <w:szCs w:val="20"/>
                <w:color w:val="auto"/>
              </w:rPr>
            </w:pPr>
            <w:r>
              <w:rPr>
                <w:rFonts w:ascii="Arial" w:cs="Arial" w:eastAsia="Arial" w:hAnsi="Arial"/>
                <w:sz w:val="15"/>
                <w:szCs w:val="15"/>
                <w:color w:val="auto"/>
                <w:w w:val="71"/>
              </w:rPr>
              <w:t>1</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$36,000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$180,000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2.1%</w:t>
            </w: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6/4/2010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6/30/2018</w:t>
            </w: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60"/>
              <w:spacing w:after="0" w:line="204" w:lineRule="exact"/>
              <w:rPr>
                <w:sz w:val="20"/>
                <w:szCs w:val="20"/>
                <w:color w:val="auto"/>
              </w:rPr>
            </w:pPr>
            <w:r>
              <w:rPr>
                <w:rFonts w:ascii="Arial" w:cs="Arial" w:eastAsia="Arial" w:hAnsi="Arial"/>
                <w:sz w:val="18"/>
                <w:szCs w:val="18"/>
                <w:color w:val="auto"/>
              </w:rPr>
              <w:t>LIBOR plus 1.7%</w:t>
            </w:r>
          </w:p>
        </w:tc>
        <w:tc>
          <w:tcPr>
            <w:tcW w:w="44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4240" w:type="dxa"/>
            <w:vAlign w:val="bottom"/>
            <w:gridSpan w:val="2"/>
          </w:tcPr>
          <w:p>
            <w:pPr>
              <w:spacing w:after="0"/>
              <w:rPr>
                <w:sz w:val="20"/>
                <w:szCs w:val="20"/>
                <w:color w:val="auto"/>
              </w:rPr>
            </w:pPr>
            <w:r>
              <w:rPr>
                <w:rFonts w:ascii="Arial" w:cs="Arial" w:eastAsia="Arial" w:hAnsi="Arial"/>
                <w:sz w:val="18"/>
                <w:szCs w:val="18"/>
                <w:color w:val="auto"/>
              </w:rPr>
              <w:t>Credit Line 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50,000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11/16/2010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2/13/2017</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LIBOR plus 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4/29/2011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11/18/2016</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plus 1.7%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4240" w:type="dxa"/>
            <w:vAlign w:val="bottom"/>
            <w:gridSpan w:val="2"/>
          </w:tcPr>
          <w:p>
            <w:pPr>
              <w:spacing w:after="0"/>
              <w:rPr>
                <w:sz w:val="20"/>
                <w:szCs w:val="20"/>
                <w:color w:val="auto"/>
              </w:rPr>
            </w:pPr>
            <w:r>
              <w:rPr>
                <w:rFonts w:ascii="Arial" w:cs="Arial" w:eastAsia="Arial" w:hAnsi="Arial"/>
                <w:sz w:val="18"/>
                <w:szCs w:val="18"/>
                <w:color w:val="auto"/>
              </w:rPr>
              <w:t>Credit Line 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9/29/2014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9/29/2017</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LIBOR plus 1.7%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360,000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15" w:lineRule="exact"/>
        <w:rPr>
          <w:rFonts w:ascii="Arial" w:cs="Arial" w:eastAsia="Arial" w:hAnsi="Arial"/>
          <w:sz w:val="18"/>
          <w:szCs w:val="18"/>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two-year extension available</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one-year extensions available</w:t>
      </w:r>
    </w:p>
    <w:p>
      <w:pPr>
        <w:spacing w:after="0" w:line="204"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color w:val="auto"/>
        </w:rPr>
        <w:t>We expect to maintain a flexible approach in financing new store acquisitions. We plan to finance future acquisitions through a combination of cash, borrowings under the Credit Lines, traditional secured and unsecured mortgage financing, joint ventures and additional debt or equity offerings.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Financing</w:t>
      </w:r>
    </w:p>
    <w:p>
      <w:pPr>
        <w:spacing w:after="0" w:line="110"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We own 253 of our stores through joint ventures with third parties, including affiliates of Prudential Financial, Inc. In each joint venture, we generally manage the day-to-day operations of the underlying stores and have the right to participate in major decisions relating to sales of stores or financings by the applicable joint venture. Our joint venture partners typically provide most of the equity capital required for the operation of the respective business. Under the operating agreements for the joint ventures, we maintain the right to receive between 2.0% and 96.7% of the available cash flow from operations after our joint venture partners and the Company have received a predetermined return, and between 17.0% and 96.7% of the available cash flow from capital transactions after our joint venture partners and the Company have received a return of their capital plus such predetermined return. Most joint venture agreements include buy-sell rights, as well as rights of first refusal in connection with the sale of stores by the joint venture.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Stores</w:t>
      </w:r>
    </w:p>
    <w:p>
      <w:pPr>
        <w:spacing w:after="0" w:line="110" w:lineRule="exact"/>
        <w:rPr>
          <w:sz w:val="20"/>
          <w:szCs w:val="20"/>
          <w:color w:val="auto"/>
        </w:rPr>
      </w:pPr>
    </w:p>
    <w:p>
      <w:pPr>
        <w:ind w:right="200" w:firstLine="457"/>
        <w:spacing w:after="0" w:line="326" w:lineRule="auto"/>
        <w:rPr>
          <w:sz w:val="20"/>
          <w:szCs w:val="20"/>
          <w:color w:val="auto"/>
        </w:rPr>
      </w:pPr>
      <w:r>
        <w:rPr>
          <w:rFonts w:ascii="Arial" w:cs="Arial" w:eastAsia="Arial" w:hAnsi="Arial"/>
          <w:sz w:val="16"/>
          <w:szCs w:val="16"/>
          <w:color w:val="auto"/>
        </w:rPr>
        <w:t>We will continue to review our portfolio for stores or groups of stores that are underperforming or are not strategically located, and determine whether to dispose of these stores to fund other growth. As of December 31, 2015, we had seven stores that were categorized as held for sale.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6"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Generally, stores are subject to various laws, ordinances and regulations, including regulations relating to lien sale rights and procedures.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2"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unanticipated expenditures, loss of stores or other impairments to operations, which would adversely affect our financial position, results of operations or cash flows.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Under the Americans with Disabilities Act of 1990 (the “ADA”), places of public accommodation are required to meet certain federal requirements related to access and use by disabled persons. These requirements became effective in 1992. A number of additional U.S. federal, state and local laws also exist that may require modifications to the stores, or restrict further renovations thereof, with respect to access thereto by disabled persons. Noncompliance with the ADA could result in the imposition of fines or an award of damages to private litigants and also could result in an order to correct any non-complying feature, thereby requiring substantial capital expenditures. To the extent our stores are not in compliance, we are likely to incur additional costs to comply with the ADA.</w:t>
      </w:r>
    </w:p>
    <w:p>
      <w:pPr>
        <w:spacing w:after="0" w:line="163"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w:t>
      </w:r>
    </w:p>
    <w:p>
      <w:pPr>
        <w:spacing w:after="0" w:line="188" w:lineRule="exact"/>
        <w:rPr>
          <w:sz w:val="20"/>
          <w:szCs w:val="20"/>
          <w:color w:val="auto"/>
        </w:rPr>
      </w:pPr>
    </w:p>
    <w:p>
      <w:pPr>
        <w:ind w:right="60" w:firstLine="457"/>
        <w:spacing w:after="0" w:line="263" w:lineRule="auto"/>
        <w:rPr>
          <w:sz w:val="20"/>
          <w:szCs w:val="20"/>
          <w:color w:val="auto"/>
        </w:rPr>
      </w:pPr>
      <w:r>
        <w:rPr>
          <w:rFonts w:ascii="Arial" w:cs="Arial" w:eastAsia="Arial" w:hAnsi="Arial"/>
          <w:sz w:val="18"/>
          <w:szCs w:val="18"/>
          <w:color w:val="auto"/>
        </w:rPr>
        <w:t>Store management activities are often subject to state real estate brokerage laws and regulations as determined by the particular real estate commission for each state.</w:t>
      </w:r>
    </w:p>
    <w:p>
      <w:pPr>
        <w:spacing w:after="0" w:line="180" w:lineRule="exact"/>
        <w:rPr>
          <w:sz w:val="20"/>
          <w:szCs w:val="20"/>
          <w:color w:val="auto"/>
        </w:rPr>
      </w:pPr>
    </w:p>
    <w:p>
      <w:pPr>
        <w:ind w:right="460" w:firstLine="457"/>
        <w:spacing w:after="0" w:line="263" w:lineRule="auto"/>
        <w:rPr>
          <w:sz w:val="20"/>
          <w:szCs w:val="20"/>
          <w:color w:val="auto"/>
        </w:rPr>
      </w:pPr>
      <w:r>
        <w:rPr>
          <w:rFonts w:ascii="Arial" w:cs="Arial" w:eastAsia="Arial" w:hAnsi="Arial"/>
          <w:sz w:val="18"/>
          <w:szCs w:val="18"/>
          <w:color w:val="auto"/>
        </w:rPr>
        <w:t>Changes in any of the laws governing our conduct could have an adverse impact on our ability to conduct our business or could materially affect our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6" w:lineRule="exact"/>
        <w:rPr>
          <w:sz w:val="20"/>
          <w:szCs w:val="20"/>
          <w:color w:val="auto"/>
        </w:rPr>
      </w:pPr>
    </w:p>
    <w:p>
      <w:pPr>
        <w:ind w:right="500" w:firstLine="457"/>
        <w:spacing w:after="0" w:line="263" w:lineRule="auto"/>
        <w:rPr>
          <w:sz w:val="20"/>
          <w:szCs w:val="20"/>
          <w:color w:val="auto"/>
        </w:rPr>
      </w:pPr>
      <w:r>
        <w:rPr>
          <w:rFonts w:ascii="Arial" w:cs="Arial" w:eastAsia="Arial" w:hAnsi="Arial"/>
          <w:sz w:val="18"/>
          <w:szCs w:val="18"/>
          <w:color w:val="auto"/>
        </w:rPr>
        <w:t>As of February 18, 2016, we had 3,209 employees and believe our relationship with our employees is good. Our employees are not represented by a collective bargaining agreement.</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6" w:lineRule="exact"/>
        <w:rPr>
          <w:sz w:val="20"/>
          <w:szCs w:val="20"/>
          <w:color w:val="auto"/>
        </w:rPr>
      </w:pPr>
    </w:p>
    <w:p>
      <w:pPr>
        <w:jc w:val="both"/>
        <w:ind w:right="400" w:firstLine="457"/>
        <w:spacing w:after="0" w:line="254" w:lineRule="auto"/>
        <w:rPr>
          <w:sz w:val="20"/>
          <w:szCs w:val="20"/>
          <w:color w:val="auto"/>
        </w:rPr>
      </w:pPr>
      <w:r>
        <w:rPr>
          <w:rFonts w:ascii="Arial" w:cs="Arial" w:eastAsia="Arial" w:hAnsi="Arial"/>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88" w:lineRule="exact"/>
        <w:rPr>
          <w:sz w:val="20"/>
          <w:szCs w:val="20"/>
          <w:color w:val="auto"/>
        </w:rPr>
      </w:pPr>
    </w:p>
    <w:p>
      <w:pPr>
        <w:ind w:right="280" w:firstLine="457"/>
        <w:spacing w:after="0" w:line="326" w:lineRule="auto"/>
        <w:rPr>
          <w:sz w:val="20"/>
          <w:szCs w:val="20"/>
          <w:color w:val="auto"/>
        </w:rPr>
      </w:pPr>
      <w:r>
        <w:rPr>
          <w:rFonts w:ascii="Arial" w:cs="Arial" w:eastAsia="Arial" w:hAnsi="Arial"/>
          <w:sz w:val="16"/>
          <w:szCs w:val="16"/>
          <w:color w:val="auto"/>
        </w:rPr>
        <w:t>Our performance is subject to risks associated with real estate investments. We are a real estate company that derives our income from operation of our stores. There are a number of factors that may adversely affect the income that our stores generate, including the following: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Stores and Operations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74"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Our operating results are dependent upon our ability to maximize occupancy levels and rental rates in our stores. Adverse economic or other conditions in the markets in which we operate may lower our occupancy levels and limit our ability to increase rents or require us to offer rental discounts. If our stores fail to generate revenues sufficient to meet our cash requirements, including operating and other expenses, debt service and capital expenditures, our net income, funds from operations (“FFO”), cash flow, financial condition, ability to make cash distributions to stockholders and the trading price of our securities could be adversely affected. The following factors, among others, may adversely affect the operating performance of our stores:</w:t>
      </w:r>
    </w:p>
    <w:p>
      <w:pPr>
        <w:spacing w:after="0" w:line="71" w:lineRule="exact"/>
        <w:rPr>
          <w:sz w:val="20"/>
          <w:szCs w:val="20"/>
          <w:color w:val="auto"/>
        </w:rPr>
      </w:pPr>
    </w:p>
    <w:p>
      <w:pPr>
        <w:ind w:left="880" w:right="100" w:hanging="426"/>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national economic climate and the local or regional economic climate in the markets in which we operate, which may be adversely impacted by, among other factors, industry slowdowns, relocation of businesses and changing demographics;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2"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80" w:right="400" w:hanging="426"/>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periods of economic slowdown or recession, rising interest rates, or declining demand for self-storage or the public perception that any of these events may occur could result in a general decline in rental rates or an increase in tenant defaults;</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decline of the current economic environment;</w:t>
      </w:r>
    </w:p>
    <w:p>
      <w:pPr>
        <w:spacing w:after="0" w:line="122" w:lineRule="exact"/>
        <w:rPr>
          <w:rFonts w:ascii="Arial" w:cs="Arial" w:eastAsia="Arial" w:hAnsi="Arial"/>
          <w:sz w:val="18"/>
          <w:szCs w:val="18"/>
          <w:color w:val="auto"/>
        </w:rPr>
      </w:pPr>
    </w:p>
    <w:p>
      <w:pPr>
        <w:ind w:left="880" w:right="40" w:hanging="426"/>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or regional real estate market conditions, such as competing stores, the oversupply of self-storage or a reduction in demand for self-storage in a particular area;</w:t>
      </w:r>
    </w:p>
    <w:p>
      <w:pPr>
        <w:spacing w:after="0" w:line="87" w:lineRule="exact"/>
        <w:rPr>
          <w:rFonts w:ascii="Arial" w:cs="Arial" w:eastAsia="Arial" w:hAnsi="Arial"/>
          <w:sz w:val="18"/>
          <w:szCs w:val="18"/>
          <w:color w:val="auto"/>
        </w:rPr>
      </w:pPr>
    </w:p>
    <w:p>
      <w:pPr>
        <w:ind w:left="880" w:right="280" w:hanging="426"/>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by prospective users of our stores of the safety, convenience and attractiveness of our stores and the neighborhoods in which they are located;</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including the need for capital improvements, insurance premiums, real estate taxes and utilities;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environmental protection laws;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real estate and zoning laws; and</w:t>
      </w:r>
    </w:p>
    <w:p>
      <w:pPr>
        <w:spacing w:after="0" w:line="122" w:lineRule="exact"/>
        <w:rPr>
          <w:rFonts w:ascii="Arial" w:cs="Arial" w:eastAsia="Arial" w:hAnsi="Arial"/>
          <w:sz w:val="18"/>
          <w:szCs w:val="18"/>
          <w:color w:val="auto"/>
        </w:rPr>
      </w:pPr>
    </w:p>
    <w:p>
      <w:pPr>
        <w:ind w:left="880" w:right="320" w:hanging="426"/>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earthquakes, hurricanes and other natural disasters, terrorist acts, civil disturbances or acts of war which may result in uninsured or underinsured losses.</w:t>
      </w:r>
    </w:p>
    <w:p>
      <w:pPr>
        <w:spacing w:after="0" w:line="2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74" w:lineRule="exact"/>
        <w:rPr>
          <w:sz w:val="20"/>
          <w:szCs w:val="20"/>
          <w:color w:val="auto"/>
        </w:rPr>
      </w:pPr>
    </w:p>
    <w:p>
      <w:pPr>
        <w:ind w:right="660" w:firstLine="457"/>
        <w:spacing w:after="0" w:line="326"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239"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b w:val="1"/>
          <w:bCs w:val="1"/>
          <w:i w:val="1"/>
          <w:iCs w:val="1"/>
          <w:color w:val="auto"/>
        </w:rPr>
        <w:t>We depend upon our on-site personnel to maximize tenant satisfaction at each of our stores, and any difficulties we encounter in hiring, training and maintaining skilled field personnel may harm our operating performance.</w:t>
      </w:r>
    </w:p>
    <w:p>
      <w:pPr>
        <w:spacing w:after="0" w:line="74" w:lineRule="exact"/>
        <w:rPr>
          <w:sz w:val="20"/>
          <w:szCs w:val="20"/>
          <w:color w:val="auto"/>
        </w:rPr>
      </w:pPr>
    </w:p>
    <w:p>
      <w:pPr>
        <w:jc w:val="both"/>
        <w:ind w:right="120" w:firstLine="457"/>
        <w:spacing w:after="0" w:line="292" w:lineRule="auto"/>
        <w:rPr>
          <w:sz w:val="20"/>
          <w:szCs w:val="20"/>
          <w:color w:val="auto"/>
        </w:rPr>
      </w:pPr>
      <w:r>
        <w:rPr>
          <w:rFonts w:ascii="Arial" w:cs="Arial" w:eastAsia="Arial" w:hAnsi="Arial"/>
          <w:sz w:val="16"/>
          <w:szCs w:val="16"/>
          <w:color w:val="auto"/>
        </w:rPr>
        <w:t>We had 2,716 field personnel as of February 18, 2016 in the management and operation of our stores. The general professionalism of our store managers and staff are contributing factors to a store’s ability to successfully secure rentals and retain tenants. We also rely upon our field personnel to maintain clean and secure stores. If we are unable to successfully recruit, train and retain qualified field personnel, the quality of service we strive to provide at our stores could be adversely affected which could lead to decreased occupancy levels and reduced operating performance.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or losses in excess of our insurance coverage could adversely affect our financial condition and our cash flow.</w:t>
      </w:r>
    </w:p>
    <w:p>
      <w:pPr>
        <w:spacing w:after="0" w:line="110"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We maintain comprehensive liability, fire, flood, earthquake, wind (as deemed necessary or as required by our lenders), extended coverage and rental loss insurance with respect to our stores. Certain types of losses, however, may be either uninsurable or not economically insurable, such as losses due to earthquakes, hurricanes, tornadoes, riots, acts of war or terrorism.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taxes and regulatory compliance costs may reduce our income.</w:t>
      </w:r>
    </w:p>
    <w:p>
      <w:pPr>
        <w:spacing w:after="0" w:line="110" w:lineRule="exact"/>
        <w:rPr>
          <w:sz w:val="20"/>
          <w:szCs w:val="20"/>
          <w:color w:val="auto"/>
        </w:rPr>
      </w:pPr>
    </w:p>
    <w:p>
      <w:pPr>
        <w:ind w:right="60" w:firstLine="457"/>
        <w:spacing w:after="0" w:line="263" w:lineRule="auto"/>
        <w:rPr>
          <w:sz w:val="20"/>
          <w:szCs w:val="20"/>
          <w:color w:val="auto"/>
        </w:rPr>
      </w:pPr>
      <w:r>
        <w:rPr>
          <w:rFonts w:ascii="Arial" w:cs="Arial" w:eastAsia="Arial" w:hAnsi="Arial"/>
          <w:sz w:val="18"/>
          <w:szCs w:val="18"/>
          <w:color w:val="auto"/>
        </w:rPr>
        <w:t>Costs resulting from changes in real estate tax laws generally are not passed through to tenants directly and will affect us. Increases in income, property or other taxes generally are not passed through to tenants under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2"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leases and may reduce our net income, FFO, cash flow, financial condition, ability to pay or refinance our debt obligations, ability to make cash distributions to stockholders, and the trading price of our securities. Similarly, changes in laws increasing the potential liability for environmental conditions existing on stores or increasing the restrictions on discharges or other conditions may result in significant unanticipated expenditures, which could similarly adversely affect our business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associated with operating our stores may affect our results of operations.</w:t>
      </w:r>
    </w:p>
    <w:p>
      <w:pPr>
        <w:spacing w:after="0" w:line="110"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Under various U.S. federal, state and local laws, ordinances and regulations, owners and operators of real estate may be liable for the costs of investigating and remediating certain hazardous substances or other regulated materials on or in such property. Such laws often impose such liability without regard to whether the owner or operator knew of, or was responsible for, the presence of such substances or materials. The presence of such substances or materials, or the failure to properly remediate such substances, may adversely affect the owner’s or operator’s ability to lease, sell or rent such property or to borrow using such property as collateral. Persons who arrange for the disposal or treatment of hazardous substances or other regulated materials may be liable for the costs of removal or remediation of such substances at a disposal or treatment facility, whether or not such facility is owned or operated by such person. Certain environmental laws impose liability for release of asbestos-containing materials into the air and third parties may seek recovery from owners or operators of real stores for personal injury associated with asbestos-containing materials.</w:t>
      </w:r>
    </w:p>
    <w:p>
      <w:pPr>
        <w:spacing w:after="0" w:line="171"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Certain environmental laws also impose liability, without regard to knowledge or fault, for removal or remediation of hazardous substances or other regulated materials upon owners and operators of contaminated property even after they no longer own or operate the property. Moreover, the past or present owner or operator from which a release emanates could be liable for any personal injuries or property damages that may result from such releases, as well as any damages to natural resources that may arise from such releases.</w:t>
      </w:r>
    </w:p>
    <w:p>
      <w:pPr>
        <w:spacing w:after="0" w:line="193"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Certain environmental laws impose compliance obligations on owners and operators of real property with respect to the management of hazardous materials and other regulated substances. For example, environmental laws govern the management of asbestos-containing materials and lead-based paint. Failure to comply with these laws can result in penalties or other sanctions.</w:t>
      </w:r>
    </w:p>
    <w:p>
      <w:pPr>
        <w:spacing w:after="0" w:line="188" w:lineRule="exact"/>
        <w:rPr>
          <w:sz w:val="20"/>
          <w:szCs w:val="20"/>
          <w:color w:val="auto"/>
        </w:rPr>
      </w:pPr>
    </w:p>
    <w:p>
      <w:pPr>
        <w:ind w:right="40" w:firstLine="457"/>
        <w:spacing w:after="0" w:line="249" w:lineRule="auto"/>
        <w:rPr>
          <w:sz w:val="20"/>
          <w:szCs w:val="20"/>
          <w:color w:val="auto"/>
        </w:rPr>
      </w:pPr>
      <w:r>
        <w:rPr>
          <w:rFonts w:ascii="Arial" w:cs="Arial" w:eastAsia="Arial" w:hAnsi="Arial"/>
          <w:sz w:val="18"/>
          <w:szCs w:val="18"/>
          <w:color w:val="auto"/>
        </w:rPr>
        <w:t>No assurances can be given that existing environmental studies with respect to any of our stores reveal all environmental liabilities, that any prior owner or operator of our stores did not create any material environmental condition not known to us, or that a material environmental condition does not otherwise exist as to any one or more of our stores. There also exists the risk that material environmental conditions, liabilities or compliance concerns may have arisen after the review was completed or may arise in the future. Finally, future laws, ordinances or regulations and future interpretations of existing laws, ordinances or regulations may impose additional material environmental liability.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complying with the Americans with Disabilities Act of 1990 may result in unanticipated expenses.</w:t>
      </w:r>
    </w:p>
    <w:p>
      <w:pPr>
        <w:spacing w:after="0" w:line="110"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Under the ADA, places of public accommodation are required to meet certain federal requirements related to access and use by disabled persons. These requirements became effective in 1992. A number of additional U.S. federal, state and local laws may also require modifications to our stores, or restrict certain further renovations of the stores, with respect to access thereto by disabled persons. Noncompliance with the ADA could result in the imposition of fines or an award of damages to private litigants and also could result in an order to correct any non-complying feature, which could result in substantial capital expenditures. We have not conducted an audit or investigation of all of our stores to determine our compliance and we cannot predict the ultimate cost of compliance with the ADA or other legislation. If one or more of our stores is not in compliance with the ADA or other legislation, then we would be required to incur additional costs to bring the facility into compliance. If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2"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326" w:lineRule="auto"/>
        <w:rPr>
          <w:sz w:val="20"/>
          <w:szCs w:val="20"/>
          <w:color w:val="auto"/>
        </w:rPr>
      </w:pPr>
      <w:r>
        <w:rPr>
          <w:rFonts w:ascii="Arial" w:cs="Arial" w:eastAsia="Arial" w:hAnsi="Arial"/>
          <w:sz w:val="16"/>
          <w:szCs w:val="16"/>
          <w:color w:val="auto"/>
        </w:rPr>
        <w:t>we incur substantial costs to comply with the ADA or other legislation, our financial condition, results of operations, cash flow, per share trading price of our securities and our ability to satisfy our debt service obligations and to make cash distributions to our stockholders could be adversely affected.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 reinsurance business is subject to significant governmental regulation, which may adversely affect our results.</w:t>
      </w:r>
    </w:p>
    <w:p>
      <w:pPr>
        <w:spacing w:after="0" w:line="110"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29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face competition for the acquisition of stores and other assets, which may impede our ability to make future acquisitions or may increase the cost of these acquisitions.</w:t>
      </w:r>
    </w:p>
    <w:p>
      <w:pPr>
        <w:spacing w:after="0" w:line="74"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We compete with many other entities engaged in real estate investment activities for acquisitions of stores and other assets, including national, regional and local operators and developers of stores. These competitors may drive up the price we pay for stores or other assets we seek to acquire or may succeed in acquiring those stores or assets themselves. In addition, our potential acquisition targets may find our competitors to be more attractive suitors because they may have greater resources, may be willing to pay more or may have a more compatible operating philosophy. In addition, the number of entities and the amount of funds competing for suitable investment in stores may increase. This competition would result in increased demand for these assets and therefore increased prices paid for them. Because of an increased interest in single-store acquisitions among tax-motivated individual purchasers, we may pay higher prices if we purchase single stores in comparison with portfolio acquisitions. If we pay higher prices for stores or other assets, our profitability will be reduced.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identifying and consummating suitable acquisitions that meet our criteria, which may impede our growth.</w:t>
      </w:r>
    </w:p>
    <w:p>
      <w:pPr>
        <w:spacing w:after="0" w:line="133"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or investments on satisfactory terms or at all. Failure to identify or consummate acquisitions will slow our growth, which could in turn adversely affect our stock price.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acquire stores on favorable terms and successfully integrate and operate them may be constrained by the following significant risks:</w:t>
      </w:r>
    </w:p>
    <w:p>
      <w:pPr>
        <w:spacing w:after="0" w:line="146" w:lineRule="exact"/>
        <w:rPr>
          <w:sz w:val="20"/>
          <w:szCs w:val="20"/>
          <w:color w:val="auto"/>
        </w:rPr>
      </w:pPr>
    </w:p>
    <w:p>
      <w:pPr>
        <w:ind w:left="880" w:right="500" w:hanging="426"/>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local investors and other real estate investors with significant capital, including other publicly-traded REITs and institutional investment funds;</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other potential acquirers may significantly increase the purchase price which could reduce our profitability;</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achieve satisfactory completion of due diligence investigations and other customary closing conditions;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finance an acquisition on favorable terms or at all;</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spend more than the time and amounts budgeted to make necessary improvements or renovations to acquired stores;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2"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80" w:right="100" w:hanging="426"/>
        <w:spacing w:after="0" w:line="300"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strategic decisions by us, such as acquisitions, may adversely affect the price of our securities.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and operating acquired stores.</w:t>
      </w:r>
    </w:p>
    <w:p>
      <w:pPr>
        <w:spacing w:after="0" w:line="110" w:lineRule="exact"/>
        <w:rPr>
          <w:sz w:val="20"/>
          <w:szCs w:val="20"/>
          <w:color w:val="auto"/>
        </w:rPr>
      </w:pPr>
    </w:p>
    <w:p>
      <w:pPr>
        <w:ind w:right="100" w:firstLine="457"/>
        <w:spacing w:after="0" w:line="300" w:lineRule="auto"/>
        <w:rPr>
          <w:sz w:val="20"/>
          <w:szCs w:val="20"/>
          <w:color w:val="auto"/>
        </w:rPr>
      </w:pPr>
      <w:r>
        <w:rPr>
          <w:rFonts w:ascii="Arial" w:cs="Arial" w:eastAsia="Arial" w:hAnsi="Arial"/>
          <w:sz w:val="16"/>
          <w:szCs w:val="16"/>
          <w:color w:val="auto"/>
        </w:rPr>
        <w:t>We have acquired many stores in the past, and we expect to continue acquiring stores in the future. If we acquire any stores, we will be required to integrate them into our existing portfolio. The acquired stores may turn out to be less compatible with our growth strategy than originally anticipated, may cause disruptions in our operations or may divert management’s attention away from day-to-day operations, which could impair our operating results as a whole.</w:t>
      </w:r>
    </w:p>
    <w:p>
      <w:pPr>
        <w:spacing w:after="0" w:line="26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do not always obtain independent appraisals of our stores, and thus the consideration paid for these stores may exceed the value that may be indicated by third-party appraisals.</w:t>
      </w:r>
    </w:p>
    <w:p>
      <w:pPr>
        <w:spacing w:after="0" w:line="74" w:lineRule="exact"/>
        <w:rPr>
          <w:sz w:val="20"/>
          <w:szCs w:val="20"/>
          <w:color w:val="auto"/>
        </w:rPr>
      </w:pPr>
    </w:p>
    <w:p>
      <w:pPr>
        <w:ind w:right="260" w:firstLine="457"/>
        <w:spacing w:after="0" w:line="363" w:lineRule="auto"/>
        <w:rPr>
          <w:sz w:val="20"/>
          <w:szCs w:val="20"/>
          <w:color w:val="auto"/>
        </w:rPr>
      </w:pPr>
      <w:r>
        <w:rPr>
          <w:rFonts w:ascii="Arial" w:cs="Arial" w:eastAsia="Arial" w:hAnsi="Arial"/>
          <w:sz w:val="15"/>
          <w:szCs w:val="15"/>
          <w:color w:val="auto"/>
        </w:rPr>
        <w:t>We do not always obtain third-party appraisals in connection with our acquisition of stores and the consideration being paid by us in exchange for those stores may exceed the value determined by third-party appraisals. In such cases, the value of the stores was determined by our senior management team.</w:t>
      </w:r>
    </w:p>
    <w:p>
      <w:pPr>
        <w:spacing w:after="0" w:line="21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Our investments in development and redevelopment projects may not yield anticipated returns, which would harm our operating results and reduce the amount of funds available for distributions.</w:t>
      </w:r>
    </w:p>
    <w:p>
      <w:pPr>
        <w:spacing w:after="0" w:line="74" w:lineRule="exact"/>
        <w:rPr>
          <w:sz w:val="20"/>
          <w:szCs w:val="20"/>
          <w:color w:val="auto"/>
        </w:rPr>
      </w:pPr>
    </w:p>
    <w:p>
      <w:pPr>
        <w:ind w:right="600" w:firstLine="457"/>
        <w:spacing w:after="0" w:line="263" w:lineRule="auto"/>
        <w:rPr>
          <w:sz w:val="20"/>
          <w:szCs w:val="20"/>
          <w:color w:val="auto"/>
        </w:rPr>
      </w:pPr>
      <w:r>
        <w:rPr>
          <w:rFonts w:ascii="Arial" w:cs="Arial" w:eastAsia="Arial" w:hAnsi="Arial"/>
          <w:sz w:val="18"/>
          <w:szCs w:val="18"/>
          <w:color w:val="auto"/>
        </w:rPr>
        <w:t>To the extent that we engage in development and redevelopment activities, we will be subject to the following risks normally associated with these projects:</w:t>
      </w:r>
    </w:p>
    <w:p>
      <w:pPr>
        <w:spacing w:after="0" w:line="88" w:lineRule="exact"/>
        <w:rPr>
          <w:sz w:val="20"/>
          <w:szCs w:val="20"/>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obtain financing for these projects on favorable terms or at all;</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complete development or redevelopment projects on schedule or within budgeted amounts;</w:t>
      </w:r>
    </w:p>
    <w:p>
      <w:pPr>
        <w:spacing w:after="0" w:line="122" w:lineRule="exact"/>
        <w:rPr>
          <w:rFonts w:ascii="Arial" w:cs="Arial" w:eastAsia="Arial" w:hAnsi="Arial"/>
          <w:sz w:val="18"/>
          <w:szCs w:val="18"/>
          <w:color w:val="auto"/>
        </w:rPr>
      </w:pPr>
    </w:p>
    <w:p>
      <w:pPr>
        <w:ind w:left="880" w:right="180" w:hanging="426"/>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delays or refusals in obtaining all necessary zoning, land use, building, occupancy and other required governmental permits and authorizations; and</w:t>
      </w:r>
    </w:p>
    <w:p>
      <w:pPr>
        <w:spacing w:after="0" w:line="87" w:lineRule="exact"/>
        <w:rPr>
          <w:rFonts w:ascii="Arial" w:cs="Arial" w:eastAsia="Arial" w:hAnsi="Arial"/>
          <w:sz w:val="18"/>
          <w:szCs w:val="18"/>
          <w:color w:val="auto"/>
        </w:rPr>
      </w:pPr>
    </w:p>
    <w:p>
      <w:pPr>
        <w:ind w:left="880" w:hanging="426"/>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occupancy rates and rents at newly developed or redeveloped stores may fluctuate depending on a number of factors, including market and economic conditions, and may result in our investment not being profitable.</w:t>
      </w:r>
    </w:p>
    <w:p>
      <w:pPr>
        <w:spacing w:after="0" w:line="180"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In deciding whether to develop or redevelop a particular property, we make certain assumptions regarding the expected future performance of the store. We may underestimate the costs necessary to bring the property up to the standards established for its intended market position or may be unable to increase occupancy at a newly developed store as quickly as expected or at all. Any substantial unanticipated delays or expenses could adversely affect the investment returns from these development or redevelopment projects and harm our operating results, liquidity and financial condition, which could result in a decline in the value of our securities.</w:t>
      </w:r>
    </w:p>
    <w:p>
      <w:pPr>
        <w:spacing w:after="0" w:line="193" w:lineRule="exact"/>
        <w:rPr>
          <w:sz w:val="20"/>
          <w:szCs w:val="20"/>
          <w:color w:val="auto"/>
        </w:rPr>
      </w:pPr>
    </w:p>
    <w:p>
      <w:pPr>
        <w:jc w:val="both"/>
        <w:ind w:right="200" w:firstLine="457"/>
        <w:spacing w:after="0" w:line="254" w:lineRule="auto"/>
        <w:rPr>
          <w:sz w:val="20"/>
          <w:szCs w:val="20"/>
          <w:color w:val="auto"/>
        </w:rPr>
      </w:pPr>
      <w:r>
        <w:rPr>
          <w:rFonts w:ascii="Arial" w:cs="Arial" w:eastAsia="Arial" w:hAnsi="Arial"/>
          <w:sz w:val="18"/>
          <w:szCs w:val="18"/>
          <w:color w:val="auto"/>
        </w:rPr>
        <w:t>We may rely on the investments of our joint venture partners for funding certain of our development and redevelopment projects. If our reputation in the self-storage industry changes or the number of investors considering us an attractive strategic partner is otherwise reduced, our ability to develop or redevelop stores could be affected, which would limit our growth.</w:t>
      </w:r>
    </w:p>
    <w:p>
      <w:pPr>
        <w:spacing w:after="0" w:line="293" w:lineRule="exact"/>
        <w:rPr>
          <w:sz w:val="20"/>
          <w:szCs w:val="20"/>
          <w:color w:val="auto"/>
        </w:rPr>
      </w:pPr>
    </w:p>
    <w:p>
      <w:pPr>
        <w:ind w:right="260" w:firstLine="457"/>
        <w:spacing w:after="0" w:line="263"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74" w:lineRule="exact"/>
        <w:rPr>
          <w:sz w:val="20"/>
          <w:szCs w:val="20"/>
          <w:color w:val="auto"/>
        </w:rPr>
      </w:pPr>
    </w:p>
    <w:p>
      <w:pPr>
        <w:ind w:right="220" w:firstLine="457"/>
        <w:spacing w:after="0" w:line="263"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including financial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2"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transactions and records, personally 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While, to date, we have not experienced a security breach, this risk has generally increased as the number, intensity and sophistication of such breaches and attempted breaches from around the world have increased.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harmed if key personnel with long-standing business relationships in the self-storage industry terminate their employment with us.</w:t>
      </w:r>
    </w:p>
    <w:p>
      <w:pPr>
        <w:spacing w:after="0" w:line="144"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Our success depends on the continued services of members of our executive management team, who have substantial experience in the self-storage industry. In addition, our ability to acquire or develop stores in the future depends on the significant relationships our executive management team has developed with our institutional joint venture partners, such as affiliates of Prudential Financial, Inc. There is no guarantee that any of them will remain employed by us. We do not maintain key person life insurance on any of our officers. The loss of services of one or more members of our executive management team could harm our business and our prospects.</w:t>
      </w:r>
    </w:p>
    <w:p>
      <w:pPr>
        <w:spacing w:after="0" w:line="29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change our investment and financing strategies and enter into new lines of business without stockholder consent, which may subject us to different risks.</w:t>
      </w:r>
    </w:p>
    <w:p>
      <w:pPr>
        <w:spacing w:after="0" w:line="74" w:lineRule="exact"/>
        <w:rPr>
          <w:sz w:val="20"/>
          <w:szCs w:val="20"/>
          <w:color w:val="auto"/>
        </w:rPr>
      </w:pPr>
    </w:p>
    <w:p>
      <w:pPr>
        <w:ind w:right="280" w:firstLine="457"/>
        <w:spacing w:after="0" w:line="250" w:lineRule="auto"/>
        <w:rPr>
          <w:sz w:val="20"/>
          <w:szCs w:val="20"/>
          <w:color w:val="auto"/>
        </w:rPr>
      </w:pPr>
      <w:r>
        <w:rPr>
          <w:rFonts w:ascii="Arial" w:cs="Arial" w:eastAsia="Arial" w:hAnsi="Arial"/>
          <w:sz w:val="18"/>
          <w:szCs w:val="18"/>
          <w:color w:val="auto"/>
        </w:rPr>
        <w:t>We may change our investment and financing strategies and enter into new lines of business at any time without the consent of our stockholders, which could result in our making investments and engaging in business activities that are different from, and possibly riskier than, the investments and businesses described in this document. A change in our investment strategy or our entry into new lines of business may increase our exposure to other risks or real estate market fluctuations.</w:t>
      </w:r>
    </w:p>
    <w:p>
      <w:pPr>
        <w:spacing w:after="0" w:line="29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If other self-storage companies convert to an UPREIT structure or if tax laws change, we may no longer have an advantage in competing for potential acquisitions.</w:t>
      </w:r>
    </w:p>
    <w:p>
      <w:pPr>
        <w:spacing w:after="0" w:line="74" w:lineRule="exact"/>
        <w:rPr>
          <w:sz w:val="20"/>
          <w:szCs w:val="20"/>
          <w:color w:val="auto"/>
        </w:rPr>
      </w:pPr>
    </w:p>
    <w:p>
      <w:pPr>
        <w:ind w:right="40" w:firstLine="457"/>
        <w:spacing w:after="0" w:line="292" w:lineRule="auto"/>
        <w:rPr>
          <w:sz w:val="20"/>
          <w:szCs w:val="20"/>
          <w:color w:val="auto"/>
        </w:rPr>
      </w:pPr>
      <w:r>
        <w:rPr>
          <w:rFonts w:ascii="Arial" w:cs="Arial" w:eastAsia="Arial" w:hAnsi="Arial"/>
          <w:sz w:val="16"/>
          <w:szCs w:val="16"/>
          <w:color w:val="auto"/>
        </w:rPr>
        <w:t>Because we are structured as an UPREIT, we are a more attractive acquirer of stores to tax-motivated sellers than our competitors that are not structured as UPREITs. However, if other self-storage companies restructure their holdings to become UPREITs, this competitive advantage will disappear. In addition, new legislation may be enacted or new interpretations of existing legislation may be issued by the Internal Revenue Service (“IRS”), or the U.S. Treasury Department that could affect the attractiveness of our UPREIT structure so that it may no longer assist us in competing for acquisitions.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indemnification obligations may require the Operating Partnership to maintain certain debt levels.</w:t>
      </w:r>
    </w:p>
    <w:p>
      <w:pPr>
        <w:spacing w:after="0" w:line="110" w:lineRule="exact"/>
        <w:rPr>
          <w:sz w:val="20"/>
          <w:szCs w:val="20"/>
          <w:color w:val="auto"/>
        </w:rPr>
      </w:pPr>
    </w:p>
    <w:p>
      <w:pPr>
        <w:ind w:right="20" w:firstLine="457"/>
        <w:spacing w:after="0" w:line="292" w:lineRule="auto"/>
        <w:rPr>
          <w:sz w:val="20"/>
          <w:szCs w:val="20"/>
          <w:color w:val="auto"/>
        </w:rPr>
      </w:pPr>
      <w:r>
        <w:rPr>
          <w:rFonts w:ascii="Arial" w:cs="Arial" w:eastAsia="Arial" w:hAnsi="Arial"/>
          <w:sz w:val="16"/>
          <w:szCs w:val="16"/>
          <w:color w:val="auto"/>
        </w:rPr>
        <w:t>We have provided certain tax protections to various third parties in connection with their property contributions to the Operating Partnership upon acquisition by the Company, including making available the opportunity to (1) guarantee debt or (2) enter into a special loss allocation and deficit restoration obligation. We have agreed to these provisions in order to assist these contributors in preserving their tax position after their contributions. These obligations may require us to maintain certain indebtedness levels that we would not otherwise require for our business.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2"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 investments could be adversely affected by our lack of sole decision-making authority.</w:t>
      </w:r>
    </w:p>
    <w:p>
      <w:pPr>
        <w:spacing w:after="0" w:line="11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As of December 31, 2015, we held interests in 253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as a result of our relationship with our Operating Partnership.</w:t>
      </w:r>
    </w:p>
    <w:p>
      <w:pPr>
        <w:spacing w:after="0" w:line="110"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73"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2"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right="100" w:firstLine="457"/>
        <w:spacing w:after="0" w:line="300" w:lineRule="auto"/>
        <w:rPr>
          <w:sz w:val="20"/>
          <w:szCs w:val="20"/>
          <w:color w:val="auto"/>
        </w:rPr>
      </w:pPr>
      <w:r>
        <w:rPr>
          <w:rFonts w:ascii="Arial" w:cs="Arial" w:eastAsia="Arial" w:hAnsi="Arial"/>
          <w:sz w:val="16"/>
          <w:szCs w:val="16"/>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26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7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133" w:lineRule="exact"/>
        <w:rPr>
          <w:sz w:val="20"/>
          <w:szCs w:val="20"/>
          <w:color w:val="auto"/>
        </w:rPr>
      </w:pPr>
    </w:p>
    <w:p>
      <w:pPr>
        <w:ind w:right="240" w:firstLine="457"/>
        <w:spacing w:after="0" w:line="248" w:lineRule="auto"/>
        <w:rPr>
          <w:sz w:val="20"/>
          <w:szCs w:val="20"/>
          <w:color w:val="auto"/>
        </w:rPr>
      </w:pPr>
      <w:r>
        <w:rPr>
          <w:rFonts w:ascii="Arial" w:cs="Arial" w:eastAsia="Arial" w:hAnsi="Arial"/>
          <w:sz w:val="18"/>
          <w:szCs w:val="18"/>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10" w:lineRule="exact"/>
        <w:rPr>
          <w:sz w:val="20"/>
          <w:szCs w:val="20"/>
          <w:color w:val="auto"/>
        </w:rPr>
      </w:pPr>
    </w:p>
    <w:p>
      <w:pPr>
        <w:ind w:right="180" w:firstLine="457"/>
        <w:spacing w:after="0" w:line="283" w:lineRule="auto"/>
        <w:rPr>
          <w:sz w:val="20"/>
          <w:szCs w:val="20"/>
          <w:color w:val="auto"/>
        </w:rPr>
      </w:pPr>
      <w:r>
        <w:rPr>
          <w:rFonts w:ascii="Arial" w:cs="Arial" w:eastAsia="Arial" w:hAnsi="Arial"/>
          <w:sz w:val="16"/>
          <w:szCs w:val="16"/>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To the extent our distributions represent a return of capital for U.S. federal income tax purposes, our stockholders could recognize an increased capital gain upon a subsequent sale of common stock.</w:t>
      </w:r>
    </w:p>
    <w:p>
      <w:pPr>
        <w:spacing w:after="0" w:line="74" w:lineRule="exact"/>
        <w:rPr>
          <w:sz w:val="20"/>
          <w:szCs w:val="20"/>
          <w:color w:val="auto"/>
        </w:rPr>
      </w:pPr>
    </w:p>
    <w:p>
      <w:pPr>
        <w:ind w:right="320" w:firstLine="457"/>
        <w:spacing w:after="0" w:line="263" w:lineRule="auto"/>
        <w:rPr>
          <w:sz w:val="20"/>
          <w:szCs w:val="20"/>
          <w:color w:val="auto"/>
        </w:rPr>
      </w:pPr>
      <w:r>
        <w:rPr>
          <w:rFonts w:ascii="Arial" w:cs="Arial" w:eastAsia="Arial" w:hAnsi="Arial"/>
          <w:sz w:val="18"/>
          <w:szCs w:val="18"/>
          <w:color w:val="auto"/>
        </w:rPr>
        <w:t>Distributions in excess of our current and accumulated earnings and profits and not treated by us as a dividend will not be taxable to a U.S. stockholder under current U.S. federal income tax law to the extent those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2"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distributions do not exceed the stockholder’s adjusted tax basis in his, her, or its common stock, but instead will constitute a return of capital and will reduce such adjusted basis. If distributions result in a reduction of a stockholder’s adjusted basis in such holder’s common stock, subsequent sales of such holder’s common stock will result in recognition of an increased capital gain or decreased capital loss due to the reduction in such adjusted basis.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business involves the ownership and operation of stores.</w:t>
      </w:r>
    </w:p>
    <w:p>
      <w:pPr>
        <w:spacing w:after="0" w:line="110" w:lineRule="exact"/>
        <w:rPr>
          <w:sz w:val="20"/>
          <w:szCs w:val="20"/>
          <w:color w:val="auto"/>
        </w:rPr>
      </w:pPr>
    </w:p>
    <w:p>
      <w:pPr>
        <w:ind w:right="140" w:firstLine="457"/>
        <w:spacing w:after="0" w:line="249" w:lineRule="auto"/>
        <w:rPr>
          <w:sz w:val="20"/>
          <w:szCs w:val="20"/>
          <w:color w:val="auto"/>
        </w:rPr>
      </w:pPr>
      <w:r>
        <w:rPr>
          <w:rFonts w:ascii="Arial" w:cs="Arial" w:eastAsia="Arial" w:hAnsi="Arial"/>
          <w:sz w:val="18"/>
          <w:szCs w:val="18"/>
          <w:color w:val="auto"/>
        </w:rPr>
        <w:t>Our current strategy is to own, operate, manage, acquire, develop and redevelop only stores. Consequently, we are subject to risks inherent in investments in a single industry. Because investments in real estate are inherently illiquid, this strategy makes it difficult for us to diversify our investment portfolio and to limit our risk when economic conditions change. Decreases in market rents, negative tax, real estate and zoning law changes and changes in environmental protection laws may also increase our costs, lower the value of our investments and decrease our income, which would adversely affect our business, financial condition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Illiquidity of real estate investments could significantly impede our ability to respond to adverse changes in the performance of our stores.</w:t>
      </w:r>
    </w:p>
    <w:p>
      <w:pPr>
        <w:spacing w:after="0" w:line="13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Because real estate investments are relatively illiquid, our ability to promptly sell one or more stores in our portfolio in response to changing economic, financial and investment conditions is limited. The real estate market is affected by many factors, such as general economic conditions, availability of financing, interest rates and other factors, including supply and demand, that are beyond our control. We cannot predict whether we will be able to sell any store for the price or on the terms set by us or whether any price or other terms offered by a prospective purchaser would be acceptable to us. We also cannot predict the length of time needed to find a willing purchaser and to close the sale of a store.</w:t>
      </w:r>
    </w:p>
    <w:p>
      <w:pPr>
        <w:spacing w:after="0" w:line="163" w:lineRule="exact"/>
        <w:rPr>
          <w:sz w:val="20"/>
          <w:szCs w:val="20"/>
          <w:color w:val="auto"/>
        </w:rPr>
      </w:pPr>
    </w:p>
    <w:p>
      <w:pPr>
        <w:ind w:right="40" w:firstLine="457"/>
        <w:spacing w:after="0" w:line="292" w:lineRule="auto"/>
        <w:rPr>
          <w:sz w:val="20"/>
          <w:szCs w:val="20"/>
          <w:color w:val="auto"/>
        </w:rPr>
      </w:pPr>
      <w:r>
        <w:rPr>
          <w:rFonts w:ascii="Arial" w:cs="Arial" w:eastAsia="Arial" w:hAnsi="Arial"/>
          <w:sz w:val="16"/>
          <w:szCs w:val="16"/>
          <w:color w:val="auto"/>
        </w:rPr>
        <w:t>We may be required to expend funds to correct defects or to make improvements before a store can be sold. We cannot assure you that we will have funds available to correct those defects or to make those improvements. In acquiring a store, we may agree to transfer restrictions that materially restrict us from selling that store for a period of time or impose other restrictions, such as a limitation on the amount of debt that can be placed or repaid on that store. These transfer restrictions would impede our ability to sell a store even if we deem it necessary or appropriate.</w:t>
      </w:r>
    </w:p>
    <w:p>
      <w:pPr>
        <w:spacing w:after="0" w:line="2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Any investments in unimproved real property may take significantly longer to yield income-producing returns, if at all, and may result in additional costs to us to comply with re-zoning restrictions or environmental regulations.</w:t>
      </w:r>
    </w:p>
    <w:p>
      <w:pPr>
        <w:spacing w:after="0" w:line="74"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We have invested in the past, and may invest in the future, in unimproved real property. Unimproved properties generally take longer to yield income-producing returns based on the typical time required for development. Any development of unimproved property may also expose us to the risks and uncertainties associated with re-zoning the land for a higher use or development and environmental concerns of governmental entities and/or community groups. Any unsuccessful investments or delays in realizing an income-producing return or increased costs to develop unimproved real estate could restrict our ability to earn our targeted rate of return on an investment or adversely affect our ability to pay operating expenses which would harm our financial condition and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negative perceptions of the self-storage industry generally may result in a decline in our stock price.</w:t>
      </w:r>
    </w:p>
    <w:p>
      <w:pPr>
        <w:spacing w:after="0" w:line="11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8"/>
          <w:szCs w:val="18"/>
          <w:color w:val="auto"/>
        </w:rPr>
        <w:t>To the extent that the investing public has a negative perception of the self-storage industry, the value of our securities may be negatively impacted, which could result in our securities trading below the inherent value of our assets.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2"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Financings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13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269" w:lineRule="exact"/>
        <w:rPr>
          <w:sz w:val="20"/>
          <w:szCs w:val="20"/>
          <w:color w:val="auto"/>
        </w:rPr>
      </w:pPr>
    </w:p>
    <w:p>
      <w:pPr>
        <w:ind w:right="360"/>
        <w:spacing w:after="0" w:line="326" w:lineRule="auto"/>
        <w:rPr>
          <w:sz w:val="20"/>
          <w:szCs w:val="20"/>
          <w:color w:val="auto"/>
        </w:rPr>
      </w:pPr>
      <w:r>
        <w:rPr>
          <w:rFonts w:ascii="Arial" w:cs="Arial" w:eastAsia="Arial" w:hAnsi="Arial"/>
          <w:sz w:val="16"/>
          <w:szCs w:val="16"/>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28"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As of December 31, 2015, we had approximately $3.6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w:t>
      </w:r>
    </w:p>
    <w:p>
      <w:pPr>
        <w:spacing w:after="0" w:line="193" w:lineRule="exact"/>
        <w:rPr>
          <w:sz w:val="20"/>
          <w:szCs w:val="20"/>
          <w:color w:val="auto"/>
        </w:rPr>
      </w:pPr>
    </w:p>
    <w:p>
      <w:pPr>
        <w:jc w:val="both"/>
        <w:ind w:right="120" w:firstLine="457"/>
        <w:spacing w:after="0" w:line="254" w:lineRule="auto"/>
        <w:rPr>
          <w:sz w:val="20"/>
          <w:szCs w:val="20"/>
          <w:color w:val="auto"/>
        </w:rPr>
      </w:pPr>
      <w:r>
        <w:rPr>
          <w:rFonts w:ascii="Arial" w:cs="Arial" w:eastAsia="Arial" w:hAnsi="Arial"/>
          <w:sz w:val="18"/>
          <w:szCs w:val="18"/>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95" w:lineRule="exact"/>
        <w:rPr>
          <w:sz w:val="20"/>
          <w:szCs w:val="20"/>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122" w:lineRule="exact"/>
        <w:rPr>
          <w:rFonts w:ascii="Arial" w:cs="Arial" w:eastAsia="Arial" w:hAnsi="Arial"/>
          <w:sz w:val="18"/>
          <w:szCs w:val="18"/>
          <w:color w:val="auto"/>
        </w:rPr>
      </w:pPr>
    </w:p>
    <w:p>
      <w:pPr>
        <w:ind w:left="880" w:right="200" w:hanging="426"/>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including to make acquisitions or to continue to make distributions required to maintain our qualification as a REIT;</w:t>
      </w:r>
    </w:p>
    <w:p>
      <w:pPr>
        <w:spacing w:after="0" w:line="87" w:lineRule="exact"/>
        <w:rPr>
          <w:rFonts w:ascii="Arial" w:cs="Arial" w:eastAsia="Arial" w:hAnsi="Arial"/>
          <w:sz w:val="18"/>
          <w:szCs w:val="18"/>
          <w:color w:val="auto"/>
        </w:rPr>
      </w:pPr>
    </w:p>
    <w:p>
      <w:pPr>
        <w:ind w:left="880" w:right="880" w:hanging="426"/>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because a portion of our debt bears interest at variable rates, an increase in interest rates could materially increase our interest expense;</w:t>
      </w:r>
    </w:p>
    <w:p>
      <w:pPr>
        <w:spacing w:after="0" w:line="145" w:lineRule="exact"/>
        <w:rPr>
          <w:rFonts w:ascii="Arial" w:cs="Arial" w:eastAsia="Arial" w:hAnsi="Arial"/>
          <w:sz w:val="16"/>
          <w:szCs w:val="16"/>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stores, possibly on disadvantageous terms;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debt service, the amount available for cash distributions to our stockholders is reduced;</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debt level could place us at a competitive disadvantage compared to our competitors with less debt;</w:t>
      </w:r>
    </w:p>
    <w:p>
      <w:pPr>
        <w:spacing w:after="0" w:line="122" w:lineRule="exact"/>
        <w:rPr>
          <w:rFonts w:ascii="Arial" w:cs="Arial" w:eastAsia="Arial" w:hAnsi="Arial"/>
          <w:sz w:val="18"/>
          <w:szCs w:val="18"/>
          <w:color w:val="auto"/>
        </w:rPr>
      </w:pPr>
    </w:p>
    <w:p>
      <w:pPr>
        <w:ind w:left="880" w:right="60" w:hanging="426"/>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increased vulnerability to economic and industry downturns, reducing our ability to respond to changing business and economic conditions;</w:t>
      </w:r>
    </w:p>
    <w:p>
      <w:pPr>
        <w:spacing w:after="0" w:line="87" w:lineRule="exact"/>
        <w:rPr>
          <w:rFonts w:ascii="Arial" w:cs="Arial" w:eastAsia="Arial" w:hAnsi="Arial"/>
          <w:sz w:val="18"/>
          <w:szCs w:val="18"/>
          <w:color w:val="auto"/>
        </w:rPr>
      </w:pPr>
    </w:p>
    <w:p>
      <w:pPr>
        <w:ind w:left="880" w:right="260" w:hanging="426"/>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mortgagees may foreclose on our stores that secure their loans and receive an assignment of rents and leases;</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mortgages may enforce our guarantees;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violate restrictive covenants in our loan documents, which would entitle the lenders to accelerate our debt obligations; and</w:t>
      </w:r>
    </w:p>
    <w:p>
      <w:pPr>
        <w:spacing w:after="0" w:line="122" w:lineRule="exact"/>
        <w:rPr>
          <w:rFonts w:ascii="Arial" w:cs="Arial" w:eastAsia="Arial" w:hAnsi="Arial"/>
          <w:sz w:val="18"/>
          <w:szCs w:val="18"/>
          <w:color w:val="auto"/>
        </w:rPr>
      </w:pPr>
    </w:p>
    <w:p>
      <w:pPr>
        <w:ind w:left="880" w:right="860" w:hanging="426"/>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default under any one of our mortgage loans with cross-default or cross-collateralization provisions could result in a default on other indebtedness or result in the foreclosures of other stores.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2"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74"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of December 31, 2015, we had approximately $3.6 billion of debt outstanding, of which approximately $1.1 billion, or 31.4% was subject to variable interest rates (excluding debt with interest rate swaps). This variable rate debt had a weighted average interest rate of approximately 2.1% per annum. Increases in interest rates on this variable rate debt would increase our interest expense, which could harm our cash flow and our ability to pay cash distributions. For example, if market rates of interest on this variable rate debt increased by 100 basis points (excluding variable rate debt with interest rate floors), the increase in interest expense would decrease future earnings and cash flows by approximately $7.3 million annually.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110" w:lineRule="exact"/>
        <w:rPr>
          <w:sz w:val="20"/>
          <w:szCs w:val="20"/>
          <w:color w:val="auto"/>
        </w:rPr>
      </w:pPr>
    </w:p>
    <w:p>
      <w:pPr>
        <w:ind w:right="40" w:firstLine="457"/>
        <w:spacing w:after="0" w:line="300" w:lineRule="auto"/>
        <w:rPr>
          <w:sz w:val="20"/>
          <w:szCs w:val="20"/>
          <w:color w:val="auto"/>
        </w:rPr>
      </w:pPr>
      <w:r>
        <w:rPr>
          <w:rFonts w:ascii="Arial" w:cs="Arial" w:eastAsia="Arial" w:hAnsi="Arial"/>
          <w:sz w:val="16"/>
          <w:szCs w:val="16"/>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Qualification and Operation as a REIT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maintain our qualification as a REIT, we may be forced to borrow funds on a short-term basis during unfavorable market conditions.</w:t>
      </w:r>
    </w:p>
    <w:p>
      <w:pPr>
        <w:spacing w:after="0" w:line="13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To qualify as a REIT, we generally must distribute to our stockholders at least 90% of our net taxable income each year, excluding net capital gains, and we are subject to regular corporate income taxes to the extent that we distribute less than 100% of our net taxable income each year. In addition, we are subject to a 4% nondeductible excise tax on the amount, if any, by which distributions made by us in any calendar year are less than the sum of 85% of our ordinary income, 95% of our capital gain net income and 100% of our undistributed income from prior years. While historically we have satisfied these distribution requirements by making cash distributions to our stockholders, a REIT is permitted to satisfy these requirements by making distributions of cash or other property, including, in limited circumstances, its own stock. Assuming we continue to satisfy these distributions requirements with cash, we may need to borrow funds on a short-term basis, or possibly long-term, to meet the REIT distribution requirements even if the then prevailing market conditions are not favorable for these borrowings. These borrowing needs could result from a difference in timing between the actual receipt of cash and inclusion of income for U.S. federal income tax purposes, or the effect of non-deductible capital expenditures, the creation of reserves or required debt amortization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generally do not qualify for reduced tax rates.</w:t>
      </w:r>
    </w:p>
    <w:p>
      <w:pPr>
        <w:spacing w:after="0" w:line="110"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The maximum U.S. federal income tax rate for dividends paid by domestic corporations to individual U.S. stockholders is 20%. Dividends paid by REITs, however, are generally not eligible for the reduced rates. The more favorable rates applicable to regular corporate dividends could cause stockholders who are individuals to perceive investments in REITs to be relatively less attractive than investments in the stocks of non-REIT corporations that pay dividends, which could adversely affect the value of the stock of REITs, including our securities.</w:t>
      </w:r>
    </w:p>
    <w:p>
      <w:pPr>
        <w:spacing w:after="0" w:line="193" w:lineRule="exact"/>
        <w:rPr>
          <w:sz w:val="20"/>
          <w:szCs w:val="20"/>
          <w:color w:val="auto"/>
        </w:rPr>
      </w:pPr>
    </w:p>
    <w:p>
      <w:pPr>
        <w:ind w:right="20" w:firstLine="457"/>
        <w:spacing w:after="0" w:line="263" w:lineRule="auto"/>
        <w:rPr>
          <w:sz w:val="20"/>
          <w:szCs w:val="20"/>
          <w:color w:val="auto"/>
        </w:rPr>
      </w:pPr>
      <w:r>
        <w:rPr>
          <w:rFonts w:ascii="Arial" w:cs="Arial" w:eastAsia="Arial" w:hAnsi="Arial"/>
          <w:sz w:val="18"/>
          <w:szCs w:val="18"/>
          <w:color w:val="auto"/>
        </w:rPr>
        <w:t>In addition, the relative attractiveness of real estate in general may be adversely affected by the favorable tax treatment given to corporate dividends, which could negatively affect the value of our stores.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legislative or other actions affecting REITs could adversely affect our stockholders.</w:t>
      </w:r>
    </w:p>
    <w:p>
      <w:pPr>
        <w:spacing w:after="0" w:line="110" w:lineRule="exact"/>
        <w:rPr>
          <w:sz w:val="20"/>
          <w:szCs w:val="20"/>
          <w:color w:val="auto"/>
        </w:rPr>
      </w:pPr>
    </w:p>
    <w:p>
      <w:pPr>
        <w:ind w:right="80" w:firstLine="457"/>
        <w:spacing w:after="0" w:line="263"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Treasury Department. Changes to tax laws (which changes may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2"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have retroactive application) could adversely affect our stockholders. It cannot be predicted whether, when, in what forms, or with what effective dates, the tax laws applicable to us or our stockholders will be changed.</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power of our board of directors to revoke our REIT election without stockholder approval may cause adverse consequences to our stockholders.</w:t>
      </w:r>
    </w:p>
    <w:p>
      <w:pPr>
        <w:spacing w:after="0" w:line="133" w:lineRule="exact"/>
        <w:rPr>
          <w:sz w:val="20"/>
          <w:szCs w:val="20"/>
          <w:color w:val="auto"/>
        </w:rPr>
      </w:pPr>
    </w:p>
    <w:p>
      <w:pPr>
        <w:ind w:right="360" w:firstLine="457"/>
        <w:spacing w:after="0" w:line="250"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the approval of our stockholders, if it determines that it is no longer in our best interest to continue to qualify as a REIT. If we cease to qualify as a REIT, we would become subject to U.S. federal income tax on our taxable income and would no longer be required to distribute most of our net taxable income to our stockholders, which may have adverse consequences on the total return to our stockholders.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significant adverse consequences to us and the value of our stock.</w:t>
      </w:r>
    </w:p>
    <w:p>
      <w:pPr>
        <w:spacing w:after="0" w:line="110"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95" w:lineRule="exact"/>
        <w:rPr>
          <w:sz w:val="20"/>
          <w:szCs w:val="20"/>
          <w:color w:val="auto"/>
        </w:rPr>
      </w:pPr>
    </w:p>
    <w:p>
      <w:pPr>
        <w:ind w:left="880" w:right="80" w:hanging="426"/>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 would be subject to U.S. federal income tax at regular corporate rates;</w:t>
      </w:r>
    </w:p>
    <w:p>
      <w:pPr>
        <w:spacing w:after="0" w:line="87" w:lineRule="exact"/>
        <w:rPr>
          <w:rFonts w:ascii="Arial" w:cs="Arial" w:eastAsia="Arial" w:hAnsi="Arial"/>
          <w:sz w:val="18"/>
          <w:szCs w:val="18"/>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could be subject to the U.S. federal alternative minimum tax and possibly increased state and local taxes; and</w:t>
      </w:r>
    </w:p>
    <w:p>
      <w:pPr>
        <w:spacing w:after="0" w:line="122" w:lineRule="exact"/>
        <w:rPr>
          <w:rFonts w:ascii="Arial" w:cs="Arial" w:eastAsia="Arial" w:hAnsi="Arial"/>
          <w:sz w:val="18"/>
          <w:szCs w:val="18"/>
          <w:color w:val="auto"/>
        </w:rPr>
      </w:pPr>
    </w:p>
    <w:p>
      <w:pPr>
        <w:ind w:left="880" w:right="80" w:hanging="426"/>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we could not elect to be taxed as a REIT for four taxable years following a year during which we were disqualified.</w:t>
      </w:r>
    </w:p>
    <w:p>
      <w:pPr>
        <w:spacing w:after="0" w:line="180"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71"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Also, we must make distributions to stockholders aggregating annually at least 90% of our net taxable income, excluding capital gains, and we will be subject to income tax at regular corporate rates to the extent we distribute less than 100% of our net taxable income including capital gains. In addition, legislation, new regulations, administrative interpretations or court decisions may adversely affect our investors, our ability to qualify as a REIT for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tax purposes. We have not requested and do not plan to request a ruling from the Internal Revenue Service regarding our qualification as a REIT.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pay some taxes.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Even though we qualify as a REIT for U.S. federal income tax purposes, we will be required to pay some U.S. federal, state and local taxes on our income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 property. Extra Space Management, Inc. manages stores for our joint ventures and stores owned by third parties. We, jointly with Extra Space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elected to treat Extra Space Management, Inc. as a taxable REIT subsidiary (“TRS”) of our Company for U.S. federal income tax purposes.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taxable REIT subsidiary is a fully taxable corporation, and may be limited in its ability to deduct interest payments made to us. ESM Reinsurance Limited, a</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wholly-owned subsidiary of Extra Space Management, Inc., generates income from insurance premiums that are subject to federal income tax and state insurance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premiums tax. In addition, we will be subject to a 100% penalty tax on certain amounts if the economic arrangements among our tenants, our taxable REIT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subsidiary and us are not comparable to similar arrangements among unrelated parties or if we receive payments for inventory or property held for sale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customers in the ordinary course of business. Also, if we sell property as a dealer (i.e., to customers in the ordinary course of our trade or business), we will be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subject to a 100% penalty tax on any gain arising from such sales. While we don’t intend to sell stores as a dealer, the IRS could take a contrary position. To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extent that we are, or our taxable REIT subsidiary is, required to pay U.S. federal, state or local taxes, we will have less cash available for distribution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w:t>
      </w:r>
    </w:p>
    <w:p>
      <w:pPr>
        <w:spacing w:after="0" w:line="110"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To qualify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attractive business or investment opportunities. Thus, compliance with the REIT requirements may adversely affect our ability to operate solely to maximize profits.</w:t>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16"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As of December 31, 2015, we owned or had ownership interests in 999 operating stores. Of these stores, 746 are wholly-owned and 253 are held in joint ventures. In addition, we managed an additional 348 stores for third parties bringing the total number of stores which we own and/or manage to 1,347. These stores are located in 36 states, Washington, D.C. and Puerto Rico. We receive a management fee generally equal to approximately 6.0% of cash collected from total revenues to manage the joint venture and third party sites. As of December 31, 2015, we owned and/or managed approximately 101 million square feet of rentable space configured in approximately 896,000 separate storage units. Approximately 70% of our stores are clustered around large population centers, such as Atlanta, Baltimore/Washington, D.C., Boston, Chicago, Dallas, Houston, Las Vegas, Los Angeles, Miami, New York City, Orlando, Philadelphia, Phoenix, St. Petersburg/Tampa and San Francisco/Oakland. These markets contain above-average population and income demographics for stores.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07" w:lineRule="exact"/>
        <w:rPr>
          <w:sz w:val="20"/>
          <w:szCs w:val="20"/>
          <w:color w:val="auto"/>
        </w:rPr>
      </w:pPr>
    </w:p>
    <w:p>
      <w:pPr>
        <w:ind w:right="340" w:firstLine="457"/>
        <w:spacing w:after="0" w:line="363" w:lineRule="auto"/>
        <w:rPr>
          <w:sz w:val="20"/>
          <w:szCs w:val="20"/>
          <w:color w:val="auto"/>
        </w:rPr>
      </w:pPr>
      <w:r>
        <w:rPr>
          <w:rFonts w:ascii="Arial" w:cs="Arial" w:eastAsia="Arial" w:hAnsi="Arial"/>
          <w:sz w:val="15"/>
          <w:szCs w:val="15"/>
          <w:color w:val="auto"/>
        </w:rPr>
        <w:t>We consider a store to be in the lease-up stage after it has been issued a certificate of occupancy, but before it has achieved stabilization. We consider a store to be stabilized once it has achieved either an 80% occupancy rate for a full year measured as of January 1, or has been open for three years.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2"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firstLine="457"/>
        <w:spacing w:after="0" w:line="317" w:lineRule="auto"/>
        <w:rPr>
          <w:sz w:val="20"/>
          <w:szCs w:val="20"/>
          <w:color w:val="auto"/>
        </w:rPr>
      </w:pPr>
      <w:r>
        <w:rPr>
          <w:rFonts w:ascii="Arial" w:cs="Arial" w:eastAsia="Arial" w:hAnsi="Arial"/>
          <w:sz w:val="15"/>
          <w:szCs w:val="15"/>
          <w:color w:val="auto"/>
        </w:rPr>
        <w:t>As of December 31, 2015, approximately 800,000 tenants were leasing storage units at the 1,347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2015, the average length of stay was approximately 13.7 months.</w:t>
      </w:r>
    </w:p>
    <w:p>
      <w:pPr>
        <w:spacing w:after="0" w:line="145" w:lineRule="exact"/>
        <w:rPr>
          <w:sz w:val="20"/>
          <w:szCs w:val="20"/>
          <w:color w:val="auto"/>
        </w:rPr>
      </w:pPr>
    </w:p>
    <w:p>
      <w:pPr>
        <w:ind w:right="260" w:firstLine="457"/>
        <w:spacing w:after="0" w:line="250"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$14.83 for the year ended December 31, 2015, compared to $14.02 for the year ended December 31, 2014. Average annual rent per square foot for new leases was $15.41 for the year ended December 31, 2015, compared to $14.35 for the year ended December 31, 2014. The average discounts, as a percentage of rental revenues, during these periods were 3.3% and 3.8%, respectively.</w:t>
      </w:r>
    </w:p>
    <w:p>
      <w:pPr>
        <w:spacing w:after="0" w:line="193" w:lineRule="exact"/>
        <w:rPr>
          <w:sz w:val="20"/>
          <w:szCs w:val="20"/>
          <w:color w:val="auto"/>
        </w:rPr>
      </w:pPr>
    </w:p>
    <w:p>
      <w:pPr>
        <w:jc w:val="both"/>
        <w:ind w:right="80" w:firstLine="457"/>
        <w:spacing w:after="0" w:line="254" w:lineRule="auto"/>
        <w:rPr>
          <w:sz w:val="20"/>
          <w:szCs w:val="20"/>
          <w:color w:val="auto"/>
        </w:rPr>
      </w:pPr>
      <w:r>
        <w:rPr>
          <w:rFonts w:ascii="Arial" w:cs="Arial" w:eastAsia="Arial" w:hAnsi="Arial"/>
          <w:sz w:val="18"/>
          <w:szCs w:val="18"/>
          <w:color w:val="auto"/>
        </w:rPr>
        <w:t>Our store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8"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The following table presents additional information regarding the occupancy of our stabilized stores by state as of December 31, 2015 and 2014. The information as of December 31, 2014, is on a pro forma basis as though all the stores owned at December 31, 2015, were under our control as of December 31,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Store Data Based on Location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0"/>
              </w:rPr>
              <w:t>Company</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Pro forma</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Company</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Pro forma</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Company</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Pro forma</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7"/>
              </w:rPr>
              <w:t>Net Rentable</w:t>
            </w:r>
          </w:p>
        </w:tc>
        <w:tc>
          <w:tcPr>
            <w:tcW w:w="280" w:type="dxa"/>
            <w:vAlign w:val="bottom"/>
          </w:tcPr>
          <w:p>
            <w:pPr>
              <w:spacing w:after="0"/>
              <w:rPr>
                <w:sz w:val="10"/>
                <w:szCs w:val="10"/>
                <w:color w:val="auto"/>
              </w:rPr>
            </w:pPr>
          </w:p>
        </w:tc>
        <w:tc>
          <w:tcPr>
            <w:tcW w:w="8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7"/>
              </w:rPr>
              <w:t>Net Rentable</w:t>
            </w: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4"/>
              </w:rPr>
              <w:t>Number of</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88"/>
              </w:rPr>
              <w:t>Square Feet</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85"/>
              </w:rPr>
              <w:t>Square Feet</w:t>
            </w:r>
          </w:p>
        </w:tc>
        <w:tc>
          <w:tcPr>
            <w:tcW w:w="1200" w:type="dxa"/>
            <w:vAlign w:val="bottom"/>
            <w:gridSpan w:val="2"/>
          </w:tcPr>
          <w:p>
            <w:pPr>
              <w:jc w:val="center"/>
              <w:ind w:right="400"/>
              <w:spacing w:after="0" w:line="145" w:lineRule="exact"/>
              <w:rPr>
                <w:sz w:val="20"/>
                <w:szCs w:val="20"/>
                <w:color w:val="auto"/>
              </w:rPr>
            </w:pPr>
            <w:r>
              <w:rPr>
                <w:rFonts w:ascii="Arial" w:cs="Arial" w:eastAsia="Arial" w:hAnsi="Arial"/>
                <w:sz w:val="14"/>
                <w:szCs w:val="14"/>
                <w:color w:val="auto"/>
                <w:w w:val="88"/>
              </w:rPr>
              <w:t>Square Foot</w:t>
            </w: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0"/>
              </w:rPr>
              <w:t>Square Foot</w:t>
            </w: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3"/>
              </w:rPr>
              <w:t>Units as of</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3"/>
              </w:rPr>
              <w:t>Units as of</w:t>
            </w: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2"/>
              </w:rPr>
              <w:t>as of</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85"/>
              </w:rPr>
              <w:t>as of</w:t>
            </w:r>
          </w:p>
        </w:tc>
        <w:tc>
          <w:tcPr>
            <w:tcW w:w="1200" w:type="dxa"/>
            <w:vAlign w:val="bottom"/>
            <w:gridSpan w:val="2"/>
          </w:tcPr>
          <w:p>
            <w:pPr>
              <w:jc w:val="center"/>
              <w:ind w:right="400"/>
              <w:spacing w:after="0" w:line="145" w:lineRule="exact"/>
              <w:rPr>
                <w:sz w:val="20"/>
                <w:szCs w:val="20"/>
                <w:color w:val="auto"/>
              </w:rPr>
            </w:pPr>
            <w:r>
              <w:rPr>
                <w:rFonts w:ascii="Arial" w:cs="Arial" w:eastAsia="Arial" w:hAnsi="Arial"/>
                <w:sz w:val="14"/>
                <w:szCs w:val="14"/>
                <w:color w:val="auto"/>
                <w:w w:val="92"/>
              </w:rPr>
              <w:t>Occupancy %</w:t>
            </w: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0"/>
              </w:rPr>
              <w:t>Occupancy %</w:t>
            </w:r>
          </w:p>
        </w:tc>
        <w:tc>
          <w:tcPr>
            <w:tcW w:w="0" w:type="dxa"/>
            <w:vAlign w:val="bottom"/>
          </w:tcPr>
          <w:p>
            <w:pPr>
              <w:spacing w:after="0"/>
              <w:rPr>
                <w:sz w:val="1"/>
                <w:szCs w:val="1"/>
                <w:color w:val="auto"/>
              </w:rPr>
            </w:pPr>
          </w:p>
        </w:tc>
      </w:tr>
      <w:tr>
        <w:trPr>
          <w:trHeight w:val="145"/>
        </w:trPr>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Location</w:t>
            </w: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4"/>
              </w:rPr>
              <w:t>Number of</w:t>
            </w: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8"/>
              </w:rPr>
              <w:t>December 31,</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88"/>
              </w:rPr>
              <w:t>December 31,</w:t>
            </w: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0"/>
              </w:rPr>
              <w:t>December 31,</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88"/>
              </w:rPr>
              <w:t>December 31,</w:t>
            </w:r>
          </w:p>
        </w:tc>
        <w:tc>
          <w:tcPr>
            <w:tcW w:w="1200" w:type="dxa"/>
            <w:vAlign w:val="bottom"/>
            <w:gridSpan w:val="2"/>
          </w:tcPr>
          <w:p>
            <w:pPr>
              <w:jc w:val="center"/>
              <w:ind w:right="400"/>
              <w:spacing w:after="0" w:line="145" w:lineRule="exact"/>
              <w:rPr>
                <w:sz w:val="20"/>
                <w:szCs w:val="20"/>
                <w:color w:val="auto"/>
              </w:rPr>
            </w:pPr>
            <w:r>
              <w:rPr>
                <w:rFonts w:ascii="Arial" w:cs="Arial" w:eastAsia="Arial" w:hAnsi="Arial"/>
                <w:sz w:val="14"/>
                <w:szCs w:val="14"/>
                <w:color w:val="auto"/>
                <w:w w:val="90"/>
              </w:rPr>
              <w:t>December 31,</w:t>
            </w: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4"/>
        </w:trPr>
        <w:tc>
          <w:tcPr>
            <w:tcW w:w="3900" w:type="dxa"/>
            <w:vAlign w:val="bottom"/>
            <w:gridSpan w:val="2"/>
            <w:vMerge w:val="continue"/>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3"/>
              </w:rPr>
              <w:t>Stores</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2015 (1)</w:t>
            </w:r>
          </w:p>
        </w:tc>
        <w:tc>
          <w:tcPr>
            <w:tcW w:w="20" w:type="dxa"/>
            <w:vAlign w:val="bottom"/>
          </w:tcPr>
          <w:p>
            <w:pPr>
              <w:spacing w:after="0"/>
              <w:rPr>
                <w:sz w:val="14"/>
                <w:szCs w:val="14"/>
                <w:color w:val="auto"/>
              </w:rPr>
            </w:pPr>
          </w:p>
        </w:tc>
        <w:tc>
          <w:tcPr>
            <w:tcW w:w="1060" w:type="dxa"/>
            <w:vAlign w:val="bottom"/>
            <w:gridSpan w:val="2"/>
          </w:tcPr>
          <w:p>
            <w:pPr>
              <w:jc w:val="center"/>
              <w:ind w:left="173"/>
              <w:spacing w:after="0"/>
              <w:rPr>
                <w:sz w:val="20"/>
                <w:szCs w:val="20"/>
                <w:color w:val="auto"/>
              </w:rPr>
            </w:pPr>
            <w:r>
              <w:rPr>
                <w:rFonts w:ascii="Arial" w:cs="Arial" w:eastAsia="Arial" w:hAnsi="Arial"/>
                <w:sz w:val="14"/>
                <w:szCs w:val="14"/>
                <w:color w:val="auto"/>
                <w:w w:val="89"/>
              </w:rPr>
              <w:t>2014</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2015 (2)</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81"/>
              </w:rPr>
              <w:t>Wholly</w:t>
            </w:r>
          </w:p>
        </w:tc>
        <w:tc>
          <w:tcPr>
            <w:tcW w:w="3400" w:type="dxa"/>
            <w:vAlign w:val="bottom"/>
            <w:tcBorders>
              <w:top w:val="single" w:sz="8" w:color="CCEEFF"/>
            </w:tcBorders>
            <w:shd w:val="clear" w:color="auto" w:fill="CCEEFF"/>
          </w:tcPr>
          <w:p>
            <w:pPr>
              <w:ind w:left="60"/>
              <w:spacing w:after="0" w:line="191" w:lineRule="exact"/>
              <w:rPr>
                <w:sz w:val="20"/>
                <w:szCs w:val="20"/>
                <w:color w:val="auto"/>
              </w:rPr>
            </w:pPr>
            <w:r>
              <w:rPr>
                <w:rFonts w:ascii="Arial" w:cs="Arial" w:eastAsia="Arial" w:hAnsi="Arial"/>
                <w:sz w:val="18"/>
                <w:szCs w:val="18"/>
                <w:b w:val="1"/>
                <w:bCs w:val="1"/>
                <w:color w:val="auto"/>
              </w:rPr>
              <w:t>-Owned Stores</w:t>
            </w: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4,585</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4,511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559,526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559,226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10,477</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10,347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1,213,977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1,211,460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800" w:type="dxa"/>
            <w:vAlign w:val="bottom"/>
          </w:tcPr>
          <w:p>
            <w:pPr>
              <w:jc w:val="right"/>
              <w:spacing w:after="0"/>
              <w:rPr>
                <w:sz w:val="20"/>
                <w:szCs w:val="20"/>
                <w:color w:val="auto"/>
              </w:rPr>
            </w:pPr>
            <w:r>
              <w:rPr>
                <w:rFonts w:ascii="Arial" w:cs="Arial" w:eastAsia="Arial" w:hAnsi="Arial"/>
                <w:sz w:val="18"/>
                <w:szCs w:val="18"/>
                <w:color w:val="auto"/>
              </w:rPr>
              <w:t>102,569</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102,023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10,721,441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10,711,355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94.8%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5,913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737,569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739,274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3,132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298,936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299,734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93.1%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52,973</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52,457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5,719,626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5,692,917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27,287</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27,174</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3,549,077</w:t>
            </w:r>
          </w:p>
        </w:tc>
        <w:tc>
          <w:tcPr>
            <w:tcW w:w="860" w:type="dxa"/>
            <w:vAlign w:val="bottom"/>
          </w:tcPr>
          <w:p>
            <w:pPr>
              <w:jc w:val="right"/>
              <w:spacing w:after="0"/>
              <w:rPr>
                <w:sz w:val="20"/>
                <w:szCs w:val="20"/>
                <w:color w:val="auto"/>
              </w:rPr>
            </w:pPr>
            <w:r>
              <w:rPr>
                <w:rFonts w:ascii="Arial" w:cs="Arial" w:eastAsia="Arial" w:hAnsi="Arial"/>
                <w:sz w:val="18"/>
                <w:szCs w:val="18"/>
                <w:color w:val="auto"/>
              </w:rPr>
              <w:t>3,550,802</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90.2%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5,626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344,400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336,872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15,264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15,024</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1,673,669</w:t>
            </w:r>
          </w:p>
        </w:tc>
        <w:tc>
          <w:tcPr>
            <w:tcW w:w="860" w:type="dxa"/>
            <w:vAlign w:val="bottom"/>
          </w:tcPr>
          <w:p>
            <w:pPr>
              <w:jc w:val="right"/>
              <w:spacing w:after="0"/>
              <w:rPr>
                <w:sz w:val="20"/>
                <w:szCs w:val="20"/>
                <w:color w:val="auto"/>
              </w:rPr>
            </w:pPr>
            <w:r>
              <w:rPr>
                <w:rFonts w:ascii="Arial" w:cs="Arial" w:eastAsia="Arial" w:hAnsi="Arial"/>
                <w:sz w:val="18"/>
                <w:szCs w:val="18"/>
                <w:color w:val="auto"/>
              </w:rPr>
              <w:t>1,666,183</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4,754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556,143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555,335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Kansas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507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49,991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50,361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669,936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669,936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1,408</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150,090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149,990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92.1%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18,129</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17,872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1,876,784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1,875,010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23,172</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22,913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2,316,364</w:t>
            </w:r>
          </w:p>
        </w:tc>
        <w:tc>
          <w:tcPr>
            <w:tcW w:w="860" w:type="dxa"/>
            <w:vAlign w:val="bottom"/>
          </w:tcPr>
          <w:p>
            <w:pPr>
              <w:jc w:val="right"/>
              <w:spacing w:after="0"/>
              <w:rPr>
                <w:sz w:val="20"/>
                <w:szCs w:val="20"/>
                <w:color w:val="auto"/>
              </w:rPr>
            </w:pPr>
            <w:r>
              <w:rPr>
                <w:rFonts w:ascii="Arial" w:cs="Arial" w:eastAsia="Arial" w:hAnsi="Arial"/>
                <w:sz w:val="18"/>
                <w:szCs w:val="18"/>
                <w:color w:val="auto"/>
              </w:rPr>
              <w:t>2,315,612</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1,799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258,001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254,239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1,477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221,482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221,482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81.9%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385,961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386,151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Nevada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800" w:type="dxa"/>
            <w:vAlign w:val="bottom"/>
          </w:tcPr>
          <w:p>
            <w:pPr>
              <w:jc w:val="right"/>
              <w:spacing w:after="0"/>
              <w:rPr>
                <w:sz w:val="20"/>
                <w:szCs w:val="20"/>
                <w:color w:val="auto"/>
              </w:rPr>
            </w:pPr>
            <w:r>
              <w:rPr>
                <w:rFonts w:ascii="Arial" w:cs="Arial" w:eastAsia="Arial" w:hAnsi="Arial"/>
                <w:sz w:val="18"/>
                <w:szCs w:val="18"/>
                <w:color w:val="auto"/>
              </w:rPr>
              <w:t>8,643</w:t>
            </w:r>
          </w:p>
        </w:tc>
        <w:tc>
          <w:tcPr>
            <w:tcW w:w="2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8,667</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1,262,065</w:t>
            </w:r>
          </w:p>
        </w:tc>
        <w:tc>
          <w:tcPr>
            <w:tcW w:w="860" w:type="dxa"/>
            <w:vAlign w:val="bottom"/>
          </w:tcPr>
          <w:p>
            <w:pPr>
              <w:jc w:val="right"/>
              <w:spacing w:after="0"/>
              <w:rPr>
                <w:sz w:val="20"/>
                <w:szCs w:val="20"/>
                <w:color w:val="auto"/>
              </w:rPr>
            </w:pPr>
            <w:r>
              <w:rPr>
                <w:rFonts w:ascii="Arial" w:cs="Arial" w:eastAsia="Arial" w:hAnsi="Arial"/>
                <w:sz w:val="18"/>
                <w:szCs w:val="18"/>
                <w:color w:val="auto"/>
              </w:rPr>
              <w:t>1,262,025</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89.8%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126,133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125,748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43,537</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43,380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4,239,282</w:t>
            </w:r>
          </w:p>
        </w:tc>
        <w:tc>
          <w:tcPr>
            <w:tcW w:w="860" w:type="dxa"/>
            <w:vAlign w:val="bottom"/>
          </w:tcPr>
          <w:p>
            <w:pPr>
              <w:jc w:val="right"/>
              <w:spacing w:after="0"/>
              <w:rPr>
                <w:sz w:val="20"/>
                <w:szCs w:val="20"/>
                <w:color w:val="auto"/>
              </w:rPr>
            </w:pPr>
            <w:r>
              <w:rPr>
                <w:rFonts w:ascii="Arial" w:cs="Arial" w:eastAsia="Arial" w:hAnsi="Arial"/>
                <w:sz w:val="18"/>
                <w:szCs w:val="18"/>
                <w:color w:val="auto"/>
              </w:rPr>
              <w:t>4,233,078</w:t>
            </w: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221,292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217,074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13"/>
              <w:spacing w:after="0"/>
              <w:rPr>
                <w:sz w:val="20"/>
                <w:szCs w:val="20"/>
                <w:color w:val="auto"/>
              </w:rPr>
            </w:pPr>
            <w:r>
              <w:rPr>
                <w:rFonts w:ascii="Arial" w:cs="Arial" w:eastAsia="Arial" w:hAnsi="Arial"/>
                <w:sz w:val="18"/>
                <w:szCs w:val="18"/>
                <w:color w:val="auto"/>
                <w:w w:val="79"/>
              </w:rPr>
              <w:t>21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Company</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Pro forma</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Company</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Pro forma</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color w:val="auto"/>
                <w:w w:val="90"/>
              </w:rPr>
              <w:t>Company</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Pro forma</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7"/>
              </w:rPr>
              <w:t>Net Rentable</w:t>
            </w:r>
          </w:p>
        </w:tc>
        <w:tc>
          <w:tcPr>
            <w:tcW w:w="38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4"/>
              </w:rPr>
              <w:t>Net Rentable</w:t>
            </w:r>
          </w:p>
        </w:tc>
        <w:tc>
          <w:tcPr>
            <w:tcW w:w="3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1"/>
              </w:rPr>
              <w:t>Number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1"/>
              </w:rPr>
              <w:t>Number of</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5"/>
              </w:rPr>
              <w:t>Square Feet</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88"/>
              </w:rPr>
              <w:t>Square Feet</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90"/>
              </w:rPr>
              <w:t>Square Foot</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8"/>
              </w:rPr>
              <w:t>Square Foot</w:t>
            </w: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Units as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Units as of</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5"/>
              </w:rPr>
              <w:t>as of</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2"/>
              </w:rPr>
              <w:t>as of</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90"/>
              </w:rPr>
              <w:t>Occupancy %</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5"/>
        </w:trPr>
        <w:tc>
          <w:tcPr>
            <w:tcW w:w="3380" w:type="dxa"/>
            <w:vAlign w:val="bottom"/>
            <w:gridSpan w:val="2"/>
            <w:vMerge w:val="restart"/>
          </w:tcPr>
          <w:p>
            <w:pPr>
              <w:spacing w:after="0"/>
              <w:rPr>
                <w:sz w:val="20"/>
                <w:szCs w:val="20"/>
                <w:color w:val="auto"/>
              </w:rPr>
            </w:pPr>
            <w:r>
              <w:rPr>
                <w:rFonts w:ascii="Arial" w:cs="Arial" w:eastAsia="Arial" w:hAnsi="Arial"/>
                <w:sz w:val="14"/>
                <w:szCs w:val="14"/>
                <w:color w:val="auto"/>
              </w:rPr>
              <w:t>Location</w:t>
            </w: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1"/>
              </w:rPr>
              <w:t>Number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December 31,</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December 31,</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8"/>
              </w:rPr>
              <w:t>December 31,</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0"/>
              </w:rPr>
              <w:t>December 31,</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88"/>
              </w:rPr>
              <w:t>December 31,</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Stores</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2015 (1)</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2015 (2)</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5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New York</w:t>
            </w:r>
          </w:p>
        </w:tc>
        <w:tc>
          <w:tcPr>
            <w:tcW w:w="6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21</w:t>
            </w:r>
          </w:p>
        </w:tc>
        <w:tc>
          <w:tcPr>
            <w:tcW w:w="3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18,431</w:t>
            </w:r>
          </w:p>
        </w:tc>
        <w:tc>
          <w:tcPr>
            <w:tcW w:w="3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18,336</w:t>
            </w:r>
          </w:p>
        </w:tc>
        <w:tc>
          <w:tcPr>
            <w:tcW w:w="3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1,546,216</w:t>
            </w:r>
          </w:p>
        </w:tc>
        <w:tc>
          <w:tcPr>
            <w:tcW w:w="38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1,544,963</w:t>
            </w:r>
          </w:p>
        </w:tc>
        <w:tc>
          <w:tcPr>
            <w:tcW w:w="38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480"/>
              <w:spacing w:after="0" w:line="204" w:lineRule="exact"/>
              <w:rPr>
                <w:sz w:val="20"/>
                <w:szCs w:val="20"/>
                <w:color w:val="auto"/>
              </w:rPr>
            </w:pPr>
            <w:r>
              <w:rPr>
                <w:rFonts w:ascii="Arial" w:cs="Arial" w:eastAsia="Arial" w:hAnsi="Arial"/>
                <w:sz w:val="18"/>
                <w:szCs w:val="18"/>
                <w:color w:val="auto"/>
              </w:rPr>
              <w:t>91.6%</w:t>
            </w:r>
          </w:p>
        </w:tc>
        <w:tc>
          <w:tcPr>
            <w:tcW w:w="1020" w:type="dxa"/>
            <w:vAlign w:val="bottom"/>
            <w:gridSpan w:val="2"/>
            <w:shd w:val="clear" w:color="auto" w:fill="CCEEFF"/>
          </w:tcPr>
          <w:p>
            <w:pPr>
              <w:ind w:left="500"/>
              <w:spacing w:after="0" w:line="204" w:lineRule="exact"/>
              <w:rPr>
                <w:sz w:val="20"/>
                <w:szCs w:val="20"/>
                <w:color w:val="auto"/>
              </w:rPr>
            </w:pPr>
            <w:r>
              <w:rPr>
                <w:rFonts w:ascii="Arial" w:cs="Arial" w:eastAsia="Arial" w:hAnsi="Arial"/>
                <w:sz w:val="18"/>
                <w:szCs w:val="18"/>
                <w:color w:val="auto"/>
                <w:w w:val="97"/>
              </w:rPr>
              <w:t>90.5%</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6,806</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6,736</w:t>
            </w:r>
          </w:p>
        </w:tc>
        <w:tc>
          <w:tcPr>
            <w:tcW w:w="840" w:type="dxa"/>
            <w:vAlign w:val="bottom"/>
          </w:tcPr>
          <w:p>
            <w:pPr>
              <w:jc w:val="right"/>
              <w:spacing w:after="0"/>
              <w:rPr>
                <w:sz w:val="20"/>
                <w:szCs w:val="20"/>
                <w:color w:val="auto"/>
              </w:rPr>
            </w:pPr>
            <w:r>
              <w:rPr>
                <w:rFonts w:ascii="Arial" w:cs="Arial" w:eastAsia="Arial" w:hAnsi="Arial"/>
                <w:sz w:val="18"/>
                <w:szCs w:val="18"/>
                <w:color w:val="auto"/>
              </w:rPr>
              <w:t>761,323</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760,151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89.8%</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1,485,653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1,481,342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89.9%</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Oregon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2,753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2,749</w:t>
            </w:r>
          </w:p>
        </w:tc>
        <w:tc>
          <w:tcPr>
            <w:tcW w:w="840" w:type="dxa"/>
            <w:vAlign w:val="bottom"/>
          </w:tcPr>
          <w:p>
            <w:pPr>
              <w:jc w:val="right"/>
              <w:spacing w:after="0"/>
              <w:rPr>
                <w:sz w:val="20"/>
                <w:szCs w:val="20"/>
                <w:color w:val="auto"/>
              </w:rPr>
            </w:pPr>
            <w:r>
              <w:rPr>
                <w:rFonts w:ascii="Arial" w:cs="Arial" w:eastAsia="Arial" w:hAnsi="Arial"/>
                <w:sz w:val="18"/>
                <w:szCs w:val="18"/>
                <w:color w:val="auto"/>
              </w:rPr>
              <w:t>326,477</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326,797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86.9%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87.5%</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9,651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1,044,720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1,040,898</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87.3%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86.6%</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1,235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1,198</w:t>
            </w:r>
          </w:p>
        </w:tc>
        <w:tc>
          <w:tcPr>
            <w:tcW w:w="840" w:type="dxa"/>
            <w:vAlign w:val="bottom"/>
          </w:tcPr>
          <w:p>
            <w:pPr>
              <w:jc w:val="right"/>
              <w:spacing w:after="0"/>
              <w:rPr>
                <w:sz w:val="20"/>
                <w:szCs w:val="20"/>
                <w:color w:val="auto"/>
              </w:rPr>
            </w:pPr>
            <w:r>
              <w:rPr>
                <w:rFonts w:ascii="Arial" w:cs="Arial" w:eastAsia="Arial" w:hAnsi="Arial"/>
                <w:sz w:val="18"/>
                <w:szCs w:val="18"/>
                <w:color w:val="auto"/>
              </w:rPr>
              <w:t>131,356</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131,291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91.4%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94.7%</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10,658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1,442,690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1,440,561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87.5%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87.8%</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10,330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10,320</w:t>
            </w:r>
          </w:p>
        </w:tc>
        <w:tc>
          <w:tcPr>
            <w:tcW w:w="840" w:type="dxa"/>
            <w:vAlign w:val="bottom"/>
          </w:tcPr>
          <w:p>
            <w:pPr>
              <w:jc w:val="right"/>
              <w:spacing w:after="0"/>
              <w:rPr>
                <w:sz w:val="20"/>
                <w:szCs w:val="20"/>
                <w:color w:val="auto"/>
              </w:rPr>
            </w:pPr>
            <w:r>
              <w:rPr>
                <w:rFonts w:ascii="Arial" w:cs="Arial" w:eastAsia="Arial" w:hAnsi="Arial"/>
                <w:sz w:val="18"/>
                <w:szCs w:val="18"/>
                <w:color w:val="auto"/>
              </w:rPr>
              <w:t>1,458,806</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1,457,297</w:t>
            </w:r>
          </w:p>
        </w:tc>
        <w:tc>
          <w:tcPr>
            <w:tcW w:w="38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88.8%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89.6%</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45,967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5,866,304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5,868,530</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89.7%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88.6%</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Utah</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4,231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4,242</w:t>
            </w:r>
          </w:p>
        </w:tc>
        <w:tc>
          <w:tcPr>
            <w:tcW w:w="840" w:type="dxa"/>
            <w:vAlign w:val="bottom"/>
          </w:tcPr>
          <w:p>
            <w:pPr>
              <w:jc w:val="right"/>
              <w:spacing w:after="0"/>
              <w:rPr>
                <w:sz w:val="20"/>
                <w:szCs w:val="20"/>
                <w:color w:val="auto"/>
              </w:rPr>
            </w:pPr>
            <w:r>
              <w:rPr>
                <w:rFonts w:ascii="Arial" w:cs="Arial" w:eastAsia="Arial" w:hAnsi="Arial"/>
                <w:sz w:val="18"/>
                <w:szCs w:val="18"/>
                <w:color w:val="auto"/>
              </w:rPr>
              <w:t>523,056</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523,056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94.1%</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88.9%</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27,091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2,894,720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2,876,843</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89.4%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86.1%</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428,678</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427,783</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93.9%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88.8%</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Wholly-Owned Stabilized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494,637</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490,989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55,061,744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54,963,376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91.4%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7"/>
              </w:rPr>
              <w:t>90.0%</w:t>
            </w:r>
          </w:p>
        </w:tc>
        <w:tc>
          <w:tcPr>
            <w:tcW w:w="0" w:type="dxa"/>
            <w:vAlign w:val="bottom"/>
          </w:tcPr>
          <w:p>
            <w:pPr>
              <w:spacing w:after="0"/>
              <w:rPr>
                <w:sz w:val="1"/>
                <w:szCs w:val="1"/>
                <w:color w:val="auto"/>
              </w:rPr>
            </w:pPr>
          </w:p>
        </w:tc>
      </w:tr>
      <w:tr>
        <w:trPr>
          <w:trHeight w:val="217"/>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Joint-Venture Stores</w:t>
            </w: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145,056</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145,146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95.5%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88.2%</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4,301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4,253</w:t>
            </w:r>
          </w:p>
        </w:tc>
        <w:tc>
          <w:tcPr>
            <w:tcW w:w="840" w:type="dxa"/>
            <w:vAlign w:val="bottom"/>
          </w:tcPr>
          <w:p>
            <w:pPr>
              <w:jc w:val="right"/>
              <w:spacing w:after="0"/>
              <w:rPr>
                <w:sz w:val="20"/>
                <w:szCs w:val="20"/>
                <w:color w:val="auto"/>
              </w:rPr>
            </w:pPr>
            <w:r>
              <w:rPr>
                <w:rFonts w:ascii="Arial" w:cs="Arial" w:eastAsia="Arial" w:hAnsi="Arial"/>
                <w:sz w:val="18"/>
                <w:szCs w:val="18"/>
                <w:color w:val="auto"/>
              </w:rPr>
              <w:t>491,813</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492,578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93.9%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92.4%</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47,532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4,826,714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4,828,196</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95.3%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93.5%</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1,308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1,318</w:t>
            </w:r>
          </w:p>
        </w:tc>
        <w:tc>
          <w:tcPr>
            <w:tcW w:w="840" w:type="dxa"/>
            <w:vAlign w:val="bottom"/>
          </w:tcPr>
          <w:p>
            <w:pPr>
              <w:jc w:val="right"/>
              <w:spacing w:after="0"/>
              <w:rPr>
                <w:sz w:val="20"/>
                <w:szCs w:val="20"/>
                <w:color w:val="auto"/>
              </w:rPr>
            </w:pPr>
            <w:r>
              <w:rPr>
                <w:rFonts w:ascii="Arial" w:cs="Arial" w:eastAsia="Arial" w:hAnsi="Arial"/>
                <w:sz w:val="18"/>
                <w:szCs w:val="18"/>
                <w:color w:val="auto"/>
              </w:rPr>
              <w:t>158,375</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159,220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93.9%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94.1%</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611,680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611,625</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92.6%</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92.2%</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597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591</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71,610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71,705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81.2%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93.2%</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13,295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1,295,165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1,295,967</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93.3%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92.1%</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1,084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1,069</w:t>
            </w:r>
          </w:p>
        </w:tc>
        <w:tc>
          <w:tcPr>
            <w:tcW w:w="840" w:type="dxa"/>
            <w:vAlign w:val="bottom"/>
          </w:tcPr>
          <w:p>
            <w:pPr>
              <w:jc w:val="right"/>
              <w:spacing w:after="0"/>
              <w:rPr>
                <w:sz w:val="20"/>
                <w:szCs w:val="20"/>
                <w:color w:val="auto"/>
              </w:rPr>
            </w:pPr>
            <w:r>
              <w:rPr>
                <w:rFonts w:ascii="Arial" w:cs="Arial" w:eastAsia="Arial" w:hAnsi="Arial"/>
                <w:sz w:val="18"/>
                <w:szCs w:val="18"/>
                <w:color w:val="auto"/>
              </w:rPr>
              <w:t>151,134</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152,794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91.6%</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366,155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365,183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90.2%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92.0%</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2,257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2,206</w:t>
            </w:r>
          </w:p>
        </w:tc>
        <w:tc>
          <w:tcPr>
            <w:tcW w:w="840" w:type="dxa"/>
            <w:vAlign w:val="bottom"/>
          </w:tcPr>
          <w:p>
            <w:pPr>
              <w:jc w:val="right"/>
              <w:spacing w:after="0"/>
              <w:rPr>
                <w:sz w:val="20"/>
                <w:szCs w:val="20"/>
                <w:color w:val="auto"/>
              </w:rPr>
            </w:pPr>
            <w:r>
              <w:rPr>
                <w:rFonts w:ascii="Arial" w:cs="Arial" w:eastAsia="Arial" w:hAnsi="Arial"/>
                <w:sz w:val="18"/>
                <w:szCs w:val="18"/>
                <w:color w:val="auto"/>
              </w:rPr>
              <w:t>288,415</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288,028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90.3%</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109,375</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90.5%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92.0%</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2,283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2,274</w:t>
            </w:r>
          </w:p>
        </w:tc>
        <w:tc>
          <w:tcPr>
            <w:tcW w:w="840" w:type="dxa"/>
            <w:vAlign w:val="bottom"/>
          </w:tcPr>
          <w:p>
            <w:pPr>
              <w:jc w:val="right"/>
              <w:spacing w:after="0"/>
              <w:rPr>
                <w:sz w:val="20"/>
                <w:szCs w:val="20"/>
                <w:color w:val="auto"/>
              </w:rPr>
            </w:pPr>
            <w:r>
              <w:rPr>
                <w:rFonts w:ascii="Arial" w:cs="Arial" w:eastAsia="Arial" w:hAnsi="Arial"/>
                <w:sz w:val="18"/>
                <w:szCs w:val="18"/>
                <w:color w:val="auto"/>
              </w:rPr>
              <w:t>257,199</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257,439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87.2%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87.0%</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957,805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955,190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90.6%</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7,012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6,946</w:t>
            </w:r>
          </w:p>
        </w:tc>
        <w:tc>
          <w:tcPr>
            <w:tcW w:w="840" w:type="dxa"/>
            <w:vAlign w:val="bottom"/>
          </w:tcPr>
          <w:p>
            <w:pPr>
              <w:jc w:val="right"/>
              <w:spacing w:after="0"/>
              <w:rPr>
                <w:sz w:val="20"/>
                <w:szCs w:val="20"/>
                <w:color w:val="auto"/>
              </w:rPr>
            </w:pPr>
            <w:r>
              <w:rPr>
                <w:rFonts w:ascii="Arial" w:cs="Arial" w:eastAsia="Arial" w:hAnsi="Arial"/>
                <w:sz w:val="18"/>
                <w:szCs w:val="18"/>
                <w:color w:val="auto"/>
              </w:rPr>
              <w:t>774,897</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784,024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90.6%</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615,013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613,403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92.1%</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534</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61,075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61,075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91.7%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91.3%</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252,862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253,013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91.8%</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801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792</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85,111</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84,391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94.8%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90.4%</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13,041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1,358,645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1,356,864</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89.9%</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3,649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3,602</w:t>
            </w:r>
          </w:p>
        </w:tc>
        <w:tc>
          <w:tcPr>
            <w:tcW w:w="840" w:type="dxa"/>
            <w:vAlign w:val="bottom"/>
          </w:tcPr>
          <w:p>
            <w:pPr>
              <w:jc w:val="right"/>
              <w:spacing w:after="0"/>
              <w:rPr>
                <w:sz w:val="20"/>
                <w:szCs w:val="20"/>
                <w:color w:val="auto"/>
              </w:rPr>
            </w:pPr>
            <w:r>
              <w:rPr>
                <w:rFonts w:ascii="Arial" w:cs="Arial" w:eastAsia="Arial" w:hAnsi="Arial"/>
                <w:sz w:val="18"/>
                <w:szCs w:val="18"/>
                <w:color w:val="auto"/>
              </w:rPr>
              <w:t>396,575</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397,494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92.1%</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89.5%</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971,181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977,351</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92.0%</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Ohio</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3,154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3,128</w:t>
            </w:r>
          </w:p>
        </w:tc>
        <w:tc>
          <w:tcPr>
            <w:tcW w:w="840" w:type="dxa"/>
            <w:vAlign w:val="bottom"/>
          </w:tcPr>
          <w:p>
            <w:pPr>
              <w:jc w:val="right"/>
              <w:spacing w:after="0"/>
              <w:rPr>
                <w:sz w:val="20"/>
                <w:szCs w:val="20"/>
                <w:color w:val="auto"/>
              </w:rPr>
            </w:pPr>
            <w:r>
              <w:rPr>
                <w:rFonts w:ascii="Arial" w:cs="Arial" w:eastAsia="Arial" w:hAnsi="Arial"/>
                <w:sz w:val="18"/>
                <w:szCs w:val="18"/>
                <w:color w:val="auto"/>
              </w:rPr>
              <w:t>414,962</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414,929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87.6%</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64,970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64,970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94.0%</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91.8%</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6,349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6,343</w:t>
            </w:r>
          </w:p>
        </w:tc>
        <w:tc>
          <w:tcPr>
            <w:tcW w:w="840" w:type="dxa"/>
            <w:vAlign w:val="bottom"/>
          </w:tcPr>
          <w:p>
            <w:pPr>
              <w:jc w:val="right"/>
              <w:spacing w:after="0"/>
              <w:rPr>
                <w:sz w:val="20"/>
                <w:szCs w:val="20"/>
                <w:color w:val="auto"/>
              </w:rPr>
            </w:pPr>
            <w:r>
              <w:rPr>
                <w:rFonts w:ascii="Arial" w:cs="Arial" w:eastAsia="Arial" w:hAnsi="Arial"/>
                <w:sz w:val="18"/>
                <w:szCs w:val="18"/>
                <w:color w:val="auto"/>
              </w:rPr>
              <w:t>698,214</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697,232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90.2%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90.4%</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956,108</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957,243</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90.5%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91.9%</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Texas</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8,493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8,444</w:t>
            </w:r>
          </w:p>
        </w:tc>
        <w:tc>
          <w:tcPr>
            <w:tcW w:w="840" w:type="dxa"/>
            <w:vAlign w:val="bottom"/>
          </w:tcPr>
          <w:p>
            <w:pPr>
              <w:jc w:val="right"/>
              <w:spacing w:after="0"/>
              <w:rPr>
                <w:sz w:val="20"/>
                <w:szCs w:val="20"/>
                <w:color w:val="auto"/>
              </w:rPr>
            </w:pPr>
            <w:r>
              <w:rPr>
                <w:rFonts w:ascii="Arial" w:cs="Arial" w:eastAsia="Arial" w:hAnsi="Arial"/>
                <w:sz w:val="18"/>
                <w:szCs w:val="18"/>
                <w:color w:val="auto"/>
              </w:rPr>
              <w:t>1,131,665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1,128,000</w:t>
            </w:r>
          </w:p>
        </w:tc>
        <w:tc>
          <w:tcPr>
            <w:tcW w:w="38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94.1%</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94.5%</w:t>
            </w:r>
          </w:p>
        </w:tc>
        <w:tc>
          <w:tcPr>
            <w:tcW w:w="0" w:type="dxa"/>
            <w:vAlign w:val="bottom"/>
          </w:tcPr>
          <w:p>
            <w:pPr>
              <w:spacing w:after="0"/>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8,674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918,172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917,914</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89.4%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90.7%</w:t>
            </w:r>
          </w:p>
        </w:tc>
        <w:tc>
          <w:tcPr>
            <w:tcW w:w="0" w:type="dxa"/>
            <w:vAlign w:val="bottom"/>
          </w:tcPr>
          <w:p>
            <w:pPr>
              <w:spacing w:after="0"/>
              <w:rPr>
                <w:sz w:val="1"/>
                <w:szCs w:val="1"/>
                <w:color w:val="auto"/>
              </w:rPr>
            </w:pPr>
          </w:p>
        </w:tc>
      </w:tr>
      <w:tr>
        <w:trPr>
          <w:trHeight w:val="211"/>
        </w:trPr>
        <w:tc>
          <w:tcPr>
            <w:tcW w:w="338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102,488</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102,017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89.4%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92.8%</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Joint-Venture Stabilized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173,811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172,569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18,532,224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18,542,366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92.8%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7"/>
              </w:rPr>
              <w:t>91.9%</w:t>
            </w:r>
          </w:p>
        </w:tc>
        <w:tc>
          <w:tcPr>
            <w:tcW w:w="0" w:type="dxa"/>
            <w:vAlign w:val="bottom"/>
          </w:tcPr>
          <w:p>
            <w:pPr>
              <w:spacing w:after="0"/>
              <w:rPr>
                <w:sz w:val="1"/>
                <w:szCs w:val="1"/>
                <w:color w:val="auto"/>
              </w:rPr>
            </w:pPr>
          </w:p>
        </w:tc>
      </w:tr>
      <w:tr>
        <w:trPr>
          <w:trHeight w:val="362"/>
        </w:trPr>
        <w:tc>
          <w:tcPr>
            <w:tcW w:w="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Company</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Pro forma</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Company</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Pro forma</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color w:val="auto"/>
                <w:w w:val="90"/>
              </w:rPr>
              <w:t>Company</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Pro forma</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7"/>
              </w:rPr>
              <w:t>Net Rentable</w:t>
            </w:r>
          </w:p>
        </w:tc>
        <w:tc>
          <w:tcPr>
            <w:tcW w:w="380" w:type="dxa"/>
            <w:vAlign w:val="bottom"/>
          </w:tcPr>
          <w:p>
            <w:pPr>
              <w:spacing w:after="0"/>
              <w:rPr>
                <w:sz w:val="10"/>
                <w:szCs w:val="10"/>
                <w:color w:val="auto"/>
              </w:rPr>
            </w:pPr>
          </w:p>
        </w:tc>
        <w:tc>
          <w:tcPr>
            <w:tcW w:w="8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4"/>
              </w:rPr>
              <w:t>Net Rentable</w:t>
            </w:r>
          </w:p>
        </w:tc>
        <w:tc>
          <w:tcPr>
            <w:tcW w:w="3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1"/>
              </w:rPr>
              <w:t>Number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1"/>
              </w:rPr>
              <w:t>Number of</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5"/>
              </w:rPr>
              <w:t>Square Feet</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88"/>
              </w:rPr>
              <w:t>Square Feet</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90"/>
              </w:rPr>
              <w:t>Square Foot</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8"/>
              </w:rPr>
              <w:t>Square Foot</w:t>
            </w: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Units as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Units as of</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5"/>
              </w:rPr>
              <w:t>as of</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2"/>
              </w:rPr>
              <w:t>as of</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90"/>
              </w:rPr>
              <w:t>Occupancy %</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5"/>
        </w:trPr>
        <w:tc>
          <w:tcPr>
            <w:tcW w:w="3380" w:type="dxa"/>
            <w:vAlign w:val="bottom"/>
            <w:gridSpan w:val="3"/>
            <w:vMerge w:val="restart"/>
          </w:tcPr>
          <w:p>
            <w:pPr>
              <w:spacing w:after="0"/>
              <w:rPr>
                <w:sz w:val="20"/>
                <w:szCs w:val="20"/>
                <w:color w:val="auto"/>
              </w:rPr>
            </w:pPr>
            <w:r>
              <w:rPr>
                <w:rFonts w:ascii="Arial" w:cs="Arial" w:eastAsia="Arial" w:hAnsi="Arial"/>
                <w:sz w:val="14"/>
                <w:szCs w:val="14"/>
                <w:color w:val="auto"/>
              </w:rPr>
              <w:t>Location</w:t>
            </w: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1"/>
              </w:rPr>
              <w:t>Number of</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December 31,</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0"/>
              </w:rPr>
              <w:t>December 31,</w:t>
            </w: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8"/>
              </w:rPr>
              <w:t>December 31,</w:t>
            </w:r>
          </w:p>
        </w:tc>
        <w:tc>
          <w:tcPr>
            <w:tcW w:w="1220" w:type="dxa"/>
            <w:vAlign w:val="bottom"/>
            <w:gridSpan w:val="2"/>
          </w:tcPr>
          <w:p>
            <w:pPr>
              <w:jc w:val="center"/>
              <w:ind w:right="380"/>
              <w:spacing w:after="0" w:line="145" w:lineRule="exact"/>
              <w:rPr>
                <w:sz w:val="20"/>
                <w:szCs w:val="20"/>
                <w:color w:val="auto"/>
              </w:rPr>
            </w:pPr>
            <w:r>
              <w:rPr>
                <w:rFonts w:ascii="Arial" w:cs="Arial" w:eastAsia="Arial" w:hAnsi="Arial"/>
                <w:sz w:val="14"/>
                <w:szCs w:val="14"/>
                <w:color w:val="auto"/>
                <w:w w:val="90"/>
              </w:rPr>
              <w:t>December 31,</w:t>
            </w:r>
          </w:p>
        </w:tc>
        <w:tc>
          <w:tcPr>
            <w:tcW w:w="1280" w:type="dxa"/>
            <w:vAlign w:val="bottom"/>
            <w:gridSpan w:val="2"/>
          </w:tcPr>
          <w:p>
            <w:pPr>
              <w:jc w:val="center"/>
              <w:ind w:right="500"/>
              <w:spacing w:after="0" w:line="145" w:lineRule="exact"/>
              <w:rPr>
                <w:sz w:val="20"/>
                <w:szCs w:val="20"/>
                <w:color w:val="auto"/>
              </w:rPr>
            </w:pPr>
            <w:r>
              <w:rPr>
                <w:rFonts w:ascii="Arial" w:cs="Arial" w:eastAsia="Arial" w:hAnsi="Arial"/>
                <w:sz w:val="14"/>
                <w:szCs w:val="14"/>
                <w:color w:val="auto"/>
                <w:w w:val="88"/>
              </w:rPr>
              <w:t>December 31,</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4"/>
        </w:trPr>
        <w:tc>
          <w:tcPr>
            <w:tcW w:w="3380" w:type="dxa"/>
            <w:vAlign w:val="bottom"/>
            <w:gridSpan w:val="3"/>
            <w:vMerge w:val="continue"/>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Stores</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2015 (1)</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2015 (2)</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5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gridSpan w:val="3"/>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Managed Stores</w:t>
            </w:r>
          </w:p>
        </w:tc>
        <w:tc>
          <w:tcPr>
            <w:tcW w:w="620" w:type="dxa"/>
            <w:vAlign w:val="bottom"/>
            <w:shd w:val="clear" w:color="auto" w:fill="CCEEFF"/>
          </w:tcPr>
          <w:p>
            <w:pPr>
              <w:spacing w:after="0"/>
              <w:rPr>
                <w:sz w:val="16"/>
                <w:szCs w:val="16"/>
                <w:color w:val="auto"/>
              </w:rPr>
            </w:pPr>
          </w:p>
        </w:tc>
        <w:tc>
          <w:tcPr>
            <w:tcW w:w="360" w:type="dxa"/>
            <w:vAlign w:val="bottom"/>
            <w:tcBorders>
              <w:lef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Alabama</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5,020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4,993</w:t>
            </w:r>
          </w:p>
        </w:tc>
        <w:tc>
          <w:tcPr>
            <w:tcW w:w="840" w:type="dxa"/>
            <w:vAlign w:val="bottom"/>
          </w:tcPr>
          <w:p>
            <w:pPr>
              <w:jc w:val="right"/>
              <w:spacing w:after="0"/>
              <w:rPr>
                <w:sz w:val="20"/>
                <w:szCs w:val="20"/>
                <w:color w:val="auto"/>
              </w:rPr>
            </w:pPr>
            <w:r>
              <w:rPr>
                <w:rFonts w:ascii="Arial" w:cs="Arial" w:eastAsia="Arial" w:hAnsi="Arial"/>
                <w:sz w:val="18"/>
                <w:szCs w:val="18"/>
                <w:color w:val="auto"/>
              </w:rPr>
              <w:t>668,563</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677,723</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86.9%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85.1%</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Arizona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228,131</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93.8%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91.6%</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53,335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54,014</w:t>
            </w:r>
          </w:p>
        </w:tc>
        <w:tc>
          <w:tcPr>
            <w:tcW w:w="840" w:type="dxa"/>
            <w:vAlign w:val="bottom"/>
          </w:tcPr>
          <w:p>
            <w:pPr>
              <w:jc w:val="right"/>
              <w:spacing w:after="0"/>
              <w:rPr>
                <w:sz w:val="20"/>
                <w:szCs w:val="20"/>
                <w:color w:val="auto"/>
              </w:rPr>
            </w:pPr>
            <w:r>
              <w:rPr>
                <w:rFonts w:ascii="Arial" w:cs="Arial" w:eastAsia="Arial" w:hAnsi="Arial"/>
                <w:sz w:val="18"/>
                <w:szCs w:val="18"/>
                <w:color w:val="auto"/>
              </w:rPr>
              <w:t>6,699,268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6,776,534</w:t>
            </w:r>
          </w:p>
        </w:tc>
        <w:tc>
          <w:tcPr>
            <w:tcW w:w="38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91.9%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87.1%</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10,874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1,297,336</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1,291,699</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86.4%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87.7%</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Connecticut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465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61,360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61,865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93.9%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91.6%</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Florida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25,174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3,043,359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3,050,208</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89.8%</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3,921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3,946</w:t>
            </w:r>
          </w:p>
        </w:tc>
        <w:tc>
          <w:tcPr>
            <w:tcW w:w="840" w:type="dxa"/>
            <w:vAlign w:val="bottom"/>
          </w:tcPr>
          <w:p>
            <w:pPr>
              <w:jc w:val="right"/>
              <w:spacing w:after="0"/>
              <w:rPr>
                <w:sz w:val="20"/>
                <w:szCs w:val="20"/>
                <w:color w:val="auto"/>
              </w:rPr>
            </w:pPr>
            <w:r>
              <w:rPr>
                <w:rFonts w:ascii="Arial" w:cs="Arial" w:eastAsia="Arial" w:hAnsi="Arial"/>
                <w:sz w:val="18"/>
                <w:szCs w:val="18"/>
                <w:color w:val="auto"/>
              </w:rPr>
              <w:t>580,042</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593,356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92.5%</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90.0%</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Hawaii</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349,952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350,155</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87.0%</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5,720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5,706</w:t>
            </w:r>
          </w:p>
        </w:tc>
        <w:tc>
          <w:tcPr>
            <w:tcW w:w="840" w:type="dxa"/>
            <w:vAlign w:val="bottom"/>
          </w:tcPr>
          <w:p>
            <w:pPr>
              <w:jc w:val="right"/>
              <w:spacing w:after="0"/>
              <w:rPr>
                <w:sz w:val="20"/>
                <w:szCs w:val="20"/>
                <w:color w:val="auto"/>
              </w:rPr>
            </w:pPr>
            <w:r>
              <w:rPr>
                <w:rFonts w:ascii="Arial" w:cs="Arial" w:eastAsia="Arial" w:hAnsi="Arial"/>
                <w:sz w:val="18"/>
                <w:szCs w:val="18"/>
                <w:color w:val="auto"/>
              </w:rPr>
              <w:t>619,492</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618,767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82.7%</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83.8%</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7,748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940,116</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959,031</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89.3%</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88.6%</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Kentucky</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1,333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1,327</w:t>
            </w:r>
          </w:p>
        </w:tc>
        <w:tc>
          <w:tcPr>
            <w:tcW w:w="840" w:type="dxa"/>
            <w:vAlign w:val="bottom"/>
          </w:tcPr>
          <w:p>
            <w:pPr>
              <w:jc w:val="right"/>
              <w:spacing w:after="0"/>
              <w:rPr>
                <w:sz w:val="20"/>
                <w:szCs w:val="20"/>
                <w:color w:val="auto"/>
              </w:rPr>
            </w:pPr>
            <w:r>
              <w:rPr>
                <w:rFonts w:ascii="Arial" w:cs="Arial" w:eastAsia="Arial" w:hAnsi="Arial"/>
                <w:sz w:val="18"/>
                <w:szCs w:val="18"/>
                <w:color w:val="auto"/>
              </w:rPr>
              <w:t>219,777</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219,777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90.8%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90.9%</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Louisiana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131,865</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133,490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90.9%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85.2%</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Maryland</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11,931</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11,691</w:t>
            </w:r>
          </w:p>
        </w:tc>
        <w:tc>
          <w:tcPr>
            <w:tcW w:w="840" w:type="dxa"/>
            <w:vAlign w:val="bottom"/>
          </w:tcPr>
          <w:p>
            <w:pPr>
              <w:jc w:val="right"/>
              <w:spacing w:after="0"/>
              <w:rPr>
                <w:sz w:val="20"/>
                <w:szCs w:val="20"/>
                <w:color w:val="auto"/>
              </w:rPr>
            </w:pPr>
            <w:r>
              <w:rPr>
                <w:rFonts w:ascii="Arial" w:cs="Arial" w:eastAsia="Arial" w:hAnsi="Arial"/>
                <w:sz w:val="18"/>
                <w:szCs w:val="18"/>
                <w:color w:val="auto"/>
              </w:rPr>
              <w:t>1,135,555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1,138,279</w:t>
            </w:r>
          </w:p>
        </w:tc>
        <w:tc>
          <w:tcPr>
            <w:tcW w:w="38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86.4%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87.8%</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261,706</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261,706</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81.8%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81.8%</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Mississippi</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679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115,688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115,918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97.6%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91.1%</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Missouri</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251,792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230,334</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80.5%</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83.6%</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Nevada</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5,168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5,211</w:t>
            </w:r>
          </w:p>
        </w:tc>
        <w:tc>
          <w:tcPr>
            <w:tcW w:w="840" w:type="dxa"/>
            <w:vAlign w:val="bottom"/>
          </w:tcPr>
          <w:p>
            <w:pPr>
              <w:jc w:val="right"/>
              <w:spacing w:after="0"/>
              <w:rPr>
                <w:sz w:val="20"/>
                <w:szCs w:val="20"/>
                <w:color w:val="auto"/>
              </w:rPr>
            </w:pPr>
            <w:r>
              <w:rPr>
                <w:rFonts w:ascii="Arial" w:cs="Arial" w:eastAsia="Arial" w:hAnsi="Arial"/>
                <w:sz w:val="18"/>
                <w:szCs w:val="18"/>
                <w:color w:val="auto"/>
              </w:rPr>
              <w:t>578,375</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579,825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85.4%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79.2%</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235,112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235,387</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87.9%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86.5%</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New Mexico</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1,964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1,927</w:t>
            </w:r>
          </w:p>
        </w:tc>
        <w:tc>
          <w:tcPr>
            <w:tcW w:w="840" w:type="dxa"/>
            <w:vAlign w:val="bottom"/>
          </w:tcPr>
          <w:p>
            <w:pPr>
              <w:jc w:val="right"/>
              <w:spacing w:after="0"/>
              <w:rPr>
                <w:sz w:val="20"/>
                <w:szCs w:val="20"/>
                <w:color w:val="auto"/>
              </w:rPr>
            </w:pPr>
            <w:r>
              <w:rPr>
                <w:rFonts w:ascii="Arial" w:cs="Arial" w:eastAsia="Arial" w:hAnsi="Arial"/>
                <w:sz w:val="18"/>
                <w:szCs w:val="18"/>
                <w:color w:val="auto"/>
              </w:rPr>
              <w:t>233,727</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234,647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90.2%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88.4%</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88,017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88,017</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92.2%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92.2%</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North Carolina</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3,184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3,182</w:t>
            </w:r>
          </w:p>
        </w:tc>
        <w:tc>
          <w:tcPr>
            <w:tcW w:w="840" w:type="dxa"/>
            <w:vAlign w:val="bottom"/>
          </w:tcPr>
          <w:p>
            <w:pPr>
              <w:jc w:val="right"/>
              <w:spacing w:after="0"/>
              <w:rPr>
                <w:sz w:val="20"/>
                <w:szCs w:val="20"/>
                <w:color w:val="auto"/>
              </w:rPr>
            </w:pPr>
            <w:r>
              <w:rPr>
                <w:rFonts w:ascii="Arial" w:cs="Arial" w:eastAsia="Arial" w:hAnsi="Arial"/>
                <w:sz w:val="18"/>
                <w:szCs w:val="18"/>
                <w:color w:val="auto"/>
              </w:rPr>
              <w:t>461,986</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461,884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80.8%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81.2%</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408,066</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429,161</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85.2%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87.0%</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Oklahoma</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1,922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1,922</w:t>
            </w:r>
          </w:p>
        </w:tc>
        <w:tc>
          <w:tcPr>
            <w:tcW w:w="840" w:type="dxa"/>
            <w:vAlign w:val="bottom"/>
          </w:tcPr>
          <w:p>
            <w:pPr>
              <w:jc w:val="right"/>
              <w:spacing w:after="0"/>
              <w:rPr>
                <w:sz w:val="20"/>
                <w:szCs w:val="20"/>
                <w:color w:val="auto"/>
              </w:rPr>
            </w:pPr>
            <w:r>
              <w:rPr>
                <w:rFonts w:ascii="Arial" w:cs="Arial" w:eastAsia="Arial" w:hAnsi="Arial"/>
                <w:sz w:val="18"/>
                <w:szCs w:val="18"/>
                <w:color w:val="auto"/>
              </w:rPr>
              <w:t>337,096</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337,096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82.9%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82.9%</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Oregon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39,419</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39,419</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97.7%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97.7%</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6,980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6,945</w:t>
            </w:r>
          </w:p>
        </w:tc>
        <w:tc>
          <w:tcPr>
            <w:tcW w:w="840" w:type="dxa"/>
            <w:vAlign w:val="bottom"/>
          </w:tcPr>
          <w:p>
            <w:pPr>
              <w:jc w:val="right"/>
              <w:spacing w:after="0"/>
              <w:rPr>
                <w:sz w:val="20"/>
                <w:szCs w:val="20"/>
                <w:color w:val="auto"/>
              </w:rPr>
            </w:pPr>
            <w:r>
              <w:rPr>
                <w:rFonts w:ascii="Arial" w:cs="Arial" w:eastAsia="Arial" w:hAnsi="Arial"/>
                <w:sz w:val="18"/>
                <w:szCs w:val="18"/>
                <w:color w:val="auto"/>
              </w:rPr>
              <w:t>857,217</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861,472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89.8%</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88.0%</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351,870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89.2%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85.6%</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Tennessee</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909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909</w:t>
            </w:r>
          </w:p>
        </w:tc>
        <w:tc>
          <w:tcPr>
            <w:tcW w:w="840" w:type="dxa"/>
            <w:vAlign w:val="bottom"/>
          </w:tcPr>
          <w:p>
            <w:pPr>
              <w:jc w:val="right"/>
              <w:spacing w:after="0"/>
              <w:rPr>
                <w:sz w:val="20"/>
                <w:szCs w:val="20"/>
                <w:color w:val="auto"/>
              </w:rPr>
            </w:pPr>
            <w:r>
              <w:rPr>
                <w:rFonts w:ascii="Arial" w:cs="Arial" w:eastAsia="Arial" w:hAnsi="Arial"/>
                <w:sz w:val="18"/>
                <w:szCs w:val="18"/>
                <w:color w:val="auto"/>
              </w:rPr>
              <w:t>131,360</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131,360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93.6%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90.5%</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15,366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2,089,942</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2,059,838</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85.9%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84.5%</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Utah</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2,011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2,026</w:t>
            </w:r>
          </w:p>
        </w:tc>
        <w:tc>
          <w:tcPr>
            <w:tcW w:w="840" w:type="dxa"/>
            <w:vAlign w:val="bottom"/>
          </w:tcPr>
          <w:p>
            <w:pPr>
              <w:jc w:val="right"/>
              <w:spacing w:after="0"/>
              <w:rPr>
                <w:sz w:val="20"/>
                <w:szCs w:val="20"/>
                <w:color w:val="auto"/>
              </w:rPr>
            </w:pPr>
            <w:r>
              <w:rPr>
                <w:rFonts w:ascii="Arial" w:cs="Arial" w:eastAsia="Arial" w:hAnsi="Arial"/>
                <w:sz w:val="18"/>
                <w:szCs w:val="18"/>
                <w:color w:val="auto"/>
              </w:rPr>
              <w:t>312,690</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314,270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92.2%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84.3%</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Virginia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249,264</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90.2%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87.2%</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Washington</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48,810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48,810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74.0%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74.0%</w:t>
            </w:r>
          </w:p>
        </w:tc>
        <w:tc>
          <w:tcPr>
            <w:tcW w:w="0" w:type="dxa"/>
            <w:vAlign w:val="bottom"/>
          </w:tcPr>
          <w:p>
            <w:pPr>
              <w:spacing w:after="0"/>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 DC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112,334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112,334</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91.2%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92.8%</w:t>
            </w: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Arial" w:cs="Arial" w:eastAsia="Arial" w:hAnsi="Arial"/>
                <w:sz w:val="18"/>
                <w:szCs w:val="18"/>
                <w:color w:val="auto"/>
              </w:rPr>
              <w:t>Puerto Rico</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286,772</w:t>
            </w: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287,133</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87.4%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7"/>
              </w:rPr>
              <w:t>87.5%</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Managed Stabilized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36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192,273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192,145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23,424,842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23,528,760</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89.2%</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7"/>
              </w:rPr>
              <w:t>87.0%</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Stabilized Stores</w:t>
            </w: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38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1,293</w:t>
            </w:r>
          </w:p>
        </w:tc>
        <w:tc>
          <w:tcPr>
            <w:tcW w:w="3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860,721</w:t>
            </w:r>
          </w:p>
        </w:tc>
        <w:tc>
          <w:tcPr>
            <w:tcW w:w="3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855,703</w:t>
            </w:r>
          </w:p>
        </w:tc>
        <w:tc>
          <w:tcPr>
            <w:tcW w:w="3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97,018,810</w:t>
            </w:r>
          </w:p>
        </w:tc>
        <w:tc>
          <w:tcPr>
            <w:tcW w:w="3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97,034,502</w:t>
            </w:r>
          </w:p>
        </w:tc>
        <w:tc>
          <w:tcPr>
            <w:tcW w:w="380" w:type="dxa"/>
            <w:vAlign w:val="bottom"/>
            <w:vMerge w:val="continue"/>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b w:val="1"/>
                <w:bCs w:val="1"/>
                <w:color w:val="auto"/>
              </w:rPr>
              <w:t>91.1%</w:t>
            </w:r>
          </w:p>
        </w:tc>
        <w:tc>
          <w:tcPr>
            <w:tcW w:w="1020" w:type="dxa"/>
            <w:vAlign w:val="bottom"/>
            <w:gridSpan w:val="2"/>
          </w:tcPr>
          <w:p>
            <w:pPr>
              <w:ind w:left="500"/>
              <w:spacing w:after="0"/>
              <w:rPr>
                <w:sz w:val="20"/>
                <w:szCs w:val="20"/>
                <w:color w:val="auto"/>
              </w:rPr>
            </w:pPr>
            <w:r>
              <w:rPr>
                <w:rFonts w:ascii="Arial" w:cs="Arial" w:eastAsia="Arial" w:hAnsi="Arial"/>
                <w:sz w:val="18"/>
                <w:szCs w:val="18"/>
                <w:b w:val="1"/>
                <w:bCs w:val="1"/>
                <w:color w:val="auto"/>
                <w:w w:val="97"/>
              </w:rPr>
              <w:t>89.6%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60" w:hanging="454"/>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unit count as of December 31, 2015, which may differ from unit count as of December 31, 2014, due to unit conversions or expansions.</w:t>
      </w:r>
    </w:p>
    <w:p>
      <w:pPr>
        <w:spacing w:after="0" w:line="38" w:lineRule="exact"/>
        <w:rPr>
          <w:rFonts w:ascii="Arial" w:cs="Arial" w:eastAsia="Arial" w:hAnsi="Arial"/>
          <w:sz w:val="16"/>
          <w:szCs w:val="16"/>
          <w:color w:val="auto"/>
        </w:rPr>
      </w:pPr>
    </w:p>
    <w:p>
      <w:pPr>
        <w:ind w:left="460" w:right="700" w:hanging="454"/>
        <w:spacing w:after="0" w:line="24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net rentable square feet as of December 31, 2015, which may differ from net rentable square feet as of December 31, 2014, due to unit conversions or expansions.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2"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The following table presents additional information regarding the occupancy of our lease-up stores by state as of December 31, 2015 and 2014. The information as of December 31, 2014, is on a pro forma basis as though all the stores owned at December 31, 2015, were under our control as of December 31,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Store Data Based on Location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Company</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Pro forma</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Company</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Pro forma</w:t>
            </w: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Company</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Pro forma</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7"/>
              </w:rPr>
              <w:t>Net Rentable</w:t>
            </w:r>
          </w:p>
        </w:tc>
        <w:tc>
          <w:tcPr>
            <w:tcW w:w="340" w:type="dxa"/>
            <w:vAlign w:val="bottom"/>
          </w:tcPr>
          <w:p>
            <w:pPr>
              <w:spacing w:after="0"/>
              <w:rPr>
                <w:sz w:val="10"/>
                <w:szCs w:val="10"/>
                <w:color w:val="auto"/>
              </w:rPr>
            </w:pPr>
          </w:p>
        </w:tc>
        <w:tc>
          <w:tcPr>
            <w:tcW w:w="8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color w:val="auto"/>
                <w:w w:val="94"/>
              </w:rPr>
              <w:t>Net Rentable</w:t>
            </w: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94"/>
              </w:rPr>
              <w:t>Number of</w:t>
            </w: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85"/>
              </w:rPr>
              <w:t>Square Feet</w:t>
            </w:r>
          </w:p>
        </w:tc>
        <w:tc>
          <w:tcPr>
            <w:tcW w:w="114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88"/>
              </w:rPr>
              <w:t>Square Feet</w:t>
            </w:r>
          </w:p>
        </w:tc>
        <w:tc>
          <w:tcPr>
            <w:tcW w:w="1260" w:type="dxa"/>
            <w:vAlign w:val="bottom"/>
            <w:gridSpan w:val="2"/>
          </w:tcPr>
          <w:p>
            <w:pPr>
              <w:jc w:val="center"/>
              <w:ind w:right="460"/>
              <w:spacing w:after="0" w:line="145" w:lineRule="exact"/>
              <w:rPr>
                <w:sz w:val="20"/>
                <w:szCs w:val="20"/>
                <w:color w:val="auto"/>
              </w:rPr>
            </w:pPr>
            <w:r>
              <w:rPr>
                <w:rFonts w:ascii="Arial" w:cs="Arial" w:eastAsia="Arial" w:hAnsi="Arial"/>
                <w:sz w:val="14"/>
                <w:szCs w:val="14"/>
                <w:color w:val="auto"/>
                <w:w w:val="88"/>
              </w:rPr>
              <w:t>Square Foot</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8"/>
              </w:rPr>
              <w:t>Square Foot</w:t>
            </w:r>
          </w:p>
        </w:tc>
        <w:tc>
          <w:tcPr>
            <w:tcW w:w="0" w:type="dxa"/>
            <w:vAlign w:val="bottom"/>
          </w:tcPr>
          <w:p>
            <w:pPr>
              <w:spacing w:after="0"/>
              <w:rPr>
                <w:sz w:val="1"/>
                <w:szCs w:val="1"/>
                <w:color w:val="auto"/>
              </w:rPr>
            </w:pPr>
          </w:p>
        </w:tc>
      </w:tr>
      <w:tr>
        <w:trPr>
          <w:trHeight w:val="145"/>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93"/>
              </w:rPr>
              <w:t>Units as of</w:t>
            </w:r>
          </w:p>
        </w:tc>
        <w:tc>
          <w:tcPr>
            <w:tcW w:w="112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93"/>
              </w:rPr>
              <w:t>Units as of</w:t>
            </w: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85"/>
              </w:rPr>
              <w:t>as of</w:t>
            </w:r>
          </w:p>
        </w:tc>
        <w:tc>
          <w:tcPr>
            <w:tcW w:w="114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92"/>
              </w:rPr>
              <w:t>as of</w:t>
            </w:r>
          </w:p>
        </w:tc>
        <w:tc>
          <w:tcPr>
            <w:tcW w:w="1260" w:type="dxa"/>
            <w:vAlign w:val="bottom"/>
            <w:gridSpan w:val="2"/>
          </w:tcPr>
          <w:p>
            <w:pPr>
              <w:jc w:val="center"/>
              <w:ind w:right="480"/>
              <w:spacing w:after="0" w:line="145" w:lineRule="exact"/>
              <w:rPr>
                <w:sz w:val="20"/>
                <w:szCs w:val="20"/>
                <w:color w:val="auto"/>
              </w:rPr>
            </w:pPr>
            <w:r>
              <w:rPr>
                <w:rFonts w:ascii="Arial" w:cs="Arial" w:eastAsia="Arial" w:hAnsi="Arial"/>
                <w:sz w:val="14"/>
                <w:szCs w:val="14"/>
                <w:color w:val="auto"/>
                <w:w w:val="90"/>
              </w:rPr>
              <w:t>Occupancy %</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2"/>
              </w:rPr>
              <w:t>Occupancy %</w:t>
            </w:r>
          </w:p>
        </w:tc>
        <w:tc>
          <w:tcPr>
            <w:tcW w:w="0" w:type="dxa"/>
            <w:vAlign w:val="bottom"/>
          </w:tcPr>
          <w:p>
            <w:pPr>
              <w:spacing w:after="0"/>
              <w:rPr>
                <w:sz w:val="1"/>
                <w:szCs w:val="1"/>
                <w:color w:val="auto"/>
              </w:rPr>
            </w:pPr>
          </w:p>
        </w:tc>
      </w:tr>
      <w:tr>
        <w:trPr>
          <w:trHeight w:val="145"/>
        </w:trPr>
        <w:tc>
          <w:tcPr>
            <w:tcW w:w="3640" w:type="dxa"/>
            <w:vAlign w:val="bottom"/>
            <w:gridSpan w:val="3"/>
            <w:vMerge w:val="restart"/>
          </w:tcPr>
          <w:p>
            <w:pPr>
              <w:spacing w:after="0"/>
              <w:rPr>
                <w:sz w:val="20"/>
                <w:szCs w:val="20"/>
                <w:color w:val="auto"/>
              </w:rPr>
            </w:pPr>
            <w:r>
              <w:rPr>
                <w:rFonts w:ascii="Arial" w:cs="Arial" w:eastAsia="Arial" w:hAnsi="Arial"/>
                <w:sz w:val="14"/>
                <w:szCs w:val="14"/>
                <w:color w:val="auto"/>
              </w:rPr>
              <w:t>Location</w:t>
            </w:r>
          </w:p>
        </w:tc>
        <w:tc>
          <w:tcPr>
            <w:tcW w:w="96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94"/>
              </w:rPr>
              <w:t>Number of</w:t>
            </w:r>
          </w:p>
        </w:tc>
        <w:tc>
          <w:tcPr>
            <w:tcW w:w="1140" w:type="dxa"/>
            <w:vAlign w:val="bottom"/>
            <w:gridSpan w:val="2"/>
          </w:tcPr>
          <w:p>
            <w:pPr>
              <w:jc w:val="center"/>
              <w:ind w:right="360"/>
              <w:spacing w:after="0" w:line="145" w:lineRule="exact"/>
              <w:rPr>
                <w:sz w:val="20"/>
                <w:szCs w:val="20"/>
                <w:color w:val="auto"/>
              </w:rPr>
            </w:pPr>
            <w:r>
              <w:rPr>
                <w:rFonts w:ascii="Arial" w:cs="Arial" w:eastAsia="Arial" w:hAnsi="Arial"/>
                <w:sz w:val="14"/>
                <w:szCs w:val="14"/>
                <w:color w:val="auto"/>
                <w:w w:val="88"/>
              </w:rPr>
              <w:t>December 31,</w:t>
            </w:r>
          </w:p>
        </w:tc>
        <w:tc>
          <w:tcPr>
            <w:tcW w:w="112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88"/>
              </w:rPr>
              <w:t>December 31,</w:t>
            </w: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88"/>
              </w:rPr>
              <w:t>December 31,</w:t>
            </w:r>
          </w:p>
        </w:tc>
        <w:tc>
          <w:tcPr>
            <w:tcW w:w="114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90"/>
              </w:rPr>
              <w:t>December 31,</w:t>
            </w:r>
          </w:p>
        </w:tc>
        <w:tc>
          <w:tcPr>
            <w:tcW w:w="1260" w:type="dxa"/>
            <w:vAlign w:val="bottom"/>
            <w:gridSpan w:val="2"/>
          </w:tcPr>
          <w:p>
            <w:pPr>
              <w:jc w:val="center"/>
              <w:ind w:right="480"/>
              <w:spacing w:after="0" w:line="145" w:lineRule="exact"/>
              <w:rPr>
                <w:sz w:val="20"/>
                <w:szCs w:val="20"/>
                <w:color w:val="auto"/>
              </w:rPr>
            </w:pPr>
            <w:r>
              <w:rPr>
                <w:rFonts w:ascii="Arial" w:cs="Arial" w:eastAsia="Arial" w:hAnsi="Arial"/>
                <w:sz w:val="14"/>
                <w:szCs w:val="14"/>
                <w:color w:val="auto"/>
                <w:w w:val="88"/>
              </w:rPr>
              <w:t>December 31,</w:t>
            </w: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4"/>
        </w:trPr>
        <w:tc>
          <w:tcPr>
            <w:tcW w:w="3640" w:type="dxa"/>
            <w:vAlign w:val="bottom"/>
            <w:gridSpan w:val="3"/>
            <w:vMerge w:val="continue"/>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Stores</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2015 (1)</w:t>
            </w: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2015 (2)</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81"/>
              </w:rPr>
              <w:t>Wholly</w:t>
            </w:r>
          </w:p>
        </w:tc>
        <w:tc>
          <w:tcPr>
            <w:tcW w:w="3140" w:type="dxa"/>
            <w:vAlign w:val="bottom"/>
            <w:tcBorders>
              <w:top w:val="single" w:sz="8" w:color="CCEEFF"/>
            </w:tcBorders>
            <w:gridSpan w:val="2"/>
            <w:shd w:val="clear" w:color="auto" w:fill="CCEEFF"/>
          </w:tcPr>
          <w:p>
            <w:pPr>
              <w:ind w:left="60"/>
              <w:spacing w:after="0" w:line="191" w:lineRule="exact"/>
              <w:rPr>
                <w:sz w:val="20"/>
                <w:szCs w:val="20"/>
                <w:color w:val="auto"/>
              </w:rPr>
            </w:pPr>
            <w:r>
              <w:rPr>
                <w:rFonts w:ascii="Arial" w:cs="Arial" w:eastAsia="Arial" w:hAnsi="Arial"/>
                <w:sz w:val="18"/>
                <w:szCs w:val="18"/>
                <w:b w:val="1"/>
                <w:bCs w:val="1"/>
                <w:color w:val="auto"/>
              </w:rPr>
              <w:t>-Owned Stores</w:t>
            </w: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894</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894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122,092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122,092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72.9%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California (3)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73,723</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Connecticut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1,121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89,820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90,565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Florida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534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77,480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75,591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621</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598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52,606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52,365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94.9%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583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54,917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47,087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Maryland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988</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988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103,135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103,171</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89.8%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394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150,873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37,780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South Carolina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1,219</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1,246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131,744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131,902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86.9%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532,374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367,551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502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56,405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56,405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89.2%</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Wholly-Owned in Lease-up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10,146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1,445,169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1,084,509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57.7%</w:t>
            </w:r>
          </w:p>
        </w:tc>
        <w:tc>
          <w:tcPr>
            <w:tcW w:w="0" w:type="dxa"/>
            <w:vAlign w:val="bottom"/>
          </w:tcPr>
          <w:p>
            <w:pPr>
              <w:spacing w:after="0"/>
              <w:rPr>
                <w:sz w:val="1"/>
                <w:szCs w:val="1"/>
                <w:color w:val="auto"/>
              </w:rPr>
            </w:pPr>
          </w:p>
        </w:tc>
      </w:tr>
      <w:tr>
        <w:trPr>
          <w:trHeight w:val="217"/>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Joint-Venture Stores</w:t>
            </w: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Arizona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62,200</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619</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59,529</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79.0%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74,521</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Joint-Venture in Lease-up</w:t>
            </w: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4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34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196,250</w:t>
            </w:r>
          </w:p>
        </w:tc>
        <w:tc>
          <w:tcPr>
            <w:tcW w:w="340" w:type="dxa"/>
            <w:vAlign w:val="bottom"/>
            <w:vMerge w:val="continue"/>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53.6%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Managed Stores</w:t>
            </w: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California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1,608</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1,082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209,030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229,755</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58.4%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207,376</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595</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70,675</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Georgia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69,367</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673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46,417</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46,417</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Maryland</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422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218,463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44,790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Massachusetts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902</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70,106</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196,486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196,486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New York</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1,453</w:t>
            </w:r>
          </w:p>
        </w:tc>
        <w:tc>
          <w:tcPr>
            <w:tcW w:w="34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348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100,634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33,764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47.6%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103,594</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Oregon</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27,100</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314,286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97,750</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Texas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1,180</w:t>
            </w:r>
          </w:p>
        </w:tc>
        <w:tc>
          <w:tcPr>
            <w:tcW w:w="34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551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134,019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60,732</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43.7%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Utah</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522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67,357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67,037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1"/>
        </w:trPr>
        <w:tc>
          <w:tcPr>
            <w:tcW w:w="364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1,058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105,594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106,126</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80,680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54,935</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Managed in Lease-up</w:t>
            </w: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gridSpan w:val="3"/>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19,605</w:t>
            </w:r>
          </w:p>
        </w:tc>
        <w:tc>
          <w:tcPr>
            <w:tcW w:w="3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7,728</w:t>
            </w:r>
          </w:p>
        </w:tc>
        <w:tc>
          <w:tcPr>
            <w:tcW w:w="3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2,021,184</w:t>
            </w:r>
          </w:p>
        </w:tc>
        <w:tc>
          <w:tcPr>
            <w:tcW w:w="34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937,792</w:t>
            </w:r>
          </w:p>
        </w:tc>
        <w:tc>
          <w:tcPr>
            <w:tcW w:w="340" w:type="dxa"/>
            <w:vAlign w:val="bottom"/>
            <w:vMerge w:val="continue"/>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59.8%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52.9%</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Lease-up Stores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35,221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17,874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3,662,603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2,022,301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60" w:hanging="454"/>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unit count as of December 31, 2015, which may differ from unit count as of December 31, 2014, due to unit conversions or expansions.</w:t>
      </w:r>
    </w:p>
    <w:p>
      <w:pPr>
        <w:spacing w:after="0" w:line="38" w:lineRule="exact"/>
        <w:rPr>
          <w:rFonts w:ascii="Arial" w:cs="Arial" w:eastAsia="Arial" w:hAnsi="Arial"/>
          <w:sz w:val="16"/>
          <w:szCs w:val="16"/>
          <w:color w:val="auto"/>
        </w:rPr>
      </w:pPr>
    </w:p>
    <w:p>
      <w:pPr>
        <w:ind w:left="460" w:right="700" w:hanging="454"/>
        <w:spacing w:after="0" w:line="24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net rentable square feet as of December 31, 2015, which may differ from net rentable square feet as of December 31, 2014, due to unit conversions or expansions.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2"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Therefore, any estimate(s) of loss disclosed below represents what management believes to be an estimate of loss only for certain matters meeting these criteria and does not represent our maximum loss exposure.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71"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color w:val="auto"/>
        </w:rPr>
        <w:t>We currently have several legal proceedings pending against us that include causes of action alleging wrongful foreclosure, violations of various state specific self-storage statutes, and violations of various consumer fraud acts. As a result of these litigation matters, we recorded a liability of $850,000 during the year ended December 31, 2014, which is included in other liabilities on the consolidated balance sheets.</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2"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42" w:lineRule="exact"/>
        <w:rPr>
          <w:sz w:val="20"/>
          <w:szCs w:val="20"/>
          <w:color w:val="auto"/>
        </w:rPr>
      </w:pPr>
    </w:p>
    <w:p>
      <w:pPr>
        <w:ind w:right="1900"/>
        <w:spacing w:after="0" w:line="37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60" w:firstLine="457"/>
        <w:spacing w:after="0" w:line="263" w:lineRule="auto"/>
        <w:rPr>
          <w:sz w:val="20"/>
          <w:szCs w:val="20"/>
          <w:color w:val="auto"/>
        </w:rPr>
      </w:pPr>
      <w:r>
        <w:rPr>
          <w:rFonts w:ascii="Arial" w:cs="Arial" w:eastAsia="Arial" w:hAnsi="Arial"/>
          <w:sz w:val="18"/>
          <w:szCs w:val="18"/>
          <w:color w:val="auto"/>
        </w:rPr>
        <w:t>Our common stock has been traded on the New York Stock Exchange (“NYSE”) under the symbol “EXR” since our IPO on August 17, 2004. Prior to that time there was no public market for our common stock.</w:t>
      </w:r>
    </w:p>
    <w:p>
      <w:pPr>
        <w:spacing w:after="0" w:line="180" w:lineRule="exact"/>
        <w:rPr>
          <w:sz w:val="20"/>
          <w:szCs w:val="20"/>
          <w:color w:val="auto"/>
        </w:rPr>
      </w:pPr>
    </w:p>
    <w:p>
      <w:pPr>
        <w:ind w:right="440" w:firstLine="457"/>
        <w:spacing w:after="0" w:line="263" w:lineRule="auto"/>
        <w:rPr>
          <w:sz w:val="20"/>
          <w:szCs w:val="20"/>
          <w:color w:val="auto"/>
        </w:rPr>
      </w:pPr>
      <w:r>
        <w:rPr>
          <w:rFonts w:ascii="Arial" w:cs="Arial" w:eastAsia="Arial" w:hAnsi="Arial"/>
          <w:sz w:val="18"/>
          <w:szCs w:val="18"/>
          <w:color w:val="auto"/>
        </w:rPr>
        <w:t>The following table presents, for the periods indicated, the high and low sales price for our common stock as reported by the NYSE and the per share dividends declared:</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300" w:type="dxa"/>
            <w:vAlign w:val="bottom"/>
            <w:gridSpan w:val="3"/>
            <w:vMerge w:val="restart"/>
          </w:tcPr>
          <w:p>
            <w:pPr>
              <w:ind w:left="1460"/>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Range</w:t>
            </w:r>
          </w:p>
        </w:tc>
        <w:tc>
          <w:tcPr>
            <w:tcW w:w="150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38"/>
        </w:trPr>
        <w:tc>
          <w:tcPr>
            <w:tcW w:w="1800" w:type="dxa"/>
            <w:vAlign w:val="bottom"/>
            <w:gridSpan w:val="3"/>
            <w:vMerge w:val="continue"/>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right"/>
              <w:ind w:right="21"/>
              <w:spacing w:after="0" w:line="139" w:lineRule="exact"/>
              <w:rPr>
                <w:sz w:val="20"/>
                <w:szCs w:val="20"/>
                <w:color w:val="auto"/>
              </w:rPr>
            </w:pPr>
            <w:r>
              <w:rPr>
                <w:rFonts w:ascii="Arial" w:cs="Arial" w:eastAsia="Arial" w:hAnsi="Arial"/>
                <w:sz w:val="14"/>
                <w:szCs w:val="14"/>
                <w:b w:val="1"/>
                <w:bCs w:val="1"/>
                <w:color w:val="auto"/>
              </w:rPr>
              <w:t>High</w:t>
            </w:r>
          </w:p>
        </w:tc>
        <w:tc>
          <w:tcPr>
            <w:tcW w:w="800" w:type="dxa"/>
            <w:vAlign w:val="bottom"/>
          </w:tcPr>
          <w:p>
            <w:pPr>
              <w:spacing w:after="0"/>
              <w:rPr>
                <w:sz w:val="12"/>
                <w:szCs w:val="12"/>
                <w:color w:val="auto"/>
              </w:rPr>
            </w:pPr>
          </w:p>
        </w:tc>
        <w:tc>
          <w:tcPr>
            <w:tcW w:w="500" w:type="dxa"/>
            <w:vAlign w:val="bottom"/>
          </w:tcPr>
          <w:p>
            <w:pPr>
              <w:jc w:val="right"/>
              <w:ind w:right="41"/>
              <w:spacing w:after="0" w:line="139" w:lineRule="exact"/>
              <w:rPr>
                <w:sz w:val="20"/>
                <w:szCs w:val="20"/>
                <w:color w:val="auto"/>
              </w:rPr>
            </w:pPr>
            <w:r>
              <w:rPr>
                <w:rFonts w:ascii="Arial" w:cs="Arial" w:eastAsia="Arial" w:hAnsi="Arial"/>
                <w:sz w:val="14"/>
                <w:szCs w:val="14"/>
                <w:b w:val="1"/>
                <w:bCs w:val="1"/>
                <w:color w:val="auto"/>
              </w:rPr>
              <w:t>Low</w:t>
            </w:r>
          </w:p>
        </w:tc>
        <w:tc>
          <w:tcPr>
            <w:tcW w:w="800" w:type="dxa"/>
            <w:vAlign w:val="bottom"/>
          </w:tcPr>
          <w:p>
            <w:pPr>
              <w:spacing w:after="0"/>
              <w:rPr>
                <w:sz w:val="12"/>
                <w:szCs w:val="12"/>
                <w:color w:val="auto"/>
              </w:rPr>
            </w:pPr>
          </w:p>
        </w:tc>
        <w:tc>
          <w:tcPr>
            <w:tcW w:w="7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2"/>
              </w:rPr>
              <w:t>2014</w:t>
            </w:r>
          </w:p>
        </w:tc>
        <w:tc>
          <w:tcPr>
            <w:tcW w:w="15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3"/>
              </w:rPr>
              <w:t>1st</w:t>
            </w: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$50.10</w:t>
            </w: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$41.48</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6"/>
              </w:rPr>
              <w:t>$   0.40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2nd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1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3"/>
              </w:rPr>
              <w:t>1st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2nd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63.54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4th</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75.55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On February 18, 2016, the closing price of our common stock as reported by the NYSE was $84.55. At February 18, 2016, we had 335 holders of record of our common stock. Certain shares of the Company are held in “street” name and accordingly, the number of beneficial owners of such shares is not known or included in the foregoing number.</w:t>
      </w:r>
    </w:p>
    <w:p>
      <w:pPr>
        <w:spacing w:after="0" w:line="188" w:lineRule="exact"/>
        <w:rPr>
          <w:sz w:val="20"/>
          <w:szCs w:val="20"/>
          <w:color w:val="auto"/>
        </w:rPr>
      </w:pPr>
    </w:p>
    <w:p>
      <w:pPr>
        <w:jc w:val="both"/>
        <w:ind w:right="120" w:firstLine="457"/>
        <w:spacing w:after="0" w:line="250" w:lineRule="auto"/>
        <w:rPr>
          <w:sz w:val="20"/>
          <w:szCs w:val="20"/>
          <w:color w:val="auto"/>
        </w:rPr>
      </w:pPr>
      <w:r>
        <w:rPr>
          <w:rFonts w:ascii="Arial" w:cs="Arial" w:eastAsia="Arial" w:hAnsi="Arial"/>
          <w:sz w:val="18"/>
          <w:szCs w:val="18"/>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our equity compensation plans is incorporated by reference in Item 12 of Part III of this Annual Report on Form 10-K.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6"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On April 15, 2015, we entered into a contribution agreement to acquire 22 stores located in Arizona and Texas (the “Properties”). The Properties include approximately 1.7 million square feet of net rentable space in approximately 13,500 self-storage units, which were approximately 81.7% occupied as of June 30, 2015. The aggregate consideration paid to acquire the Properties is valued at approximately $177.7 million, excluding transaction costs, including the issuance by the Operating Partnership to the contributors of 1,504,277 common Operating Partnership units (“OP Units”), with a total value of $101.7 million.</w:t>
      </w:r>
    </w:p>
    <w:p>
      <w:pPr>
        <w:spacing w:after="0" w:line="160" w:lineRule="exact"/>
        <w:rPr>
          <w:sz w:val="20"/>
          <w:szCs w:val="20"/>
          <w:color w:val="auto"/>
        </w:rPr>
      </w:pPr>
    </w:p>
    <w:p>
      <w:pPr>
        <w:ind w:right="600" w:firstLine="457"/>
        <w:spacing w:after="0" w:line="263" w:lineRule="auto"/>
        <w:rPr>
          <w:sz w:val="20"/>
          <w:szCs w:val="20"/>
          <w:color w:val="auto"/>
        </w:rPr>
      </w:pPr>
      <w:r>
        <w:rPr>
          <w:rFonts w:ascii="Arial" w:cs="Arial" w:eastAsia="Arial" w:hAnsi="Arial"/>
          <w:sz w:val="18"/>
          <w:szCs w:val="18"/>
          <w:color w:val="auto"/>
        </w:rPr>
        <w:t>On June 18, 2015, our Operating Partnership issued 71,054 OP Units in connection with the acquisition of a store located in Florida. The store was acquired in exchange for the OP Units, valued at $4.8 million, and approximately $12.7 million of cash.</w:t>
      </w:r>
    </w:p>
    <w:p>
      <w:pPr>
        <w:spacing w:after="0" w:line="18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8"/>
          <w:szCs w:val="18"/>
          <w:color w:val="auto"/>
        </w:rPr>
        <w:t>On October 1, 2015, the Company completed its previously announced acquisition of SmartStop, a public non-traded REIT pursuant to an Agreement and Plan of Merger, dated June 15, 2015. Under the terms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2"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Merger Agreement, SmartStop shareholders received $13.75 per share in cash. Certain unit holders elected to exchange their SmartStop OP units for 376,848 of the Company’s OP units for a total value of approximately $25.5 million.</w:t>
      </w:r>
    </w:p>
    <w:p>
      <w:pPr>
        <w:spacing w:after="0" w:line="180" w:lineRule="exact"/>
        <w:rPr>
          <w:sz w:val="20"/>
          <w:szCs w:val="20"/>
          <w:color w:val="auto"/>
        </w:rPr>
      </w:pPr>
    </w:p>
    <w:p>
      <w:pPr>
        <w:ind w:right="300" w:firstLine="457"/>
        <w:spacing w:after="0" w:line="263" w:lineRule="auto"/>
        <w:rPr>
          <w:sz w:val="20"/>
          <w:szCs w:val="20"/>
          <w:color w:val="auto"/>
        </w:rPr>
      </w:pPr>
      <w:r>
        <w:rPr>
          <w:rFonts w:ascii="Arial" w:cs="Arial" w:eastAsia="Arial" w:hAnsi="Arial"/>
          <w:sz w:val="18"/>
          <w:szCs w:val="18"/>
          <w:color w:val="auto"/>
        </w:rPr>
        <w:t>On November 13, 2015, our Operating Partnership issued 91,434 OP Units in connection with the acquisition of a store located in Texas. The store was acquired in exchange for the OP Units, valued at $7.2 million, and approximately $7.1 million of cash.</w:t>
      </w:r>
    </w:p>
    <w:p>
      <w:pPr>
        <w:spacing w:after="0" w:line="180"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The terms of the OP Units are governed by the Operating Partnership’s Fourth Amended and Restated Agreement of Limited Partnership. The OP Units will be redeemable, at the option of the holders following the expiration of a lock-up period commencing on the date of issuance and ending on August 15, 2016, which redemption obligation may be satisfied, at our option, in cash or shares of our common stock.</w:t>
      </w:r>
    </w:p>
    <w:p>
      <w:pPr>
        <w:spacing w:after="0" w:line="155" w:lineRule="exact"/>
        <w:rPr>
          <w:sz w:val="20"/>
          <w:szCs w:val="20"/>
          <w:color w:val="auto"/>
        </w:rPr>
      </w:pPr>
    </w:p>
    <w:p>
      <w:pPr>
        <w:ind w:right="380" w:firstLine="457"/>
        <w:spacing w:after="0" w:line="263" w:lineRule="auto"/>
        <w:rPr>
          <w:sz w:val="20"/>
          <w:szCs w:val="20"/>
          <w:color w:val="auto"/>
        </w:rPr>
      </w:pPr>
      <w:r>
        <w:rPr>
          <w:rFonts w:ascii="Arial" w:cs="Arial" w:eastAsia="Arial" w:hAnsi="Arial"/>
          <w:sz w:val="18"/>
          <w:szCs w:val="18"/>
          <w:color w:val="auto"/>
        </w:rPr>
        <w:t>The OP Units were issued in private placements in reliance on Section 4(a)(2) of the Securities Act of 1933, as amended, and the rules and regulations promulgated thereunder.</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16" w:lineRule="exact"/>
        <w:rPr>
          <w:sz w:val="20"/>
          <w:szCs w:val="20"/>
          <w:color w:val="auto"/>
        </w:rPr>
      </w:pPr>
    </w:p>
    <w:p>
      <w:pPr>
        <w:jc w:val="both"/>
        <w:ind w:right="180" w:firstLine="457"/>
        <w:spacing w:after="0" w:line="254" w:lineRule="auto"/>
        <w:rPr>
          <w:sz w:val="20"/>
          <w:szCs w:val="20"/>
          <w:color w:val="auto"/>
        </w:rPr>
      </w:pPr>
      <w:r>
        <w:rPr>
          <w:rFonts w:ascii="Arial" w:cs="Arial" w:eastAsia="Arial" w:hAnsi="Arial"/>
          <w:sz w:val="18"/>
          <w:szCs w:val="18"/>
          <w:color w:val="auto"/>
        </w:rPr>
        <w:t>The following table presents selected financial data and should be read in conjunction with the financial statements and notes thereto included in Item 8, “Financial Statements and Supplementary Data” and Item 7, “Management’s Discussion and Analysis of Financial Condition and Results of Operations” in this Form 10-K (amounts 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3"/>
              <w:spacing w:after="0" w:line="13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80" w:type="dxa"/>
            <w:vAlign w:val="bottom"/>
          </w:tcPr>
          <w:p>
            <w:pPr>
              <w:jc w:val="right"/>
              <w:ind w:right="114"/>
              <w:spacing w:after="0" w:line="139"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39"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700" w:type="dxa"/>
            <w:vAlign w:val="bottom"/>
          </w:tcPr>
          <w:p>
            <w:pPr>
              <w:jc w:val="right"/>
              <w:ind w:right="113"/>
              <w:spacing w:after="0" w:line="13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3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8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$ 676,138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$ 559,868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$ 446,682</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$ 346,874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268,725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 management fees and other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106,132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87,287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73,931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61,105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782,270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647,155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520,613</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409,396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329,830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203,965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172,416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140,012</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114,028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95,481</w:t>
            </w: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13,033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360"/>
              <w:spacing w:after="0"/>
              <w:rPr>
                <w:sz w:val="20"/>
                <w:szCs w:val="20"/>
                <w:color w:val="auto"/>
              </w:rPr>
            </w:pPr>
            <w:r>
              <w:rPr>
                <w:rFonts w:ascii="Arial" w:cs="Arial" w:eastAsia="Arial" w:hAnsi="Arial"/>
                <w:sz w:val="18"/>
                <w:szCs w:val="18"/>
                <w:color w:val="auto"/>
              </w:rPr>
              <w:t>Acquisition related costs and severance</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69,401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9,826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8,618</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67,758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60,942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54,246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49,683</w:t>
            </w:r>
          </w:p>
        </w:tc>
        <w:tc>
          <w:tcPr>
            <w:tcW w:w="0" w:type="dxa"/>
            <w:vAlign w:val="bottom"/>
          </w:tcPr>
          <w:p>
            <w:pPr>
              <w:spacing w:after="0"/>
              <w:rPr>
                <w:sz w:val="1"/>
                <w:szCs w:val="1"/>
                <w:color w:val="auto"/>
              </w:rPr>
            </w:pPr>
          </w:p>
        </w:tc>
      </w:tr>
      <w:tr>
        <w:trPr>
          <w:trHeight w:val="211"/>
        </w:trPr>
        <w:tc>
          <w:tcPr>
            <w:tcW w:w="68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133,457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115,076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95,232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58,014</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487,614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368,687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307,130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294,656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278,468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213,483</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157,241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115,476</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(98,992)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(84,013)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(73,034)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(69,062)</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8,311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5,599</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6,666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0"/>
              </w:rPr>
              <w:t>Loss on extinguishment of debt related to portfolio acquisition, gain (loss) on sale of real estate,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from prior acquisitions and property casualty loss, net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(8,193)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Income before equity in earnings of real estate ventures and income tax expense</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205,476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188,903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137,855</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91,613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52,291</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real estate ventures</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60" w:type="dxa"/>
            <w:vAlign w:val="bottom"/>
          </w:tcPr>
          <w:p>
            <w:pPr>
              <w:spacing w:after="0" w:line="199" w:lineRule="exact"/>
              <w:rPr>
                <w:sz w:val="20"/>
                <w:szCs w:val="20"/>
                <w:color w:val="auto"/>
              </w:rPr>
            </w:pPr>
            <w:r>
              <w:rPr>
                <w:rFonts w:ascii="Arial" w:cs="Arial" w:eastAsia="Arial" w:hAnsi="Arial"/>
                <w:sz w:val="18"/>
                <w:szCs w:val="18"/>
                <w:color w:val="auto"/>
                <w:w w:val="89"/>
              </w:rPr>
              <w:t>Equity in earnings of unconsolidated real estate ventures - gain on sale of real estate assets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color w:val="auto"/>
              </w:rPr>
              <w:t>purchase of joint venture partners’ interests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2,857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4,022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46,032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30,630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(9,984)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209,536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195,896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185,556</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127,689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58,423</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Operating Partnership and other noncontrolling interests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(13,480)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$ 189,474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$ 178,355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$ 172,076</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$ 117,309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50,449</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4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39"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39"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1"/>
        </w:trPr>
        <w:tc>
          <w:tcPr>
            <w:tcW w:w="472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472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r>
      <w:tr>
        <w:trPr>
          <w:trHeight w:val="211"/>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r>
      <w:tr>
        <w:trPr>
          <w:trHeight w:val="316"/>
        </w:trPr>
        <w:tc>
          <w:tcPr>
            <w:tcW w:w="472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119,816,743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115,713,807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111,349,361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101,766,385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92,097,008</w:t>
            </w: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126,918,869</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121,435,267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113,105,094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103,767,365</w:t>
            </w: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96,683,508</w:t>
            </w:r>
          </w:p>
        </w:tc>
      </w:tr>
      <w:tr>
        <w:trPr>
          <w:trHeight w:val="94"/>
        </w:trPr>
        <w:tc>
          <w:tcPr>
            <w:tcW w:w="4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77"/>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As of December 31,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4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39"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39"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39"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1"/>
        </w:trPr>
        <w:tc>
          <w:tcPr>
            <w:tcW w:w="47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6,071,407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4,381,987</w:t>
            </w: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3,977,140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3,223,477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2,517,524</w:t>
            </w:r>
          </w:p>
        </w:tc>
        <w:tc>
          <w:tcPr>
            <w:tcW w:w="100" w:type="dxa"/>
            <w:vAlign w:val="bottom"/>
          </w:tcPr>
          <w:p>
            <w:pPr>
              <w:spacing w:after="0"/>
              <w:rPr>
                <w:sz w:val="18"/>
                <w:szCs w:val="18"/>
                <w:color w:val="auto"/>
              </w:rPr>
            </w:pPr>
          </w:p>
        </w:tc>
      </w:tr>
      <w:tr>
        <w:trPr>
          <w:trHeight w:val="199"/>
        </w:trPr>
        <w:tc>
          <w:tcPr>
            <w:tcW w:w="47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Total notes payable, notes payable to trusts, exchangeable senior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and lines of credit, net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3,535,621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2,349,764</w:t>
            </w: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1,946,647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1,577,599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1,363,656</w:t>
            </w:r>
          </w:p>
        </w:tc>
        <w:tc>
          <w:tcPr>
            <w:tcW w:w="100" w:type="dxa"/>
            <w:vAlign w:val="bottom"/>
            <w:shd w:val="clear" w:color="auto" w:fill="CCEEFF"/>
          </w:tcPr>
          <w:p>
            <w:pPr>
              <w:spacing w:after="0"/>
              <w:rPr>
                <w:sz w:val="19"/>
                <w:szCs w:val="19"/>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283,527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174,558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173,425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53,524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54,814</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2,089,077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1,737,425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1,758,470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1,491,807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1,018,947</w:t>
            </w:r>
          </w:p>
        </w:tc>
        <w:tc>
          <w:tcPr>
            <w:tcW w:w="100" w:type="dxa"/>
            <w:vAlign w:val="bottom"/>
            <w:shd w:val="clear" w:color="auto" w:fill="CCEEFF"/>
          </w:tcPr>
          <w:p>
            <w:pPr>
              <w:spacing w:after="0"/>
              <w:rPr>
                <w:sz w:val="18"/>
                <w:szCs w:val="18"/>
                <w:color w:val="auto"/>
              </w:rPr>
            </w:pPr>
          </w:p>
        </w:tc>
      </w:tr>
      <w:tr>
        <w:trPr>
          <w:trHeight w:val="277"/>
        </w:trPr>
        <w:tc>
          <w:tcPr>
            <w:tcW w:w="47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337,581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271,259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144,164</w:t>
            </w:r>
          </w:p>
        </w:tc>
        <w:tc>
          <w:tcPr>
            <w:tcW w:w="100" w:type="dxa"/>
            <w:vAlign w:val="bottom"/>
            <w:shd w:val="clear" w:color="auto" w:fill="CCEEFF"/>
          </w:tcPr>
          <w:p>
            <w:pPr>
              <w:spacing w:after="0"/>
              <w:rPr>
                <w:sz w:val="18"/>
                <w:szCs w:val="18"/>
                <w:color w:val="auto"/>
              </w:rPr>
            </w:pPr>
          </w:p>
        </w:tc>
      </w:tr>
      <w:tr>
        <w:trPr>
          <w:trHeight w:val="211"/>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(1,625,664)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(564,948)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(366,976)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(606,938)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(251,919)</w:t>
            </w: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1,286,471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191,655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87,489</w:t>
            </w:r>
          </w:p>
        </w:tc>
      </w:tr>
      <w:tr>
        <w:trPr>
          <w:trHeight w:val="356"/>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2"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6" w:lineRule="exact"/>
        <w:rPr>
          <w:sz w:val="20"/>
          <w:szCs w:val="20"/>
          <w:color w:val="auto"/>
        </w:rPr>
      </w:pPr>
    </w:p>
    <w:p>
      <w:pPr>
        <w:ind w:right="320" w:firstLine="457"/>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Amounts in thousands, except share and per share data.</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ind w:right="20" w:firstLine="457"/>
        <w:spacing w:after="0" w:line="326" w:lineRule="auto"/>
        <w:rPr>
          <w:sz w:val="20"/>
          <w:szCs w:val="20"/>
          <w:color w:val="auto"/>
        </w:rPr>
      </w:pPr>
      <w:r>
        <w:rPr>
          <w:rFonts w:ascii="Arial" w:cs="Arial" w:eastAsia="Arial" w:hAnsi="Arial"/>
          <w:sz w:val="16"/>
          <w:szCs w:val="16"/>
          <w:color w:val="auto"/>
        </w:rPr>
        <w:t>We are a fully integrated, self-administered and self-managed real estate investment trust, or REIT, formed to continue the business commenced in 1977 by Extra Space Storage LLC and its subsidiaries to own, operate, manage, acquire, develop and redevelop professionally managed stores.</w:t>
      </w:r>
    </w:p>
    <w:p>
      <w:pPr>
        <w:spacing w:after="0" w:line="134" w:lineRule="exact"/>
        <w:rPr>
          <w:sz w:val="20"/>
          <w:szCs w:val="20"/>
          <w:color w:val="auto"/>
        </w:rPr>
      </w:pPr>
    </w:p>
    <w:p>
      <w:pPr>
        <w:jc w:val="both"/>
        <w:ind w:right="60" w:firstLine="457"/>
        <w:spacing w:after="0" w:line="292" w:lineRule="auto"/>
        <w:rPr>
          <w:sz w:val="20"/>
          <w:szCs w:val="20"/>
          <w:color w:val="auto"/>
        </w:rPr>
      </w:pPr>
      <w:r>
        <w:rPr>
          <w:rFonts w:ascii="Arial" w:cs="Arial" w:eastAsia="Arial" w:hAnsi="Arial"/>
          <w:sz w:val="16"/>
          <w:szCs w:val="16"/>
          <w:color w:val="auto"/>
        </w:rPr>
        <w:t>At December 31, 2015, we owned, had ownership interests in, or managed 1,347 operating stores in 36 states, Washington, D.C. and Puerto Rico. Of these 1,347 operating stores, we owned 746, we held joint venture interests in 253 stores, and our taxable REIT subsidiary, Extra Space Management, Inc., operated an additional 348 stores that are owned by third parties. These operating stores contain approximately 101 million square feet of rentable space in approximately 896,000 units and currently serve a customer base of approximately 800,000 tenants.</w:t>
      </w:r>
    </w:p>
    <w:p>
      <w:pPr>
        <w:spacing w:after="0" w:line="16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Our stores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 average population growth and income levels. The clustering of our assets around these population centers enables us to reduce our operating costs through economies of scale. We consider a store to be in the lease-up stage after it has been issued a certificate of occupancy, but before it has achieved stabilization. A store is considered to be stabilized once it has achieved an 80% occupancy rate for a full year measured as of January 1, or has been open for three years.</w:t>
      </w:r>
    </w:p>
    <w:p>
      <w:pPr>
        <w:spacing w:after="0" w:line="167" w:lineRule="exact"/>
        <w:rPr>
          <w:sz w:val="20"/>
          <w:szCs w:val="20"/>
          <w:color w:val="auto"/>
        </w:rPr>
      </w:pPr>
    </w:p>
    <w:p>
      <w:pPr>
        <w:jc w:val="both"/>
        <w:ind w:right="560" w:firstLine="457"/>
        <w:spacing w:after="0" w:line="254" w:lineRule="auto"/>
        <w:rPr>
          <w:sz w:val="20"/>
          <w:szCs w:val="20"/>
          <w:color w:val="auto"/>
        </w:rPr>
      </w:pPr>
      <w:r>
        <w:rPr>
          <w:rFonts w:ascii="Arial" w:cs="Arial" w:eastAsia="Arial" w:hAnsi="Arial"/>
          <w:sz w:val="18"/>
          <w:szCs w:val="18"/>
          <w:color w:val="auto"/>
        </w:rPr>
        <w:t>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We derive substantially all of our revenues from rents received from tenants under leases at each of our wholly-owned stores, from management fees on the stores we manage for joint-venture partners and unaffiliated third parties, and from our tenant reinsurance program. Our management fee is generally equal to approximately 6.0% of cash collected from total revenues generated by the managed stores. We also receive an asset management fee of 0.5% of the total asset value from one of our joint ventures.</w:t>
      </w:r>
    </w:p>
    <w:p>
      <w:pPr>
        <w:spacing w:after="0" w:line="193"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Our operating results depend materially on our ability to lease available self-storage units, to actively manage unit rental rates, and on the ability of our tenants to make required rental payments. We believe that we are able to respond quickly and effectively to changes in local, regional and national economic conditions by adjusting rental rates through the combination of our revenue management team and our industry-leading technology systems.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2"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500" w:firstLine="457"/>
        <w:spacing w:after="0" w:line="263"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88" w:lineRule="exact"/>
        <w:rPr>
          <w:sz w:val="20"/>
          <w:szCs w:val="20"/>
          <w:color w:val="auto"/>
        </w:rPr>
      </w:pPr>
    </w:p>
    <w:p>
      <w:pPr>
        <w:ind w:left="880" w:right="160" w:hanging="426"/>
        <w:spacing w:after="0" w:line="24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performance of our stores through strategic, efficient and proactive management. </w:t>
      </w:r>
      <w:r>
        <w:rPr>
          <w:rFonts w:ascii="Arial" w:cs="Arial" w:eastAsia="Arial" w:hAnsi="Arial"/>
          <w:sz w:val="18"/>
          <w:szCs w:val="18"/>
          <w:color w:val="auto"/>
        </w:rPr>
        <w:t>We pursue revenue-generating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100" w:lineRule="exact"/>
        <w:rPr>
          <w:rFonts w:ascii="Arial" w:cs="Arial" w:eastAsia="Arial" w:hAnsi="Arial"/>
          <w:sz w:val="18"/>
          <w:szCs w:val="18"/>
          <w:color w:val="auto"/>
        </w:rPr>
      </w:pPr>
    </w:p>
    <w:p>
      <w:pPr>
        <w:ind w:left="880" w:hanging="426"/>
        <w:spacing w:after="0" w:line="24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stores. </w:t>
      </w:r>
      <w:r>
        <w:rPr>
          <w:rFonts w:ascii="Arial" w:cs="Arial" w:eastAsia="Arial" w:hAnsi="Arial"/>
          <w:sz w:val="18"/>
          <w:szCs w:val="18"/>
          <w:color w:val="auto"/>
        </w:rPr>
        <w:t>Our acquisitions team continues to pursue the acquisition of multi-store portfolios and single stores that we believe can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value. We have established a reputation as a reliable, ethical buyer, which we believe enhances our ability to negotiate and close acquisitions. In addition, we believe our status as an UPREIT enables flexibility when structuring deals. We continue to see available acquisitions on which to bid and are seeing increasing prices. However, we remain a disciplined buyer and look for acquisitions that will strengthen our portfolio and increase stockholder value.</w:t>
      </w:r>
    </w:p>
    <w:p>
      <w:pPr>
        <w:spacing w:after="0" w:line="100" w:lineRule="exact"/>
        <w:rPr>
          <w:rFonts w:ascii="Arial" w:cs="Arial" w:eastAsia="Arial" w:hAnsi="Arial"/>
          <w:sz w:val="18"/>
          <w:szCs w:val="18"/>
          <w:color w:val="auto"/>
        </w:rPr>
      </w:pPr>
    </w:p>
    <w:p>
      <w:pPr>
        <w:ind w:left="880" w:right="20" w:hanging="426"/>
        <w:spacing w:after="0" w:line="250"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management business. </w:t>
      </w:r>
      <w:r>
        <w:rPr>
          <w:rFonts w:ascii="Arial" w:cs="Arial" w:eastAsia="Arial" w:hAnsi="Arial"/>
          <w:sz w:val="18"/>
          <w:szCs w:val="18"/>
          <w:color w:val="auto"/>
        </w:rPr>
        <w:t>Our management business enables us to generate increased revenues through management fees and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 footprint.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6" w:lineRule="exact"/>
        <w:rPr>
          <w:sz w:val="20"/>
          <w:szCs w:val="20"/>
          <w:color w:val="auto"/>
        </w:rPr>
      </w:pPr>
    </w:p>
    <w:p>
      <w:pPr>
        <w:ind w:right="280" w:firstLine="457"/>
        <w:spacing w:after="0" w:line="311" w:lineRule="auto"/>
        <w:rPr>
          <w:sz w:val="20"/>
          <w:szCs w:val="20"/>
          <w:color w:val="auto"/>
        </w:rPr>
      </w:pPr>
      <w:r>
        <w:rPr>
          <w:rFonts w:ascii="Arial" w:cs="Arial" w:eastAsia="Arial" w:hAnsi="Arial"/>
          <w:sz w:val="15"/>
          <w:szCs w:val="15"/>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Actual results may differ from these estimates. We believe the following are our most critical accounting policies:</w:t>
      </w:r>
    </w:p>
    <w:p>
      <w:pPr>
        <w:spacing w:after="0" w:line="144" w:lineRule="exact"/>
        <w:rPr>
          <w:sz w:val="20"/>
          <w:szCs w:val="20"/>
          <w:color w:val="auto"/>
        </w:rPr>
      </w:pPr>
    </w:p>
    <w:p>
      <w:pPr>
        <w:ind w:right="360" w:firstLine="457"/>
        <w:spacing w:after="0" w:line="270" w:lineRule="auto"/>
        <w:rPr>
          <w:sz w:val="20"/>
          <w:szCs w:val="20"/>
          <w:color w:val="auto"/>
        </w:rPr>
      </w:pPr>
      <w:r>
        <w:rPr>
          <w:rFonts w:ascii="Arial" w:cs="Arial" w:eastAsia="Arial" w:hAnsi="Arial"/>
          <w:sz w:val="18"/>
          <w:szCs w:val="18"/>
          <w:b w:val="1"/>
          <w:bCs w:val="1"/>
          <w:color w:val="auto"/>
        </w:rPr>
        <w:t xml:space="preserve">CONSOLIDATION: </w:t>
      </w:r>
      <w:r>
        <w:rPr>
          <w:rFonts w:ascii="Arial" w:cs="Arial" w:eastAsia="Arial" w:hAnsi="Arial"/>
          <w:sz w:val="18"/>
          <w:szCs w:val="18"/>
          <w:color w:val="auto"/>
        </w:rPr>
        <w:t>Arrangements that are not controlled through voting or similar rights are accounted for as variable interest entities (“VIEs”). An</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is required to consolidate a VIE if it is the primary beneficiary of the VIE.</w:t>
      </w:r>
    </w:p>
    <w:p>
      <w:pPr>
        <w:spacing w:after="0" w:line="174"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195" w:lineRule="exact"/>
        <w:rPr>
          <w:sz w:val="20"/>
          <w:szCs w:val="20"/>
          <w:color w:val="auto"/>
        </w:rPr>
      </w:pPr>
    </w:p>
    <w:p>
      <w:pPr>
        <w:ind w:right="140" w:firstLine="457"/>
        <w:spacing w:after="0" w:line="300" w:lineRule="auto"/>
        <w:rPr>
          <w:sz w:val="20"/>
          <w:szCs w:val="20"/>
          <w:color w:val="auto"/>
        </w:rPr>
      </w:pPr>
      <w:r>
        <w:rPr>
          <w:rFonts w:ascii="Arial" w:cs="Arial" w:eastAsia="Arial" w:hAnsi="Arial"/>
          <w:sz w:val="16"/>
          <w:szCs w:val="16"/>
          <w:color w:val="auto"/>
        </w:rPr>
        <w:t>We have concluded that under certain circumstances when we enter into arrangements for the formation of joint ventures, a VIE may be created under condition (i), (ii) (b) or (c) of the previous paragraph. For each VIE created, we have performed a qualitative analysis, including considering which party, if any, has the power to direct the activities most significant to the economic performance of each VIE and whether that party has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2"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obligation to absorb losses of the VIE or the right to receive benefits from the VIE that could be significant to the VIE. If we are determined to be the primary beneficiary of the VIE, the assets, liabilities and operations of the VIE are consolidated with our financial statements. As of December 31, 2015, we had no consolidated VIEs. Additionally, our Operating Partnership has notes payable to three trusts that are VIEs under condition (ii)(a) above. Since the Operating Partnership is not the primary beneficiary of the trusts, these VIEs are not consolidated.</w:t>
      </w:r>
    </w:p>
    <w:p>
      <w:pPr>
        <w:spacing w:after="0" w:line="187"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b w:val="1"/>
          <w:bCs w:val="1"/>
          <w:color w:val="auto"/>
        </w:rPr>
        <w:t xml:space="preserve">REAL ESTATE ASSETS: </w:t>
      </w:r>
      <w:r>
        <w:rPr>
          <w:rFonts w:ascii="Arial" w:cs="Arial" w:eastAsia="Arial" w:hAnsi="Arial"/>
          <w:sz w:val="18"/>
          <w:szCs w:val="18"/>
          <w:color w:val="auto"/>
        </w:rPr>
        <w:t>Real estate assets are stated at cost, less accumulated depreciation. Direct and allowable internal costs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construction, renovation, and improvement of real estate assets are capitalized. Interest, property taxes, and other costs associated with development incurred during the construction period are capitalized.</w:t>
      </w:r>
    </w:p>
    <w:p>
      <w:pPr>
        <w:spacing w:after="0" w:line="186"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5 and 39 years.</w:t>
      </w:r>
    </w:p>
    <w:p>
      <w:pPr>
        <w:spacing w:after="0" w:line="188"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In connection with our acquisition of stores,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We measure the value of tenant relationships based on the rent lost due to the amount of time required to replace existing customers, which is based on our historical experience with turnover in our facilities. Debt assumed as part of an acquisition is recorded at fair value based on current interest rates compared to contractual rates. Acquisition-related transaction costs are expensed as incurred.</w:t>
      </w:r>
    </w:p>
    <w:p>
      <w:pPr>
        <w:spacing w:after="0" w:line="167"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Intangible lease rights include: (1) purchase price amounts allocated to leases on three stores that cannot be classified as ground or building leases; these rights are amortized to expense over the term of the leases; and (2) intangibles related to ground leases on six stores where the ground leases were assumed by the Company at rates that were different than the current market rates for similar leases. The value associated with these assumed leases were recorded as intangibles, which will be amortized over the lease terms.</w:t>
      </w:r>
    </w:p>
    <w:p>
      <w:pPr>
        <w:spacing w:after="0" w:line="187" w:lineRule="exact"/>
        <w:rPr>
          <w:sz w:val="20"/>
          <w:szCs w:val="20"/>
          <w:color w:val="auto"/>
        </w:rPr>
      </w:pPr>
    </w:p>
    <w:p>
      <w:pPr>
        <w:ind w:right="220" w:firstLine="457"/>
        <w:spacing w:after="0" w:line="251" w:lineRule="auto"/>
        <w:rPr>
          <w:sz w:val="20"/>
          <w:szCs w:val="20"/>
          <w:color w:val="auto"/>
        </w:rPr>
      </w:pPr>
      <w:r>
        <w:rPr>
          <w:rFonts w:ascii="Arial" w:cs="Arial" w:eastAsia="Arial" w:hAnsi="Arial"/>
          <w:sz w:val="18"/>
          <w:szCs w:val="18"/>
          <w:b w:val="1"/>
          <w:bCs w:val="1"/>
          <w:color w:val="auto"/>
        </w:rPr>
        <w:t xml:space="preserve">EVALUATION OF ASSET IMPAIRMENT: </w:t>
      </w:r>
      <w:r>
        <w:rPr>
          <w:rFonts w:ascii="Arial" w:cs="Arial" w:eastAsia="Arial" w:hAnsi="Arial"/>
          <w:sz w:val="18"/>
          <w:szCs w:val="18"/>
          <w:color w:val="auto"/>
        </w:rPr>
        <w:t>Long lived assets held for use are evaluated for impairment when events or circumstances indicate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w:t>
      </w:r>
    </w:p>
    <w:p>
      <w:pPr>
        <w:spacing w:after="0" w:line="191" w:lineRule="exact"/>
        <w:rPr>
          <w:sz w:val="20"/>
          <w:szCs w:val="20"/>
          <w:color w:val="auto"/>
        </w:rPr>
      </w:pPr>
    </w:p>
    <w:p>
      <w:pPr>
        <w:ind w:right="260" w:firstLine="457"/>
        <w:spacing w:after="0" w:line="250" w:lineRule="auto"/>
        <w:rPr>
          <w:sz w:val="20"/>
          <w:szCs w:val="20"/>
          <w:color w:val="auto"/>
        </w:rPr>
      </w:pPr>
      <w:r>
        <w:rPr>
          <w:rFonts w:ascii="Arial" w:cs="Arial" w:eastAsia="Arial" w:hAnsi="Arial"/>
          <w:sz w:val="18"/>
          <w:szCs w:val="18"/>
          <w:color w:val="auto"/>
        </w:rPr>
        <w:t>When we determine that an event that may indicate impairment has occurred, we compare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93"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When real estate assets are identified as held for sale, we discontinue depreciating the assets and estimate the fair value of the assets, net of selling costs. If the estimated fair value, net of selling costs, of the assets that have been identified as held for sale is less than the net carrying value of the assets, we would recognize a loss on the disposal group classified as held for sale. The operations of assets held for sale or sold during the period are presented as part of normal operations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2"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right="140" w:firstLine="457"/>
        <w:spacing w:after="0" w:line="257" w:lineRule="auto"/>
        <w:rPr>
          <w:sz w:val="20"/>
          <w:szCs w:val="20"/>
          <w:color w:val="auto"/>
        </w:rPr>
      </w:pPr>
      <w:r>
        <w:rPr>
          <w:rFonts w:ascii="Arial" w:cs="Arial" w:eastAsia="Arial" w:hAnsi="Arial"/>
          <w:sz w:val="18"/>
          <w:szCs w:val="18"/>
          <w:b w:val="1"/>
          <w:bCs w:val="1"/>
          <w:color w:val="auto"/>
        </w:rPr>
        <w:t xml:space="preserve">INVESTMENTS IN UNCONSOLIDATED REAL ESTATE VENTURES: </w:t>
      </w:r>
      <w:r>
        <w:rPr>
          <w:rFonts w:ascii="Arial" w:cs="Arial" w:eastAsia="Arial" w:hAnsi="Arial"/>
          <w:sz w:val="18"/>
          <w:szCs w:val="18"/>
          <w:color w:val="auto"/>
        </w:rPr>
        <w:t>Our investments in real estate joint ventures where we have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but not control, and joint ventures which are VIEs in which we are not the primary beneficiary, are recorded under the equity method of accounting on the accompanying consolidated financial statements.</w:t>
      </w:r>
    </w:p>
    <w:p>
      <w:pPr>
        <w:spacing w:after="0" w:line="186" w:lineRule="exact"/>
        <w:rPr>
          <w:sz w:val="20"/>
          <w:szCs w:val="20"/>
          <w:color w:val="auto"/>
        </w:rPr>
      </w:pPr>
    </w:p>
    <w:p>
      <w:pPr>
        <w:ind w:right="120" w:firstLine="457"/>
        <w:spacing w:after="0" w:line="248" w:lineRule="auto"/>
        <w:rPr>
          <w:sz w:val="20"/>
          <w:szCs w:val="20"/>
          <w:color w:val="auto"/>
        </w:rPr>
      </w:pPr>
      <w:r>
        <w:rPr>
          <w:rFonts w:ascii="Arial" w:cs="Arial" w:eastAsia="Arial" w:hAnsi="Arial"/>
          <w:sz w:val="18"/>
          <w:szCs w:val="18"/>
          <w:color w:val="auto"/>
        </w:rPr>
        <w:t>Under the equity method, our investment in real estate ventures is stated at cost and adjusted for our share of net earnings or losses and reduced by distributions. Equity in earnings of real estate ventures is generally recognized based on our ownership interest in the earnings of each of the unconsolidated real estate ventures. For the purposes of presentation in the statement of cash flows, we follow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195" w:lineRule="exact"/>
        <w:rPr>
          <w:sz w:val="20"/>
          <w:szCs w:val="20"/>
          <w:color w:val="auto"/>
        </w:rPr>
      </w:pPr>
    </w:p>
    <w:p>
      <w:pPr>
        <w:ind w:right="220" w:firstLine="457"/>
        <w:spacing w:after="0" w:line="292" w:lineRule="auto"/>
        <w:rPr>
          <w:sz w:val="20"/>
          <w:szCs w:val="20"/>
          <w:color w:val="auto"/>
        </w:rPr>
      </w:pPr>
      <w:r>
        <w:rPr>
          <w:rFonts w:ascii="Arial" w:cs="Arial" w:eastAsia="Arial" w:hAnsi="Arial"/>
          <w:sz w:val="16"/>
          <w:szCs w:val="16"/>
          <w:color w:val="auto"/>
        </w:rPr>
        <w:t>Our management assesses annually whether there are any indicators that the value of our investments in unconsolidated real estate ventures may be impaired and when events or circumstances indicate that there may be impairment. An investment is impaired if management’s estimate of the fair value of the investment, using significant unobservable inputs, is less than its carrying value. To the extent impairment has occurred and is considered to be other than temporary, the loss is measured as the excess of the carrying amount of the investment over the fair value of the investment.</w:t>
      </w:r>
    </w:p>
    <w:p>
      <w:pPr>
        <w:spacing w:after="0" w:line="154" w:lineRule="exact"/>
        <w:rPr>
          <w:sz w:val="20"/>
          <w:szCs w:val="20"/>
          <w:color w:val="auto"/>
        </w:rPr>
      </w:pPr>
    </w:p>
    <w:p>
      <w:pPr>
        <w:ind w:right="180" w:firstLine="457"/>
        <w:spacing w:after="0" w:line="253"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The accounting for changes in the fair value of derivatives depends on the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use of the derivative and the resulting designation. Derivatives used to hedge the exposure to changes in the fair value of an asset, liability or firm commitment attributable to a particular risk, are considered fair value hedges. Derivatives used to hedge the exposure to variability in expected future cash flows, or other types of forecasted transactions, are considered cash flow hedges.</w:t>
      </w:r>
    </w:p>
    <w:p>
      <w:pPr>
        <w:spacing w:after="0" w:line="189" w:lineRule="exact"/>
        <w:rPr>
          <w:sz w:val="20"/>
          <w:szCs w:val="20"/>
          <w:color w:val="auto"/>
        </w:rPr>
      </w:pPr>
    </w:p>
    <w:p>
      <w:pPr>
        <w:ind w:right="120" w:firstLine="457"/>
        <w:spacing w:after="0" w:line="300" w:lineRule="auto"/>
        <w:rPr>
          <w:sz w:val="20"/>
          <w:szCs w:val="20"/>
          <w:color w:val="auto"/>
        </w:rPr>
      </w:pPr>
      <w:r>
        <w:rPr>
          <w:rFonts w:ascii="Arial" w:cs="Arial" w:eastAsia="Arial" w:hAnsi="Arial"/>
          <w:sz w:val="16"/>
          <w:szCs w:val="16"/>
          <w:color w:val="auto"/>
        </w:rPr>
        <w:t>For derivatives designated as fair value hedges, changes in the fair value of the derivative and the hedged item related to the hedged risk are recognized in earnings.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49" w:lineRule="exact"/>
        <w:rPr>
          <w:sz w:val="20"/>
          <w:szCs w:val="20"/>
          <w:color w:val="auto"/>
        </w:rPr>
      </w:pPr>
    </w:p>
    <w:p>
      <w:pPr>
        <w:ind w:right="180" w:firstLine="457"/>
        <w:spacing w:after="0" w:line="287" w:lineRule="auto"/>
        <w:rPr>
          <w:sz w:val="20"/>
          <w:szCs w:val="20"/>
          <w:color w:val="auto"/>
        </w:rPr>
      </w:pPr>
      <w:r>
        <w:rPr>
          <w:rFonts w:ascii="Arial" w:cs="Arial" w:eastAsia="Arial" w:hAnsi="Arial"/>
          <w:sz w:val="16"/>
          <w:szCs w:val="16"/>
          <w:b w:val="1"/>
          <w:bCs w:val="1"/>
          <w:color w:val="auto"/>
        </w:rPr>
        <w:t xml:space="preserve">REVENUE AND EXPENSE RECOGNITION: </w:t>
      </w:r>
      <w:r>
        <w:rPr>
          <w:rFonts w:ascii="Arial" w:cs="Arial" w:eastAsia="Arial" w:hAnsi="Arial"/>
          <w:sz w:val="16"/>
          <w:szCs w:val="16"/>
          <w:color w:val="auto"/>
        </w:rPr>
        <w:t>Rental revenues are recognized as earned based upon amounts that are currently due from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in income when earned. Management fee revenues are recognized monthly as services are performed and in accordance with the terms of the related management agreements. Equity in earnings of real estate entities is recognized based on our ownership interest in the earnings of each of the unconsolidated real estate entities. Interest income is recognized as earned.</w:t>
      </w:r>
    </w:p>
    <w:p>
      <w:pPr>
        <w:spacing w:after="0" w:line="164"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We accrue for property tax expense based upon invoice amounts, estimates and historical trends. If these estimates are incorrect, the timing of expense recognition could be affected.</w:t>
      </w:r>
    </w:p>
    <w:p>
      <w:pPr>
        <w:spacing w:after="0" w:line="188"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Tenant reinsurance premiums are recognized as revenue over the period of insurance coverage. We record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We use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2"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two thousand dollars to ten thousand dollars of insurance coverage in exchange for a monthly fee. Our exposure per claim is limited by the maximum amount of coverage chosen by each tenant. We purchase reinsurance for losses exceeding a set amount on any one event. We do not currently have any amounts recoverable under the reinsurance arrangements.</w:t>
      </w:r>
    </w:p>
    <w:p>
      <w:pPr>
        <w:spacing w:after="0" w:line="157"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have elected to be treated as a REIT under Sections 856 through 860 of the Internal Revenue Code. In order to maintain our</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as a REIT, among other things, we are required to distribute at least 90% of our REIT taxable income to our stockholders and meet certain tests regarding the nature of our income and assets. As a REIT, we are not subject to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If we were to fail to meet these requirements, we would be subject to federal income tax. We are subject to certain state and local taxes. Provision for such taxes has been included in income tax expense in our consolidated statements of operations.</w:t>
      </w:r>
    </w:p>
    <w:p>
      <w:pPr>
        <w:spacing w:after="0" w:line="164" w:lineRule="exact"/>
        <w:rPr>
          <w:sz w:val="20"/>
          <w:szCs w:val="20"/>
          <w:color w:val="auto"/>
        </w:rPr>
      </w:pPr>
    </w:p>
    <w:p>
      <w:pPr>
        <w:ind w:right="60" w:firstLine="457"/>
        <w:spacing w:after="0" w:line="292" w:lineRule="auto"/>
        <w:rPr>
          <w:sz w:val="20"/>
          <w:szCs w:val="20"/>
          <w:color w:val="auto"/>
        </w:rPr>
      </w:pPr>
      <w:r>
        <w:rPr>
          <w:rFonts w:ascii="Arial" w:cs="Arial" w:eastAsia="Arial" w:hAnsi="Arial"/>
          <w:sz w:val="16"/>
          <w:szCs w:val="16"/>
          <w:color w:val="auto"/>
        </w:rPr>
        <w:t>We have elected to treat one of our corporate subsidiaries, Extra Space Management, Inc., as a taxable REIT subsidiary (“TRS”). In general, our TRS may perform additional services for tenants and generally may engage in any real estate or non-real estate related business. A TRS is subject to corporate federal income tax. Deferred tax assets and liabilities are determined based on differences between financial reporting and tax bases of assets and liabilities. Interest and penalties relating to uncertain tax positions will be recognized in income tax expense when incurred.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6"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In April 2014, the Financial Accounting Standards Board (“FASB”) issued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Disposals of Components of an Entity.</w:t>
      </w:r>
      <w:r>
        <w:rPr>
          <w:rFonts w:ascii="Arial" w:cs="Arial" w:eastAsia="Arial" w:hAnsi="Arial"/>
          <w:sz w:val="18"/>
          <w:szCs w:val="18"/>
          <w:color w:val="auto"/>
        </w:rPr>
        <w:t>” Under this guidance, only disposals representing a strategic shift in operations should be presented as discontinued operations. The guidance also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new disclosures of both discontinued operations and certain other disposals that do not meet the definition of a discontinued operation. The Company adopted this guidance effective January 1, 2015. We have not previously had discontinued operations and as such, this guidance did not have a significant impact on our consolidated financial statements.</w:t>
      </w:r>
    </w:p>
    <w:p>
      <w:pPr>
        <w:spacing w:after="0" w:line="19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amends the guidance for revenue recognition to replace numerous, industry-specific requirements and converges areas under this topic with those of the International Financial Reporting Standards. ASU 2014-09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ASU 2014-09 was originally effective for reporting periods beginning after December 15, 2016. Entities can transition to the standard either retrospectively or as a cumulative-effect adjustment as of the date of adoption. In July 2015, the FASB approved a one-year deferral of the effective date of the standard. The new standard will now become effective for annual and interim periods beginning after December 15, 2017 with early adoption on the original effective date permitted. The Company has not yet selected a transition method. Management is currently assessing the impact of the adoption of ASU 2014-09 on our consolidated financial statements.</w:t>
      </w:r>
    </w:p>
    <w:p>
      <w:pPr>
        <w:spacing w:after="0" w:line="173"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In February 2015, the FASB issued ASU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xml:space="preserve"> This guidance is effective for annual reporting periods beginning after December 15, 2015, including interim periods within that reporting period. ASU 2015-02 amends the criteria for determining if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2"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326" w:lineRule="auto"/>
        <w:rPr>
          <w:sz w:val="20"/>
          <w:szCs w:val="20"/>
          <w:color w:val="auto"/>
        </w:rPr>
      </w:pPr>
      <w:r>
        <w:rPr>
          <w:rFonts w:ascii="Arial" w:cs="Arial" w:eastAsia="Arial" w:hAnsi="Arial"/>
          <w:sz w:val="16"/>
          <w:szCs w:val="16"/>
          <w:color w:val="auto"/>
        </w:rPr>
        <w:t>a service provider possesses a variable interest in a variable interest entity (“VIE”), and eliminates the presumption that a general partner should consolidate a limited partnership. We do not expect the adoption of this standard to materially impact its consolidated financial statements.</w:t>
      </w:r>
    </w:p>
    <w:p>
      <w:pPr>
        <w:spacing w:after="0" w:line="134"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In April 2015, the FASB issued ASU 2015-03, “</w:t>
      </w:r>
      <w:r>
        <w:rPr>
          <w:rFonts w:ascii="Arial" w:cs="Arial" w:eastAsia="Arial" w:hAnsi="Arial"/>
          <w:sz w:val="16"/>
          <w:szCs w:val="16"/>
          <w:i w:val="1"/>
          <w:iCs w:val="1"/>
          <w:color w:val="auto"/>
        </w:rPr>
        <w:t>Interest—Imputation of Interest: Simplifying the Presentation of Debt Issuance Costs,</w:t>
      </w:r>
      <w:r>
        <w:rPr>
          <w:rFonts w:ascii="Arial" w:cs="Arial" w:eastAsia="Arial" w:hAnsi="Arial"/>
          <w:sz w:val="16"/>
          <w:szCs w:val="16"/>
          <w:color w:val="auto"/>
        </w:rPr>
        <w:t>” which requires debt issuance costs related to a recognized debt liability to be presented as a direct deduction from the carrying amount of that debt liability. The new guidance only impacts financial statement presentation. The guidance is effective in the first quarter of 2016 and allows for early adoption. We adopted this guidance October 1, 2015 on a retrospective basis. As a result $20,120 of unamortized debt issuance costs that had been included in the Other assets line on the consolidated balance sheets as of December 31, 2014 are now presented as direct deductions from the carrying amounts of the related debt liabilities.</w:t>
      </w:r>
    </w:p>
    <w:p>
      <w:pPr>
        <w:spacing w:after="0" w:line="163" w:lineRule="exact"/>
        <w:rPr>
          <w:sz w:val="20"/>
          <w:szCs w:val="20"/>
          <w:color w:val="auto"/>
        </w:rPr>
      </w:pPr>
    </w:p>
    <w:p>
      <w:pPr>
        <w:ind w:firstLine="457"/>
        <w:spacing w:after="0" w:line="247" w:lineRule="auto"/>
        <w:rPr>
          <w:sz w:val="20"/>
          <w:szCs w:val="20"/>
          <w:color w:val="auto"/>
        </w:rPr>
      </w:pPr>
      <w:r>
        <w:rPr>
          <w:rFonts w:ascii="Arial" w:cs="Arial" w:eastAsia="Arial" w:hAnsi="Arial"/>
          <w:sz w:val="18"/>
          <w:szCs w:val="18"/>
          <w:color w:val="auto"/>
        </w:rPr>
        <w:t>In April 2015, the FASB issued ASU 2015-05, “</w:t>
      </w:r>
      <w:r>
        <w:rPr>
          <w:rFonts w:ascii="Arial" w:cs="Arial" w:eastAsia="Arial" w:hAnsi="Arial"/>
          <w:sz w:val="18"/>
          <w:szCs w:val="18"/>
          <w:i w:val="1"/>
          <w:iCs w:val="1"/>
          <w:color w:val="auto"/>
        </w:rPr>
        <w:t>Intangibles—Goodwill and Other—Internal-Use Software (Subtopic 350-40)—Customers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Fees Paid in a Cloud Computing Arrangement,</w:t>
      </w:r>
      <w:r>
        <w:rPr>
          <w:rFonts w:ascii="Arial" w:cs="Arial" w:eastAsia="Arial" w:hAnsi="Arial"/>
          <w:sz w:val="18"/>
          <w:szCs w:val="18"/>
          <w:color w:val="auto"/>
        </w:rPr>
        <w:t>” which provides guidance regarding the accounting for fees paid by a customer in cloud computing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If a cloud computing arrangement includes a software license, the payment of fees should be accounted for in the same manner as the acquisition of other software licenses. If there is no software license, the fees should be accounted for as a service contract. The guidance is effective in fiscal years beginning after December 15, 2015 and early adoption is permitted. An entity can elect to adopt the amendments either (1) prospectively to all arrangements entered into or materially modified after the effective date or (2) retrospectively. We do not expect the adoption of this standard to materially impact our consolidated financial statements.</w:t>
      </w:r>
    </w:p>
    <w:p>
      <w:pPr>
        <w:spacing w:after="0" w:line="198" w:lineRule="exact"/>
        <w:rPr>
          <w:sz w:val="20"/>
          <w:szCs w:val="20"/>
          <w:color w:val="auto"/>
        </w:rPr>
      </w:pPr>
    </w:p>
    <w:p>
      <w:pPr>
        <w:ind w:right="80" w:firstLine="457"/>
        <w:spacing w:after="0" w:line="311" w:lineRule="auto"/>
        <w:rPr>
          <w:sz w:val="20"/>
          <w:szCs w:val="20"/>
          <w:color w:val="auto"/>
        </w:rPr>
      </w:pPr>
      <w:r>
        <w:rPr>
          <w:rFonts w:ascii="Arial" w:cs="Arial" w:eastAsia="Arial" w:hAnsi="Arial"/>
          <w:sz w:val="15"/>
          <w:szCs w:val="15"/>
          <w:color w:val="auto"/>
        </w:rPr>
        <w:t xml:space="preserve">In August 2015, the FASB issued ASU 2015-15, </w:t>
      </w:r>
      <w:r>
        <w:rPr>
          <w:rFonts w:ascii="Arial" w:cs="Arial" w:eastAsia="Arial" w:hAnsi="Arial"/>
          <w:sz w:val="15"/>
          <w:szCs w:val="15"/>
          <w:i w:val="1"/>
          <w:iCs w:val="1"/>
          <w:color w:val="auto"/>
        </w:rPr>
        <w:t>“Interest—Imputation of Interest (Subtopic 835-30) Presentation and Subsequent Measurement of Debt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Issuance Costs Associated with Line-of-Credit Arrangements,” </w:t>
      </w:r>
      <w:r>
        <w:rPr>
          <w:rFonts w:ascii="Arial" w:cs="Arial" w:eastAsia="Arial" w:hAnsi="Arial"/>
          <w:sz w:val="15"/>
          <w:szCs w:val="15"/>
          <w:color w:val="auto"/>
        </w:rPr>
        <w:t>which provides guidance regarding the classification of debt issuance costs associated with lines</w:t>
      </w:r>
      <w:r>
        <w:rPr>
          <w:rFonts w:ascii="Arial" w:cs="Arial" w:eastAsia="Arial" w:hAnsi="Arial"/>
          <w:sz w:val="15"/>
          <w:szCs w:val="15"/>
          <w:i w:val="1"/>
          <w:iCs w:val="1"/>
          <w:color w:val="auto"/>
        </w:rPr>
        <w:t xml:space="preserve"> </w:t>
      </w:r>
      <w:r>
        <w:rPr>
          <w:rFonts w:ascii="Arial" w:cs="Arial" w:eastAsia="Arial" w:hAnsi="Arial"/>
          <w:sz w:val="15"/>
          <w:szCs w:val="15"/>
          <w:color w:val="auto"/>
        </w:rPr>
        <w:t>of credit. Specifically, deferring and presenting debt issuance costs as an asset and subsequently amortizing the deferred debt issuance costs ratably over the term of the line-of-credit arrangement, regardless of whether there are any outstanding borrowings on the line-of-credit arrangement is allowed. We adopted this guidance effective October 1, 2015. We continued to present the debt issuance costs and related accumulated amortization relating to our lines of credit as assets.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Results for the year ended December 31, 2015, included the operations of 999 stores (747 of which were consolidated and 252 of which were in joint ventures accounted for using the equity method) compared to the results for the year ended December 31, 2014, which included the operations of 828 stores (576 of which were consolidated and 252 of which were in joint ventures accounted for using the equity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5"/>
              </w:rPr>
              <w:t>$ Change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9"/>
              <w:spacing w:after="0" w:line="139"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6"/>
              <w:spacing w:after="0" w:line="139"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Revenues:</w:t>
            </w:r>
          </w:p>
        </w:tc>
        <w:tc>
          <w:tcPr>
            <w:tcW w:w="10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676,138</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559,868</w:t>
            </w:r>
          </w:p>
        </w:tc>
        <w:tc>
          <w:tcPr>
            <w:tcW w:w="1740" w:type="dxa"/>
            <w:vAlign w:val="bottom"/>
            <w:gridSpan w:val="3"/>
          </w:tcPr>
          <w:p>
            <w:pPr>
              <w:jc w:val="right"/>
              <w:ind w:right="720"/>
              <w:spacing w:after="0"/>
              <w:rPr>
                <w:sz w:val="20"/>
                <w:szCs w:val="20"/>
                <w:color w:val="auto"/>
              </w:rPr>
            </w:pPr>
            <w:r>
              <w:rPr>
                <w:rFonts w:ascii="Arial" w:cs="Arial" w:eastAsia="Arial" w:hAnsi="Arial"/>
                <w:sz w:val="18"/>
                <w:szCs w:val="18"/>
                <w:color w:val="auto"/>
              </w:rPr>
              <w:t>$116,270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59,072</w:t>
            </w:r>
          </w:p>
        </w:tc>
        <w:tc>
          <w:tcPr>
            <w:tcW w:w="17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12,899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1"/>
        </w:trPr>
        <w:tc>
          <w:tcPr>
            <w:tcW w:w="3940" w:type="dxa"/>
            <w:vAlign w:val="bottom"/>
          </w:tcPr>
          <w:p>
            <w:pPr>
              <w:ind w:left="360"/>
              <w:spacing w:after="0"/>
              <w:rPr>
                <w:sz w:val="20"/>
                <w:szCs w:val="20"/>
                <w:color w:val="auto"/>
              </w:rPr>
            </w:pPr>
            <w:r>
              <w:rPr>
                <w:rFonts w:ascii="Arial" w:cs="Arial" w:eastAsia="Arial" w:hAnsi="Arial"/>
                <w:sz w:val="18"/>
                <w:szCs w:val="18"/>
                <w:color w:val="auto"/>
              </w:rPr>
              <w:t>Management fees and other income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34,161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28,215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5,946</w:t>
            </w:r>
          </w:p>
        </w:tc>
        <w:tc>
          <w:tcPr>
            <w:tcW w:w="7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782,270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647,155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135,115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19"/>
              <w:spacing w:after="0"/>
              <w:rPr>
                <w:sz w:val="20"/>
                <w:szCs w:val="20"/>
                <w:color w:val="auto"/>
              </w:rPr>
            </w:pPr>
            <w:r>
              <w:rPr>
                <w:rFonts w:ascii="Arial" w:cs="Arial" w:eastAsia="Arial" w:hAnsi="Arial"/>
                <w:sz w:val="18"/>
                <w:szCs w:val="18"/>
                <w:color w:val="auto"/>
                <w:w w:val="89"/>
              </w:rPr>
              <w:t>34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change in property rental revenues consists primarily of an increase of $69,622 associated with acquisitions completed in 2015 and</w:t>
      </w:r>
      <w:r>
        <w:rPr>
          <w:rFonts w:ascii="Arial" w:cs="Arial" w:eastAsia="Arial" w:hAnsi="Arial"/>
          <w:sz w:val="16"/>
          <w:szCs w:val="16"/>
          <w:b w:val="1"/>
          <w:bCs w:val="1"/>
          <w:color w:val="auto"/>
        </w:rPr>
        <w:t xml:space="preserve"> </w:t>
      </w:r>
      <w:r>
        <w:rPr>
          <w:rFonts w:ascii="Arial" w:cs="Arial" w:eastAsia="Arial" w:hAnsi="Arial"/>
          <w:sz w:val="16"/>
          <w:szCs w:val="16"/>
          <w:color w:val="auto"/>
        </w:rPr>
        <w:t>2014. We acquired 171 operating stores during 2015 and 51 stores during 2014. In addition, revenues increased by $47,560 as a result of increases in occupancy and rental rates to new and existing customers at our stabilized stores. We have seen no significant increase in overall customer renewal rates and our average length of stay is approximately 13.7 months. For existing customers we generally seek to increase rental rates approximately 7% to 10% at least annually. Rental rates to new tenants increased by approximately 8.9% over the prior year. Occupancy at our stabilized stores increased to 91.1% at December 31, 2015, as compared to 89.6% at December 31, 2014.</w:t>
      </w:r>
    </w:p>
    <w:p>
      <w:pPr>
        <w:spacing w:after="0" w:line="158" w:lineRule="exact"/>
        <w:rPr>
          <w:sz w:val="20"/>
          <w:szCs w:val="20"/>
          <w:color w:val="auto"/>
        </w:rPr>
      </w:pPr>
    </w:p>
    <w:p>
      <w:pPr>
        <w:ind w:right="140" w:firstLine="457"/>
        <w:spacing w:after="0" w:line="257"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was partially due to the increase in overall customer participation to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72.8% at December 31, 2015, compared to approximately 70.7% at December 31, 2014. In addition, we operated 1,347 stores at December 31, 2015, compared to 1,088 stores at December 31, 2014.</w:t>
      </w:r>
    </w:p>
    <w:p>
      <w:pPr>
        <w:spacing w:after="0" w:line="180" w:lineRule="exact"/>
        <w:rPr>
          <w:sz w:val="20"/>
          <w:szCs w:val="20"/>
          <w:color w:val="auto"/>
        </w:rPr>
      </w:pPr>
    </w:p>
    <w:p>
      <w:pPr>
        <w:ind w:right="100" w:firstLine="457"/>
        <w:spacing w:after="0" w:line="25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—Our taxable REIT subsidiary, Extra Space Management, Inc., manages stores owned by our joint ventures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Management fees generally represent 6.0% of cash collected from stores owned by third parties and unconsolidated joint ventures. We also earn an asset management fee from the Storage Portfolio I (“SPI”) joint venture, equal to 0.50% multiplied by the total asset value, provided certain conditions are met. The increase in management fees is due to an increase in the number of properties managed. At December 31, 2015, we managed 348 stores, compared to 260 stores at December 31, 2014.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232" w:lineRule="exact"/>
        <w:rPr>
          <w:sz w:val="20"/>
          <w:szCs w:val="20"/>
          <w:color w:val="auto"/>
        </w:rPr>
      </w:pPr>
    </w:p>
    <w:p>
      <w:pPr>
        <w:jc w:val="center"/>
        <w:ind w:left="2020"/>
        <w:spacing w:after="0"/>
        <w:rPr>
          <w:sz w:val="20"/>
          <w:szCs w:val="20"/>
          <w:color w:val="auto"/>
        </w:rPr>
      </w:pPr>
      <w:r>
        <w:rPr>
          <w:rFonts w:ascii="Arial" w:cs="Arial" w:eastAsia="Arial" w:hAnsi="Arial"/>
          <w:sz w:val="14"/>
          <w:szCs w:val="14"/>
          <w:b w:val="1"/>
          <w:bCs w:val="1"/>
          <w:color w:val="auto"/>
        </w:rPr>
        <w:t>For the Year Ended</w:t>
      </w:r>
    </w:p>
    <w:p>
      <w:pPr>
        <w:jc w:val="center"/>
        <w:ind w:left="2020"/>
        <w:spacing w:after="0" w:line="226" w:lineRule="auto"/>
        <w:rPr>
          <w:sz w:val="20"/>
          <w:szCs w:val="20"/>
          <w:color w:val="auto"/>
        </w:rPr>
      </w:pPr>
      <w:r>
        <w:rPr>
          <w:rFonts w:ascii="Arial" w:cs="Arial" w:eastAsia="Arial" w:hAnsi="Arial"/>
          <w:sz w:val="14"/>
          <w:szCs w:val="14"/>
          <w:b w:val="1"/>
          <w:bCs w:val="1"/>
          <w:color w:val="auto"/>
        </w:rPr>
        <w:t>December 31,</w:t>
      </w:r>
    </w:p>
    <w:tbl>
      <w:tblPr>
        <w:tblLayout w:type="fixed"/>
        <w:tblInd w:w="4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39"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39"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2"/>
          </w:tcPr>
          <w:p>
            <w:pPr>
              <w:jc w:val="right"/>
              <w:ind w:right="780"/>
              <w:spacing w:after="0" w:line="139" w:lineRule="exact"/>
              <w:rPr>
                <w:sz w:val="20"/>
                <w:szCs w:val="20"/>
                <w:color w:val="auto"/>
              </w:rPr>
            </w:pPr>
            <w:r>
              <w:rPr>
                <w:rFonts w:ascii="Arial" w:cs="Arial" w:eastAsia="Arial" w:hAnsi="Arial"/>
                <w:sz w:val="14"/>
                <w:szCs w:val="14"/>
                <w:b w:val="1"/>
                <w:bCs w:val="1"/>
                <w:color w:val="auto"/>
                <w:w w:val="95"/>
              </w:rPr>
              <w:t>$ Change</w:t>
            </w: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91"/>
              </w:rPr>
              <w:t>% Change</w:t>
            </w:r>
          </w:p>
        </w:tc>
      </w:tr>
      <w:tr>
        <w:trPr>
          <w:trHeight w:val="191"/>
        </w:trPr>
        <w:tc>
          <w:tcPr>
            <w:tcW w:w="37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Expenses:</w:t>
            </w:r>
          </w:p>
        </w:tc>
        <w:tc>
          <w:tcPr>
            <w:tcW w:w="1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1"/>
        </w:trPr>
        <w:tc>
          <w:tcPr>
            <w:tcW w:w="374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203,965</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172,416</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$ 31,549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11"/>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11"/>
        </w:trPr>
        <w:tc>
          <w:tcPr>
            <w:tcW w:w="3740" w:type="dxa"/>
            <w:vAlign w:val="bottom"/>
          </w:tcPr>
          <w:p>
            <w:pPr>
              <w:ind w:left="360"/>
              <w:spacing w:after="0"/>
              <w:rPr>
                <w:sz w:val="20"/>
                <w:szCs w:val="20"/>
                <w:color w:val="auto"/>
              </w:rPr>
            </w:pPr>
            <w:r>
              <w:rPr>
                <w:rFonts w:ascii="Arial" w:cs="Arial" w:eastAsia="Arial" w:hAnsi="Arial"/>
                <w:sz w:val="18"/>
                <w:szCs w:val="18"/>
                <w:color w:val="auto"/>
              </w:rPr>
              <w:t>Acquisition related costs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69,401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9,826</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59,575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1"/>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67,758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1"/>
        </w:trPr>
        <w:tc>
          <w:tcPr>
            <w:tcW w:w="3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133,457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115,076</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18,381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6"/>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1"/>
        </w:trPr>
        <w:tc>
          <w:tcPr>
            <w:tcW w:w="3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487,614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368,687</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118,927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r>
      <w:tr>
        <w:trPr>
          <w:trHeight w:val="20"/>
        </w:trPr>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457"/>
        <w:spacing w:after="0" w:line="333"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consists primarily of an increase of $26,236 related to acquisitions completed in 2015</w:t>
      </w:r>
      <w:r>
        <w:rPr>
          <w:rFonts w:ascii="Arial" w:cs="Arial" w:eastAsia="Arial" w:hAnsi="Arial"/>
          <w:sz w:val="16"/>
          <w:szCs w:val="16"/>
          <w:b w:val="1"/>
          <w:bCs w:val="1"/>
          <w:color w:val="auto"/>
        </w:rPr>
        <w:t xml:space="preserve"> </w:t>
      </w:r>
      <w:r>
        <w:rPr>
          <w:rFonts w:ascii="Arial" w:cs="Arial" w:eastAsia="Arial" w:hAnsi="Arial"/>
          <w:sz w:val="16"/>
          <w:szCs w:val="16"/>
          <w:color w:val="auto"/>
        </w:rPr>
        <w:t>and 2014. We acquired 171 operating stores during the year ended December 31, 2015 and 51 stores during the year ended December 31, 2014.</w:t>
      </w:r>
    </w:p>
    <w:p>
      <w:pPr>
        <w:spacing w:after="0" w:line="123" w:lineRule="exact"/>
        <w:rPr>
          <w:sz w:val="20"/>
          <w:szCs w:val="20"/>
          <w:color w:val="auto"/>
        </w:rPr>
      </w:pPr>
    </w:p>
    <w:p>
      <w:pPr>
        <w:ind w:right="100" w:firstLine="457"/>
        <w:spacing w:after="0" w:line="253"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is due primarily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number of stores we owned and/or managed. At December 31, 2015, we owned and/or managed 1,347 stores compared to 1,088 stores at December 31, 2014. In addition, there was an increase in overall customer participation to approximately 72.8% at December 31, 2015 from approximately 70.7% at December 31, 2014.</w:t>
      </w:r>
    </w:p>
    <w:p>
      <w:pPr>
        <w:spacing w:after="0" w:line="183"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b w:val="1"/>
          <w:bCs w:val="1"/>
          <w:color w:val="auto"/>
        </w:rPr>
        <w:t>Acquisition Related Costs</w:t>
      </w:r>
      <w:r>
        <w:rPr>
          <w:rFonts w:ascii="Arial" w:cs="Arial" w:eastAsia="Arial" w:hAnsi="Arial"/>
          <w:sz w:val="18"/>
          <w:szCs w:val="18"/>
          <w:color w:val="auto"/>
        </w:rPr>
        <w:t>—These costs relate to acquisition activities during the periods indicated. The increase for the year ended December 31, 2015</w:t>
      </w:r>
      <w:r>
        <w:rPr>
          <w:rFonts w:ascii="Arial" w:cs="Arial" w:eastAsia="Arial" w:hAnsi="Arial"/>
          <w:sz w:val="18"/>
          <w:szCs w:val="18"/>
          <w:b w:val="1"/>
          <w:bCs w:val="1"/>
          <w:color w:val="auto"/>
        </w:rPr>
        <w:t xml:space="preserve"> </w:t>
      </w:r>
      <w:r>
        <w:rPr>
          <w:rFonts w:ascii="Arial" w:cs="Arial" w:eastAsia="Arial" w:hAnsi="Arial"/>
          <w:sz w:val="18"/>
          <w:szCs w:val="18"/>
          <w:color w:val="auto"/>
        </w:rPr>
        <w:t>when compared to the prior year was related primarily to the acquisition of SmartStop Self Storage Inc. (“SmartStop”) on October 1, 2015. As part of this acquisition, we recorded an expense of $38,360 related to defeasance costs and prepayment penalties incurred related to the repayment of SmartStop’s existing debt as of the acquisition date. We incurred $8,053 of professional fees/closing costs, $6,338 of severance-related costs, $1,327 of other payroll-related costs and $9,043 of other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2"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acquisition related costs as a result of the acquisition of SmartStop for a total of $63,121. Additionally, we acquired 49 other properties during the year ended December 31, 2015.</w:t>
      </w:r>
    </w:p>
    <w:p>
      <w:pPr>
        <w:spacing w:after="0" w:line="174"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related to our stores, including corporate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travel and professional fees. The expenses are recognized as incurred. General and administrative expense increased over the prior year primarily as a result of the costs related to the management of additional stores. During the year ended December 31, 2015, we acquired 171 stores, 161 of which we did not previously manage. During the year ended December 31, 2014, we acquired 51 stores, 30 of which we did not previously manage. We did not observe any material trends specific to payroll, travel or other expense that contributed significantly to the increase in general and administrative expenses apart from the increase due to the management of additional stores.</w:t>
      </w:r>
    </w:p>
    <w:p>
      <w:pPr>
        <w:spacing w:after="0" w:line="190" w:lineRule="exact"/>
        <w:rPr>
          <w:sz w:val="20"/>
          <w:szCs w:val="20"/>
          <w:color w:val="auto"/>
        </w:rPr>
      </w:pPr>
    </w:p>
    <w:p>
      <w:pPr>
        <w:ind w:firstLine="457"/>
        <w:spacing w:after="0" w:line="270"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171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stores during the year ended December 31, 2015, and 51 operating stores during the year ended December 31,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6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6"/>
              <w:spacing w:after="0" w:line="139"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2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Other income and expenses: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40" w:type="dxa"/>
            <w:vAlign w:val="bottom"/>
          </w:tcPr>
          <w:p>
            <w:pPr>
              <w:ind w:left="360"/>
              <w:spacing w:after="0"/>
              <w:rPr>
                <w:sz w:val="20"/>
                <w:szCs w:val="20"/>
                <w:color w:val="auto"/>
              </w:rPr>
            </w:pPr>
            <w:r>
              <w:rPr>
                <w:rFonts w:ascii="Arial" w:cs="Arial" w:eastAsia="Arial" w:hAnsi="Arial"/>
                <w:sz w:val="18"/>
                <w:szCs w:val="18"/>
                <w:color w:val="auto"/>
              </w:rPr>
              <w:t>Gain (loss) on sale of real estate and earnout from prior acquisitions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1,501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(10,285)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11,786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casualty loss, net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1,724</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(95,682)</w:t>
            </w:r>
          </w:p>
        </w:tc>
        <w:tc>
          <w:tcPr>
            <w:tcW w:w="3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(81,330)</w:t>
            </w:r>
          </w:p>
        </w:tc>
        <w:tc>
          <w:tcPr>
            <w:tcW w:w="1500" w:type="dxa"/>
            <w:vAlign w:val="bottom"/>
            <w:gridSpan w:val="4"/>
          </w:tcPr>
          <w:p>
            <w:pPr>
              <w:jc w:val="right"/>
              <w:ind w:right="540"/>
              <w:spacing w:after="0"/>
              <w:rPr>
                <w:sz w:val="20"/>
                <w:szCs w:val="20"/>
                <w:color w:val="auto"/>
              </w:rPr>
            </w:pPr>
            <w:r>
              <w:rPr>
                <w:rFonts w:ascii="Arial" w:cs="Arial" w:eastAsia="Arial" w:hAnsi="Arial"/>
                <w:sz w:val="18"/>
                <w:szCs w:val="18"/>
                <w:color w:val="auto"/>
              </w:rPr>
              <w:t>(14,352)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Non-cash interest expense related to amortization of discount on equity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component of exchangeable senior notes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(3,310)</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1"/>
        </w:trPr>
        <w:tc>
          <w:tcPr>
            <w:tcW w:w="6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3,461</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1,854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Interest income on note receivable from Preferred Operating Partnership</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 holder</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4,850</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240" w:type="dxa"/>
            <w:vAlign w:val="bottom"/>
          </w:tcPr>
          <w:p>
            <w:pPr>
              <w:ind w:left="360"/>
              <w:spacing w:after="0"/>
              <w:rPr>
                <w:sz w:val="20"/>
                <w:szCs w:val="20"/>
                <w:color w:val="auto"/>
              </w:rPr>
            </w:pPr>
            <w:r>
              <w:rPr>
                <w:rFonts w:ascii="Arial" w:cs="Arial" w:eastAsia="Arial" w:hAnsi="Arial"/>
                <w:sz w:val="18"/>
                <w:szCs w:val="18"/>
                <w:color w:val="auto"/>
              </w:rPr>
              <w:t>Equity in earnings of unconsolidated real estate ventures</w:t>
            </w:r>
          </w:p>
        </w:tc>
        <w:tc>
          <w:tcPr>
            <w:tcW w:w="2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12,351</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10,541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1,810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w w:val="99"/>
              </w:rPr>
              <w:t>Equity in earnings of unconsolidated real estate ventures—gain on sale of</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real estate assets and purchase of joint venture partners’ interests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2,857</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(1,165)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1"/>
        </w:trPr>
        <w:tc>
          <w:tcPr>
            <w:tcW w:w="62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(11,148)</w:t>
            </w:r>
          </w:p>
        </w:tc>
        <w:tc>
          <w:tcPr>
            <w:tcW w:w="3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(7,570)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(3,578)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(85,120)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(82,572)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(2,548)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b w:val="1"/>
          <w:bCs w:val="1"/>
          <w:color w:val="auto"/>
        </w:rPr>
        <w:t>Gain (Loss) on Sale of Real Estate and Earnout from Prior Acquisition—</w:t>
      </w:r>
      <w:r>
        <w:rPr>
          <w:rFonts w:ascii="Arial" w:cs="Arial" w:eastAsia="Arial" w:hAnsi="Arial"/>
          <w:sz w:val="16"/>
          <w:szCs w:val="16"/>
          <w:color w:val="auto"/>
        </w:rPr>
        <w:t>During 2011, we acquired a store located in Florida. As part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we agreed to make an additional cash payment to the sellers if the acquired store exceeded a specified amount of net rental income for any twelve-month period prior to June 30, 2015. At the acquisition date, $133 was recorded as the estimated amount that would be due, and we believed that it was unlikely that any significant additional payment would be made as a result of this earnout provision. Because the rental growth of the stores trended significantly higher than expected, we recorded additional liability of $2,500. This amount is included in gain (loss) on sale of real estate and earnout from prior acquisitions on our consolidated statements of operations for the year ended December 31, 2014. The $400 gain recorded during the year ended December 31, 2015 represents the adjustment needed to true up the existing liability to the amount owed to the sellers as of June 30, 2015.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2"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firstLine="457"/>
        <w:spacing w:after="0" w:line="263" w:lineRule="auto"/>
        <w:rPr>
          <w:sz w:val="20"/>
          <w:szCs w:val="20"/>
          <w:color w:val="auto"/>
        </w:rPr>
      </w:pPr>
      <w:r>
        <w:rPr>
          <w:rFonts w:ascii="Arial" w:cs="Arial" w:eastAsia="Arial" w:hAnsi="Arial"/>
          <w:sz w:val="18"/>
          <w:szCs w:val="18"/>
          <w:color w:val="auto"/>
        </w:rPr>
        <w:t>During the year ended December 31, 2015, we determined that one of our acquisitions was purchased at below its market value, and we therefore recorded a $1,101 gain, which represents the excess of the fair value of the store acquired over the consideration paid.</w:t>
      </w:r>
    </w:p>
    <w:p>
      <w:pPr>
        <w:spacing w:after="0" w:line="180"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During 2012, we acquired a portfolio of ten stores. As part of this acquisition, we agreed to make an additional cash payment to the sellers if the acquired stores exceeded a specified amount of net rental income two years after the acquisition date. At the acquisition date, we believed that it was unlikely that any significant payment would be made as a result of this earnout provision. The rental growth of the stores was significantly higher than expected, resulting in a payment to the sellers of $7,785. This amount is included in gain (loss) on sale of real estate and earnout from prior acquisitions on our consolidated statements of operations for the year ended December 31, 2014.</w:t>
      </w:r>
    </w:p>
    <w:p>
      <w:pPr>
        <w:spacing w:after="0" w:line="187" w:lineRule="exact"/>
        <w:rPr>
          <w:sz w:val="20"/>
          <w:szCs w:val="20"/>
          <w:color w:val="auto"/>
        </w:rPr>
      </w:pPr>
    </w:p>
    <w:p>
      <w:pPr>
        <w:ind w:right="520" w:firstLine="457"/>
        <w:spacing w:after="0" w:line="270" w:lineRule="auto"/>
        <w:rPr>
          <w:sz w:val="20"/>
          <w:szCs w:val="20"/>
          <w:color w:val="auto"/>
        </w:rPr>
      </w:pPr>
      <w:r>
        <w:rPr>
          <w:rFonts w:ascii="Arial" w:cs="Arial" w:eastAsia="Arial" w:hAnsi="Arial"/>
          <w:sz w:val="18"/>
          <w:szCs w:val="18"/>
          <w:b w:val="1"/>
          <w:bCs w:val="1"/>
          <w:color w:val="auto"/>
        </w:rPr>
        <w:t>Property Casualty Loss, Net</w:t>
      </w:r>
      <w:r>
        <w:rPr>
          <w:rFonts w:ascii="Arial" w:cs="Arial" w:eastAsia="Arial" w:hAnsi="Arial"/>
          <w:sz w:val="18"/>
          <w:szCs w:val="18"/>
          <w:color w:val="auto"/>
        </w:rPr>
        <w:t>—In October 2014, a store located in Venice, California, was damaged by a fire. As a result, we recorded a loss,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recoveries, of $1,724.</w:t>
      </w:r>
    </w:p>
    <w:p>
      <w:pPr>
        <w:spacing w:after="0" w:line="168" w:lineRule="exact"/>
        <w:rPr>
          <w:sz w:val="20"/>
          <w:szCs w:val="20"/>
          <w:color w:val="auto"/>
        </w:rPr>
      </w:pPr>
    </w:p>
    <w:p>
      <w:pPr>
        <w:ind w:right="240" w:firstLine="457"/>
        <w:spacing w:after="0" w:line="304"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—Interest expense increased due to the increase in total amount of debt outstanding. This increase was partially offset by a decrease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average interest rate. At December 31, 2015, our total face value of debt was $3,598,254, compared to a total face value of debt of $2,379,657 at December 31, 2014. The average interest rate was 3.1% as of December 31, 2015, compared to 3.4% as of December 31, 2014.</w:t>
      </w:r>
    </w:p>
    <w:p>
      <w:pPr>
        <w:spacing w:after="0" w:line="146" w:lineRule="exact"/>
        <w:rPr>
          <w:sz w:val="20"/>
          <w:szCs w:val="20"/>
          <w:color w:val="auto"/>
        </w:rPr>
      </w:pPr>
    </w:p>
    <w:p>
      <w:pPr>
        <w:ind w:right="80" w:firstLine="457"/>
        <w:spacing w:after="0" w:line="301" w:lineRule="auto"/>
        <w:rPr>
          <w:sz w:val="20"/>
          <w:szCs w:val="20"/>
          <w:color w:val="auto"/>
        </w:rPr>
      </w:pPr>
      <w:r>
        <w:rPr>
          <w:rFonts w:ascii="Arial" w:cs="Arial" w:eastAsia="Arial" w:hAnsi="Arial"/>
          <w:sz w:val="15"/>
          <w:szCs w:val="15"/>
          <w:b w:val="1"/>
          <w:bCs w:val="1"/>
          <w:color w:val="auto"/>
        </w:rPr>
        <w:t>Non-cash Interest Expense Related to Amortization of Discount on Equity Component of Exchangeable Senior Notes</w:t>
      </w:r>
      <w:r>
        <w:rPr>
          <w:rFonts w:ascii="Arial" w:cs="Arial" w:eastAsia="Arial" w:hAnsi="Arial"/>
          <w:sz w:val="15"/>
          <w:szCs w:val="15"/>
          <w:color w:val="auto"/>
        </w:rPr>
        <w:t>—Represents the amortization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discount related to the equity component of the exchangeable senior notes issued by our Operating Partnership. In June 2013, our Operating Partnership issued $250,000 of its 2.375% Exchangeable Senior Notes due 2033 (the “2013 Notes”). In September 2015, our Operating Partnership issued $575,000 of its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3.125% Exchangeable Senior Notes due 2035 (the “2015 Notes”), and repurchased $164,636 principal amount of the 2013 Notes. Both the 2013 Notes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2015 Notes have effective interest rates of 4.0%.</w:t>
      </w:r>
    </w:p>
    <w:p>
      <w:pPr>
        <w:spacing w:after="0" w:line="198" w:lineRule="exact"/>
        <w:rPr>
          <w:sz w:val="20"/>
          <w:szCs w:val="20"/>
          <w:color w:val="auto"/>
        </w:rPr>
      </w:pPr>
    </w:p>
    <w:p>
      <w:pPr>
        <w:ind w:right="120" w:firstLine="457"/>
        <w:spacing w:after="0" w:line="294"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amounts earned on cash and cash equivalents deposited with financial institutions and interest earned on</w:t>
      </w:r>
      <w:r>
        <w:rPr>
          <w:rFonts w:ascii="Arial" w:cs="Arial" w:eastAsia="Arial" w:hAnsi="Arial"/>
          <w:sz w:val="16"/>
          <w:szCs w:val="16"/>
          <w:b w:val="1"/>
          <w:bCs w:val="1"/>
          <w:color w:val="auto"/>
        </w:rPr>
        <w:t xml:space="preserve"> </w:t>
      </w:r>
      <w:r>
        <w:rPr>
          <w:rFonts w:ascii="Arial" w:cs="Arial" w:eastAsia="Arial" w:hAnsi="Arial"/>
          <w:sz w:val="16"/>
          <w:szCs w:val="16"/>
          <w:color w:val="auto"/>
        </w:rPr>
        <w:t>notes receivable. The increase relates primarily to the increase in the average balance of notes receivable when compared to the prior year and an increase in our average cash balance. As part of the SmartStop acquisition on October 1, 2015, we issued an $84,331 note receivable that accrues interest at 7.0% annually. We recorded approximately $1,476 of interest income related to this note receivable during the year ended December 31, 2015.</w:t>
      </w:r>
    </w:p>
    <w:p>
      <w:pPr>
        <w:spacing w:after="0" w:line="154" w:lineRule="exact"/>
        <w:rPr>
          <w:sz w:val="20"/>
          <w:szCs w:val="20"/>
          <w:color w:val="auto"/>
        </w:rPr>
      </w:pPr>
    </w:p>
    <w:p>
      <w:pPr>
        <w:ind w:right="120" w:firstLine="457"/>
        <w:spacing w:after="0" w:line="270"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8"/>
          <w:szCs w:val="18"/>
          <w:color w:val="auto"/>
        </w:rPr>
        <w:t>—Represents interest on a $100,000 loan to the 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Partnership’s Series A Participating Redeemable Preferred Units (the “Series A Units”).</w:t>
      </w:r>
    </w:p>
    <w:p>
      <w:pPr>
        <w:spacing w:after="0" w:line="168" w:lineRule="exact"/>
        <w:rPr>
          <w:sz w:val="20"/>
          <w:szCs w:val="20"/>
          <w:color w:val="auto"/>
        </w:rPr>
      </w:pPr>
    </w:p>
    <w:p>
      <w:pPr>
        <w:ind w:right="180" w:firstLine="457"/>
        <w:spacing w:after="0" w:line="257"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The increase in equity in earnings for the year ended December 31, 2015 was due primarily to increases in revenue at the stores owned by the joint ventures.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Equity in Earnings of Unconsolidated Real Estate Ventures—Gain on Sale of Real Estate Assets and Purchase of Joint Venture Partners’ Interests</w:t>
      </w:r>
    </w:p>
    <w:p>
      <w:pPr>
        <w:spacing w:after="0" w:line="5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 During March 2015, one of our joint ventures sold a store located in New York to a third party and recognized a gain of $60,495. We recognized our 2.0% share of this gain, or $1,228. Additionally, in March 2015 we acquired a joint venture partner’s 82.4% equity interest in an existing joint venture. We previously held the remaining 17.6% equity interest in this joint venture. Prior to the acquisition, we accounted for our equity interest in this joint venture as an equity-method investment. We recognized a non-cash gain of $1,629 during the three months ended March 31, 2015 as a result of re-measuring the fair value of our equity interest in this joint venture held before the acquisition.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2"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In December 2013 and May 2014, as part of a larger acquisition, we acquired our joint venture partners’ 60% to 65% equity interests in six stores located in California. We previously held the remaining 35% to 40% interests in these stores through six separate joint ventures with affiliates of Grupe Properties Co. Inc. (“Grupe”). Prior to the acquisition, we accounted for our interests in these joint ventures as equity-method investments. We recognized a non-cash gain of $3,438 during the year ended December 31, 2014, as a result of re-measuring the fair value of our equity interest in one of these joint ventures held before the acquisition. During the year ended December 31, 2014, we recorded an additional gain of $584 as a result of the final cash distributions received from the other five joint ventures associated with the acquisitions that were completed during 2013.</w:t>
      </w:r>
    </w:p>
    <w:p>
      <w:pPr>
        <w:spacing w:after="0" w:line="161" w:lineRule="exact"/>
        <w:rPr>
          <w:sz w:val="20"/>
          <w:szCs w:val="20"/>
          <w:color w:val="auto"/>
        </w:rPr>
      </w:pPr>
    </w:p>
    <w:p>
      <w:pPr>
        <w:ind w:right="300" w:firstLine="457"/>
        <w:spacing w:after="0" w:line="304" w:lineRule="auto"/>
        <w:rPr>
          <w:sz w:val="20"/>
          <w:szCs w:val="20"/>
          <w:color w:val="auto"/>
        </w:rPr>
      </w:pPr>
      <w:r>
        <w:rPr>
          <w:rFonts w:ascii="Arial" w:cs="Arial" w:eastAsia="Arial" w:hAnsi="Arial"/>
          <w:sz w:val="16"/>
          <w:szCs w:val="16"/>
          <w:b w:val="1"/>
          <w:bCs w:val="1"/>
          <w:color w:val="auto"/>
        </w:rPr>
        <w:t>Income Tax Expense</w:t>
      </w:r>
      <w:r>
        <w:rPr>
          <w:rFonts w:ascii="Arial" w:cs="Arial" w:eastAsia="Arial" w:hAnsi="Arial"/>
          <w:sz w:val="16"/>
          <w:szCs w:val="16"/>
          <w:color w:val="auto"/>
        </w:rPr>
        <w:t>—The increase in income tax expense relates primarily to an increase in income earned by our Taxable REIT Subsidiary (“TRS”)</w:t>
      </w:r>
      <w:r>
        <w:rPr>
          <w:rFonts w:ascii="Arial" w:cs="Arial" w:eastAsia="Arial" w:hAnsi="Arial"/>
          <w:sz w:val="16"/>
          <w:szCs w:val="16"/>
          <w:b w:val="1"/>
          <w:bCs w:val="1"/>
          <w:color w:val="auto"/>
        </w:rPr>
        <w:t xml:space="preserve"> </w:t>
      </w:r>
      <w:r>
        <w:rPr>
          <w:rFonts w:ascii="Arial" w:cs="Arial" w:eastAsia="Arial" w:hAnsi="Arial"/>
          <w:sz w:val="16"/>
          <w:szCs w:val="16"/>
          <w:color w:val="auto"/>
        </w:rPr>
        <w:t>when compared to the same periods in the prior year. Additionally, during the year ended December 31, 2014, we recorded the initial tax benefit related to a royalty fee that we charge quarterly to our captive insurance subsidiary, which reduced the tax expense for that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Allocated to Noncontrolling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net income allocated to noncontrolling interests for the years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6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1"/>
              <w:spacing w:after="0" w:line="139"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36"/>
              <w:spacing w:after="0" w:line="139"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4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income allocated to noncontrolling interests:</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tcPr>
          <w:p>
            <w:pPr>
              <w:ind w:left="360"/>
              <w:spacing w:after="0" w:line="199" w:lineRule="exact"/>
              <w:rPr>
                <w:sz w:val="20"/>
                <w:szCs w:val="20"/>
                <w:color w:val="auto"/>
              </w:rPr>
            </w:pPr>
            <w:r>
              <w:rPr>
                <w:rFonts w:ascii="Arial" w:cs="Arial" w:eastAsia="Arial" w:hAnsi="Arial"/>
                <w:sz w:val="18"/>
                <w:szCs w:val="18"/>
                <w:color w:val="auto"/>
              </w:rPr>
              <w:t>Net income allocated to Preferred Operating Partnership noncontrolling</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540"/>
              <w:spacing w:after="0"/>
              <w:rPr>
                <w:sz w:val="20"/>
                <w:szCs w:val="20"/>
                <w:color w:val="auto"/>
              </w:rPr>
            </w:pPr>
            <w:r>
              <w:rPr>
                <w:rFonts w:ascii="Arial" w:cs="Arial" w:eastAsia="Arial" w:hAnsi="Arial"/>
                <w:sz w:val="18"/>
                <w:szCs w:val="18"/>
                <w:color w:val="auto"/>
              </w:rPr>
              <w:t>interests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(11,718)</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(10,991)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(727)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9"/>
        </w:trPr>
        <w:tc>
          <w:tcPr>
            <w:tcW w:w="6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Net income allocated to Operating Partnership and other noncontrolling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(8,344)</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(1,794)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700"/>
              <w:spacing w:after="0"/>
              <w:rPr>
                <w:sz w:val="20"/>
                <w:szCs w:val="20"/>
                <w:color w:val="auto"/>
              </w:rPr>
            </w:pPr>
            <w:r>
              <w:rPr>
                <w:rFonts w:ascii="Arial" w:cs="Arial" w:eastAsia="Arial" w:hAnsi="Arial"/>
                <w:sz w:val="18"/>
                <w:szCs w:val="18"/>
                <w:color w:val="auto"/>
              </w:rPr>
              <w:t>Total income allocated to noncontrolling interests: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(20,062)</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(17,541)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(2,521)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40" w:firstLine="457"/>
        <w:spacing w:after="0" w:line="257" w:lineRule="auto"/>
        <w:rPr>
          <w:sz w:val="20"/>
          <w:szCs w:val="20"/>
          <w:color w:val="auto"/>
        </w:rPr>
      </w:pPr>
      <w:r>
        <w:rPr>
          <w:rFonts w:ascii="Arial" w:cs="Arial" w:eastAsia="Arial" w:hAnsi="Arial"/>
          <w:sz w:val="18"/>
          <w:szCs w:val="18"/>
          <w:b w:val="1"/>
          <w:bCs w:val="1"/>
          <w:color w:val="auto"/>
        </w:rPr>
        <w:t>Net Income Allocated to Preferred Operating Partnership Noncontrolling Interests</w:t>
      </w:r>
      <w:r>
        <w:rPr>
          <w:rFonts w:ascii="Arial" w:cs="Arial" w:eastAsia="Arial" w:hAnsi="Arial"/>
          <w:sz w:val="18"/>
          <w:szCs w:val="18"/>
          <w:color w:val="auto"/>
        </w:rPr>
        <w:t>—In December 2014, as part of the acquisition of a single store,</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Partnership issued 548,390 Series D Redeemable Preferred Units (“Series D Units”). The Series D Units have a liquidation value of $25.00 per unit, and receive distributions at an annual rate of 5.0%.</w:t>
      </w:r>
    </w:p>
    <w:p>
      <w:pPr>
        <w:spacing w:after="0" w:line="186" w:lineRule="exact"/>
        <w:rPr>
          <w:sz w:val="20"/>
          <w:szCs w:val="20"/>
          <w:color w:val="auto"/>
        </w:rPr>
      </w:pPr>
    </w:p>
    <w:p>
      <w:pPr>
        <w:jc w:val="both"/>
        <w:ind w:right="100" w:firstLine="457"/>
        <w:spacing w:after="0" w:line="300" w:lineRule="auto"/>
        <w:rPr>
          <w:sz w:val="20"/>
          <w:szCs w:val="20"/>
          <w:color w:val="auto"/>
        </w:rPr>
      </w:pPr>
      <w:r>
        <w:rPr>
          <w:rFonts w:ascii="Arial" w:cs="Arial" w:eastAsia="Arial" w:hAnsi="Arial"/>
          <w:sz w:val="16"/>
          <w:szCs w:val="16"/>
          <w:color w:val="auto"/>
        </w:rPr>
        <w:t>In December 2013 and May 2014, as part of a portfolio acquisition, our Operating Partnership issued 704,016 Series C Convertible Redeemable Preferred Units (“Series C Units”). The Series C Units have a liquidation value of $42.10 per unit. From issuance until the fifth anniversary of issuance, the Series C Units receive distributions at an annual rate of $0.18 plus the then-payable quarterly distribution per OP Unit.</w:t>
      </w:r>
    </w:p>
    <w:p>
      <w:pPr>
        <w:spacing w:after="0" w:line="155" w:lineRule="exact"/>
        <w:rPr>
          <w:sz w:val="20"/>
          <w:szCs w:val="20"/>
          <w:color w:val="auto"/>
        </w:rPr>
      </w:pPr>
    </w:p>
    <w:p>
      <w:pPr>
        <w:jc w:val="both"/>
        <w:ind w:right="400" w:firstLine="457"/>
        <w:spacing w:after="0" w:line="254" w:lineRule="auto"/>
        <w:rPr>
          <w:sz w:val="20"/>
          <w:szCs w:val="20"/>
          <w:color w:val="auto"/>
        </w:rPr>
      </w:pPr>
      <w:r>
        <w:rPr>
          <w:rFonts w:ascii="Arial" w:cs="Arial" w:eastAsia="Arial" w:hAnsi="Arial"/>
          <w:sz w:val="18"/>
          <w:szCs w:val="18"/>
          <w:color w:val="auto"/>
        </w:rPr>
        <w:t>In April 2014, as part of a single store acquisition, our Operating Partnership issued 333,360 Series B Redeemable Preferred Units (“Series B Units”). During August and September 2013, as part of a portfolio acquisition, our Operating Partnership issued 1,342,727 Series B Units. The Series B Units have a liquidation value of $25.00 per unit and receive distributions at an annual rate of 6.0%.</w:t>
      </w:r>
    </w:p>
    <w:p>
      <w:pPr>
        <w:spacing w:after="0" w:line="188"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Income allocated to the Preferred Operating Partnership noncontrolling interests for the year ended December 31, 2015 and 2014 represents the fixed distributions paid to the holders of the Series A Units, Series B Units, Series C Units and Series D Units, plus approximately 0.7% of the remaining net income allocated to the holders of the Series A Units.</w:t>
      </w:r>
    </w:p>
    <w:p>
      <w:pPr>
        <w:spacing w:after="0" w:line="182" w:lineRule="exact"/>
        <w:rPr>
          <w:sz w:val="20"/>
          <w:szCs w:val="20"/>
          <w:color w:val="auto"/>
        </w:rPr>
      </w:pPr>
    </w:p>
    <w:p>
      <w:pPr>
        <w:ind w:right="220" w:firstLine="457"/>
        <w:spacing w:after="0" w:line="253" w:lineRule="auto"/>
        <w:rPr>
          <w:sz w:val="20"/>
          <w:szCs w:val="20"/>
          <w:color w:val="auto"/>
        </w:rPr>
      </w:pPr>
      <w:r>
        <w:rPr>
          <w:rFonts w:ascii="Arial" w:cs="Arial" w:eastAsia="Arial" w:hAnsi="Arial"/>
          <w:sz w:val="18"/>
          <w:szCs w:val="18"/>
          <w:b w:val="1"/>
          <w:bCs w:val="1"/>
          <w:color w:val="auto"/>
        </w:rPr>
        <w:t>Net Income Allocated to Operating Partnership and Other Noncontrolling Interests</w:t>
      </w:r>
      <w:r>
        <w:rPr>
          <w:rFonts w:ascii="Arial" w:cs="Arial" w:eastAsia="Arial" w:hAnsi="Arial"/>
          <w:sz w:val="18"/>
          <w:szCs w:val="18"/>
          <w:color w:val="auto"/>
        </w:rPr>
        <w:t>—Income allocated to the Operating Partnership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4.2% and 3.5% of net income after the allocation of the fixed distribution paid to the Preferred Operating Partnership unit holders for the years ended December 31, 2015 and 2014, respectively. The percentage of net income allocated to the Operating Partnership noncontrolling interest increased due to OP Units issued in conjunction with acquisitions during 2015.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2"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940"/>
        <w:spacing w:after="0" w:line="367" w:lineRule="auto"/>
        <w:rPr>
          <w:sz w:val="20"/>
          <w:szCs w:val="20"/>
          <w:color w:val="auto"/>
        </w:rPr>
      </w:pPr>
      <w:r>
        <w:rPr>
          <w:rFonts w:ascii="Arial" w:cs="Arial" w:eastAsia="Arial" w:hAnsi="Arial"/>
          <w:sz w:val="18"/>
          <w:szCs w:val="18"/>
          <w:b w:val="1"/>
          <w:bCs w:val="1"/>
          <w:i w:val="1"/>
          <w:iCs w:val="1"/>
          <w:color w:val="auto"/>
        </w:rPr>
        <w:t xml:space="preserve">Comparison of the Year Ended December 31, 2014 to the Year Ended December 31, 2013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Results for the year ended December 31, 2014, included the operations of 828 stores (576 of which were consolidated and 252 of which were in joint ventures accounted for using the equity method) compared to the results for the year ended December 31, 2013, which included the operations of 779 stores (525 of which were consolidated and 254 of which were in joint ventures accounted for using the equity method).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Pr>
          <w:p>
            <w:pPr>
              <w:spacing w:after="0"/>
              <w:rPr>
                <w:sz w:val="14"/>
                <w:szCs w:val="14"/>
                <w:color w:val="auto"/>
              </w:rPr>
            </w:pPr>
          </w:p>
        </w:tc>
        <w:tc>
          <w:tcPr>
            <w:tcW w:w="14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 Change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3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8"/>
              <w:spacing w:after="0" w:line="139"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9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Revenues:</w:t>
            </w:r>
          </w:p>
        </w:tc>
        <w:tc>
          <w:tcPr>
            <w:tcW w:w="10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559,868</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446,682</w:t>
            </w:r>
          </w:p>
        </w:tc>
        <w:tc>
          <w:tcPr>
            <w:tcW w:w="1740" w:type="dxa"/>
            <w:vAlign w:val="bottom"/>
            <w:gridSpan w:val="3"/>
          </w:tcPr>
          <w:p>
            <w:pPr>
              <w:jc w:val="right"/>
              <w:ind w:right="720"/>
              <w:spacing w:after="0"/>
              <w:rPr>
                <w:sz w:val="20"/>
                <w:szCs w:val="20"/>
                <w:color w:val="auto"/>
              </w:rPr>
            </w:pPr>
            <w:r>
              <w:rPr>
                <w:rFonts w:ascii="Arial" w:cs="Arial" w:eastAsia="Arial" w:hAnsi="Arial"/>
                <w:sz w:val="18"/>
                <w:szCs w:val="18"/>
                <w:color w:val="auto"/>
              </w:rPr>
              <w:t>$ 113,186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1"/>
        </w:trPr>
        <w:tc>
          <w:tcPr>
            <w:tcW w:w="3940" w:type="dxa"/>
            <w:vAlign w:val="bottom"/>
          </w:tcPr>
          <w:p>
            <w:pPr>
              <w:ind w:left="360"/>
              <w:spacing w:after="0"/>
              <w:rPr>
                <w:sz w:val="20"/>
                <w:szCs w:val="20"/>
                <w:color w:val="auto"/>
              </w:rPr>
            </w:pPr>
            <w:r>
              <w:rPr>
                <w:rFonts w:ascii="Arial" w:cs="Arial" w:eastAsia="Arial" w:hAnsi="Arial"/>
                <w:sz w:val="18"/>
                <w:szCs w:val="18"/>
                <w:color w:val="auto"/>
              </w:rPr>
              <w:t>Management fees and other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28,215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26,614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7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647,155</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520,613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126,542</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change in property rental revenues consists primarily of an increase of $83,651 associated with acquisitions completed in 2014 and</w:t>
      </w:r>
      <w:r>
        <w:rPr>
          <w:rFonts w:ascii="Arial" w:cs="Arial" w:eastAsia="Arial" w:hAnsi="Arial"/>
          <w:sz w:val="16"/>
          <w:szCs w:val="16"/>
          <w:b w:val="1"/>
          <w:bCs w:val="1"/>
          <w:color w:val="auto"/>
        </w:rPr>
        <w:t xml:space="preserve"> </w:t>
      </w:r>
      <w:r>
        <w:rPr>
          <w:rFonts w:ascii="Arial" w:cs="Arial" w:eastAsia="Arial" w:hAnsi="Arial"/>
          <w:sz w:val="16"/>
          <w:szCs w:val="16"/>
          <w:color w:val="auto"/>
        </w:rPr>
        <w:t>2013. We acquired 51 operating stores during 2014 and 78 operating stores during 2013. In addition, revenues increased by $29,531 as a result of increases in occupancy and rental rates to existing customers at our stabilized stores. We have seen no significant increase in overall customer renewal rates and our average length of stay is approximately 12.9 months. For existing customers we generally seek to increase rental rates approximately 7% to 10% at least annually. Occupancy at our stabilized stores increased to 91.0% at December 31, 2014, as compared to 88.4% at December 31, 2013. Rental rates to new tenants increased by approximately 3.9% over the same period in the prior year.</w:t>
      </w:r>
    </w:p>
    <w:p>
      <w:pPr>
        <w:spacing w:after="0" w:line="158" w:lineRule="exact"/>
        <w:rPr>
          <w:sz w:val="20"/>
          <w:szCs w:val="20"/>
          <w:color w:val="auto"/>
        </w:rPr>
      </w:pPr>
    </w:p>
    <w:p>
      <w:pPr>
        <w:ind w:right="140" w:firstLine="457"/>
        <w:spacing w:after="0" w:line="257"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was partially due to the increase in overall customer participation to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70.7% at December 31, 2014, compared to approximately 68.7% at December 31, 2013. In addition, we operated 1,088 stores at December 31, 2014, compared to 1,029 stores at December 31, 2013.</w:t>
      </w:r>
    </w:p>
    <w:p>
      <w:pPr>
        <w:spacing w:after="0" w:line="18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6"/>
          <w:szCs w:val="16"/>
          <w:b w:val="1"/>
          <w:bCs w:val="1"/>
          <w:color w:val="auto"/>
        </w:rPr>
        <w:t>Management Fees and Other Income</w:t>
      </w:r>
      <w:r>
        <w:rPr>
          <w:rFonts w:ascii="Arial" w:cs="Arial" w:eastAsia="Arial" w:hAnsi="Arial"/>
          <w:sz w:val="16"/>
          <w:szCs w:val="16"/>
          <w:color w:val="auto"/>
        </w:rPr>
        <w:t>—Our taxable REIT subsidiary, Extra Space Management, Inc., manages stores owned by our joint ventures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Management fees generally represent 6.0% of cash collected from stores owned by third parties and unconsolidated joint ventures. We also earn an asset management fee from the Storage Portfolio I (“SPI”) joint venture, equal to 0.50% multiplied by the total asset value, provided certain conditions are met. The increase in management fees is due to increased revenues at the managed stores.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8"/>
              </w:rPr>
              <w:t>$ Change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3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Expenses:</w:t>
            </w:r>
          </w:p>
        </w:tc>
        <w:tc>
          <w:tcPr>
            <w:tcW w:w="1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00" w:type="dxa"/>
            <w:vAlign w:val="bottom"/>
          </w:tcPr>
          <w:p>
            <w:pPr>
              <w:ind w:left="360"/>
              <w:spacing w:after="0"/>
              <w:rPr>
                <w:sz w:val="20"/>
                <w:szCs w:val="20"/>
                <w:color w:val="auto"/>
              </w:rPr>
            </w:pPr>
            <w:r>
              <w:rPr>
                <w:rFonts w:ascii="Arial" w:cs="Arial" w:eastAsia="Arial" w:hAnsi="Arial"/>
                <w:sz w:val="18"/>
                <w:szCs w:val="18"/>
                <w:color w:val="auto"/>
              </w:rPr>
              <w:t>Property operations</w:t>
            </w: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172,416</w:t>
            </w:r>
          </w:p>
        </w:tc>
        <w:tc>
          <w:tcPr>
            <w:tcW w:w="6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140,012</w:t>
            </w:r>
          </w:p>
        </w:tc>
        <w:tc>
          <w:tcPr>
            <w:tcW w:w="1660" w:type="dxa"/>
            <w:vAlign w:val="bottom"/>
            <w:gridSpan w:val="3"/>
          </w:tcPr>
          <w:p>
            <w:pPr>
              <w:jc w:val="right"/>
              <w:ind w:right="720"/>
              <w:spacing w:after="0"/>
              <w:rPr>
                <w:sz w:val="20"/>
                <w:szCs w:val="20"/>
                <w:color w:val="auto"/>
              </w:rPr>
            </w:pPr>
            <w:r>
              <w:rPr>
                <w:rFonts w:ascii="Arial" w:cs="Arial" w:eastAsia="Arial" w:hAnsi="Arial"/>
                <w:sz w:val="18"/>
                <w:szCs w:val="18"/>
                <w:color w:val="auto"/>
              </w:rPr>
              <w:t>$32,404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1"/>
        </w:trPr>
        <w:tc>
          <w:tcPr>
            <w:tcW w:w="3800" w:type="dxa"/>
            <w:vAlign w:val="bottom"/>
          </w:tcPr>
          <w:p>
            <w:pPr>
              <w:ind w:left="360"/>
              <w:spacing w:after="0"/>
              <w:rPr>
                <w:sz w:val="20"/>
                <w:szCs w:val="20"/>
                <w:color w:val="auto"/>
              </w:rPr>
            </w:pPr>
            <w:r>
              <w:rPr>
                <w:rFonts w:ascii="Arial" w:cs="Arial" w:eastAsia="Arial" w:hAnsi="Arial"/>
                <w:sz w:val="18"/>
                <w:szCs w:val="18"/>
                <w:color w:val="auto"/>
              </w:rPr>
              <w:t>Acquisition related costs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9,826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8,618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7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60,942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1"/>
        </w:trPr>
        <w:tc>
          <w:tcPr>
            <w:tcW w:w="3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115,076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95,232</w:t>
            </w:r>
          </w:p>
        </w:tc>
        <w:tc>
          <w:tcPr>
            <w:tcW w:w="1660" w:type="dxa"/>
            <w:vAlign w:val="bottom"/>
            <w:gridSpan w:val="3"/>
          </w:tcPr>
          <w:p>
            <w:pPr>
              <w:jc w:val="right"/>
              <w:ind w:right="720"/>
              <w:spacing w:after="0"/>
              <w:rPr>
                <w:sz w:val="20"/>
                <w:szCs w:val="20"/>
                <w:color w:val="auto"/>
              </w:rPr>
            </w:pPr>
            <w:r>
              <w:rPr>
                <w:rFonts w:ascii="Arial" w:cs="Arial" w:eastAsia="Arial" w:hAnsi="Arial"/>
                <w:sz w:val="18"/>
                <w:szCs w:val="18"/>
                <w:color w:val="auto"/>
              </w:rPr>
              <w:t>19,844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368,687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307,130</w:t>
            </w:r>
          </w:p>
        </w:tc>
        <w:tc>
          <w:tcPr>
            <w:tcW w:w="1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38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2"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right="60" w:firstLine="457"/>
        <w:spacing w:after="0" w:line="333" w:lineRule="auto"/>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consists primarily of an increase of $30,036 related to acquisitions completed in 2014</w:t>
      </w:r>
      <w:r>
        <w:rPr>
          <w:rFonts w:ascii="Arial" w:cs="Arial" w:eastAsia="Arial" w:hAnsi="Arial"/>
          <w:sz w:val="16"/>
          <w:szCs w:val="16"/>
          <w:b w:val="1"/>
          <w:bCs w:val="1"/>
          <w:color w:val="auto"/>
        </w:rPr>
        <w:t xml:space="preserve"> </w:t>
      </w:r>
      <w:r>
        <w:rPr>
          <w:rFonts w:ascii="Arial" w:cs="Arial" w:eastAsia="Arial" w:hAnsi="Arial"/>
          <w:sz w:val="16"/>
          <w:szCs w:val="16"/>
          <w:color w:val="auto"/>
        </w:rPr>
        <w:t>and 2013. We acquired 51 operating stores during the year ended December 31, 2014 and 78 operating stores during the year ended December 31, 2013.</w:t>
      </w:r>
    </w:p>
    <w:p>
      <w:pPr>
        <w:spacing w:after="0" w:line="123" w:lineRule="exact"/>
        <w:rPr>
          <w:sz w:val="20"/>
          <w:szCs w:val="20"/>
          <w:color w:val="auto"/>
        </w:rPr>
      </w:pPr>
    </w:p>
    <w:p>
      <w:pPr>
        <w:ind w:right="140" w:firstLine="457"/>
        <w:spacing w:after="0" w:line="253"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change is due primarily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number of stores we owned and/or managed. At December 31, 2014, we owned and/or managed 1,088 stores compared to 1,029 stores at December 31, 2013. In addition, there was an increase in overall customer participation to approximately 70.7% at December 31, 2014 from approximately 68.7% at December 31, 2013.</w:t>
      </w:r>
    </w:p>
    <w:p>
      <w:pPr>
        <w:spacing w:after="0" w:line="183" w:lineRule="exact"/>
        <w:rPr>
          <w:sz w:val="20"/>
          <w:szCs w:val="20"/>
          <w:color w:val="auto"/>
        </w:rPr>
      </w:pPr>
    </w:p>
    <w:p>
      <w:pPr>
        <w:jc w:val="both"/>
        <w:ind w:right="180" w:firstLine="457"/>
        <w:spacing w:after="0" w:line="332" w:lineRule="auto"/>
        <w:rPr>
          <w:sz w:val="20"/>
          <w:szCs w:val="20"/>
          <w:color w:val="auto"/>
        </w:rPr>
      </w:pPr>
      <w:r>
        <w:rPr>
          <w:rFonts w:ascii="Arial" w:cs="Arial" w:eastAsia="Arial" w:hAnsi="Arial"/>
          <w:sz w:val="15"/>
          <w:szCs w:val="15"/>
          <w:b w:val="1"/>
          <w:bCs w:val="1"/>
          <w:color w:val="auto"/>
        </w:rPr>
        <w:t>Acquisition Related Costs</w:t>
      </w:r>
      <w:r>
        <w:rPr>
          <w:rFonts w:ascii="Arial" w:cs="Arial" w:eastAsia="Arial" w:hAnsi="Arial"/>
          <w:sz w:val="15"/>
          <w:szCs w:val="15"/>
          <w:color w:val="auto"/>
        </w:rPr>
        <w:t>—These costs relate to acquisition activities during the periods indicated. The increase for the year ended December 31, 2014</w:t>
      </w:r>
      <w:r>
        <w:rPr>
          <w:rFonts w:ascii="Arial" w:cs="Arial" w:eastAsia="Arial" w:hAnsi="Arial"/>
          <w:sz w:val="15"/>
          <w:szCs w:val="15"/>
          <w:b w:val="1"/>
          <w:bCs w:val="1"/>
          <w:color w:val="auto"/>
        </w:rPr>
        <w:t xml:space="preserve"> </w:t>
      </w:r>
      <w:r>
        <w:rPr>
          <w:rFonts w:ascii="Arial" w:cs="Arial" w:eastAsia="Arial" w:hAnsi="Arial"/>
          <w:sz w:val="15"/>
          <w:szCs w:val="15"/>
          <w:color w:val="auto"/>
        </w:rPr>
        <w:t>when compared to the prior year was related primarily to the expense of $3,550 of defeasance costs paid in an acquisition in December 2014. This increase was offset by a decrease in the number of stores acquired. We acquired 51 operating stores during 2014, compared to 78 operating stores acquired during 2013.</w:t>
      </w:r>
    </w:p>
    <w:p>
      <w:pPr>
        <w:spacing w:after="0" w:line="129" w:lineRule="exact"/>
        <w:rPr>
          <w:sz w:val="20"/>
          <w:szCs w:val="20"/>
          <w:color w:val="auto"/>
        </w:rPr>
      </w:pPr>
    </w:p>
    <w:p>
      <w:pPr>
        <w:ind w:right="140" w:firstLine="457"/>
        <w:spacing w:after="0" w:line="249"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include all expenses not related to our stores, including corporate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travel and professional fees. The expenses are recognized as incurred. General and administrative expense increased over the prior year primarily as a result of the costs related to the management of additional stores. During the year ended December 31, 2014, we acquired 52 stores, 30 of which we did not previously manage. During the year ended December 31, 2013, we acquired 78 stores, 47 of which we did not previously manage. We did not observe any material trends specific to payroll, travel or other expense that contributed significantly to the increase in general and administrative expenses apart from the increase due to the management of additional stores.</w:t>
      </w:r>
    </w:p>
    <w:p>
      <w:pPr>
        <w:spacing w:after="0" w:line="190" w:lineRule="exact"/>
        <w:rPr>
          <w:sz w:val="20"/>
          <w:szCs w:val="20"/>
          <w:color w:val="auto"/>
        </w:rPr>
      </w:pPr>
    </w:p>
    <w:p>
      <w:pPr>
        <w:ind w:right="100" w:firstLine="457"/>
        <w:spacing w:after="0" w:line="270"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51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stores during the year ended December 31, 2014, and 78 stores during the year ended December 31, 2013.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5"/>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6"/>
              <w:spacing w:after="0" w:line="139"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3"/>
              <w:spacing w:after="0" w:line="139"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6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Other income and expenses: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360"/>
              <w:spacing w:after="0"/>
              <w:rPr>
                <w:sz w:val="20"/>
                <w:szCs w:val="20"/>
                <w:color w:val="auto"/>
              </w:rPr>
            </w:pPr>
            <w:r>
              <w:rPr>
                <w:rFonts w:ascii="Arial" w:cs="Arial" w:eastAsia="Arial" w:hAnsi="Arial"/>
                <w:sz w:val="18"/>
                <w:szCs w:val="18"/>
                <w:color w:val="auto"/>
              </w:rPr>
              <w:t>Gain (loss) on sale of real estate and earnout from prior acquisitions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(10,285)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960</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 (11,245)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(1,171.4%)</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casualty loss, net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(1,724)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6640" w:type="dxa"/>
            <w:vAlign w:val="bottom"/>
          </w:tcPr>
          <w:p>
            <w:pPr>
              <w:ind w:left="360"/>
              <w:spacing w:after="0"/>
              <w:rPr>
                <w:sz w:val="20"/>
                <w:szCs w:val="20"/>
                <w:color w:val="auto"/>
              </w:rPr>
            </w:pPr>
            <w:r>
              <w:rPr>
                <w:rFonts w:ascii="Arial" w:cs="Arial" w:eastAsia="Arial" w:hAnsi="Arial"/>
                <w:sz w:val="18"/>
                <w:szCs w:val="18"/>
                <w:color w:val="auto"/>
              </w:rPr>
              <w:t>Loss on extinguishment of debt related to portfolio acquisition</w:t>
            </w: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(9,153)</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9,153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(81,330)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(71,630)</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(9,700)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line="199" w:lineRule="exact"/>
              <w:rPr>
                <w:sz w:val="20"/>
                <w:szCs w:val="20"/>
                <w:color w:val="auto"/>
              </w:rPr>
            </w:pPr>
            <w:r>
              <w:rPr>
                <w:rFonts w:ascii="Arial" w:cs="Arial" w:eastAsia="Arial" w:hAnsi="Arial"/>
                <w:sz w:val="18"/>
                <w:szCs w:val="18"/>
                <w:color w:val="auto"/>
                <w:w w:val="94"/>
              </w:rPr>
              <w:t>Non-cash interest expense related to amortization of discount on equity component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540"/>
              <w:spacing w:after="0"/>
              <w:rPr>
                <w:sz w:val="20"/>
                <w:szCs w:val="20"/>
                <w:color w:val="auto"/>
              </w:rPr>
            </w:pPr>
            <w:r>
              <w:rPr>
                <w:rFonts w:ascii="Arial" w:cs="Arial" w:eastAsia="Arial" w:hAnsi="Arial"/>
                <w:sz w:val="18"/>
                <w:szCs w:val="18"/>
                <w:color w:val="auto"/>
              </w:rPr>
              <w:t>of exchangeable senior notes</w:t>
            </w: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(1,404)</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(1,279)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line="199" w:lineRule="exact"/>
              <w:rPr>
                <w:sz w:val="20"/>
                <w:szCs w:val="20"/>
                <w:color w:val="auto"/>
              </w:rPr>
            </w:pPr>
            <w:r>
              <w:rPr>
                <w:rFonts w:ascii="Arial" w:cs="Arial" w:eastAsia="Arial" w:hAnsi="Arial"/>
                <w:sz w:val="18"/>
                <w:szCs w:val="18"/>
                <w:color w:val="auto"/>
              </w:rPr>
              <w:t>Interest income on note receivable from Preferred Operating Partnership unit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540"/>
              <w:spacing w:after="0"/>
              <w:rPr>
                <w:sz w:val="20"/>
                <w:szCs w:val="20"/>
                <w:color w:val="auto"/>
              </w:rPr>
            </w:pPr>
            <w:r>
              <w:rPr>
                <w:rFonts w:ascii="Arial" w:cs="Arial" w:eastAsia="Arial" w:hAnsi="Arial"/>
                <w:sz w:val="18"/>
                <w:szCs w:val="18"/>
                <w:color w:val="auto"/>
              </w:rPr>
              <w:t>holder</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earnings of unconsolidated real estate ventures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10,541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11,653</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(1,112)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9"/>
        </w:trPr>
        <w:tc>
          <w:tcPr>
            <w:tcW w:w="6640" w:type="dxa"/>
            <w:vAlign w:val="bottom"/>
          </w:tcPr>
          <w:p>
            <w:pPr>
              <w:ind w:left="360"/>
              <w:spacing w:after="0" w:line="199" w:lineRule="exact"/>
              <w:rPr>
                <w:sz w:val="20"/>
                <w:szCs w:val="20"/>
                <w:color w:val="auto"/>
              </w:rPr>
            </w:pPr>
            <w:r>
              <w:rPr>
                <w:rFonts w:ascii="Arial" w:cs="Arial" w:eastAsia="Arial" w:hAnsi="Arial"/>
                <w:sz w:val="18"/>
                <w:szCs w:val="18"/>
                <w:color w:val="auto"/>
              </w:rPr>
              <w:t>Equity in earnings of unconsolidated real estate ventures—gain on sale of real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540"/>
              <w:spacing w:after="0"/>
              <w:rPr>
                <w:sz w:val="20"/>
                <w:szCs w:val="20"/>
                <w:color w:val="auto"/>
              </w:rPr>
            </w:pPr>
            <w:r>
              <w:rPr>
                <w:rFonts w:ascii="Arial" w:cs="Arial" w:eastAsia="Arial" w:hAnsi="Arial"/>
                <w:sz w:val="18"/>
                <w:szCs w:val="18"/>
                <w:color w:val="auto"/>
              </w:rPr>
              <w:t>estate assets and purchase of joint venture partners’ interests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46,032</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(42,010)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(7,570)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(9,984)</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2,414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(82,572)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(27,927)</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(54,645)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6"/>
          <w:szCs w:val="16"/>
          <w:b w:val="1"/>
          <w:bCs w:val="1"/>
          <w:color w:val="auto"/>
        </w:rPr>
        <w:t>Gain (Loss) on Sale of Real Estate and Earnout from Prior Acquisitions</w:t>
      </w:r>
      <w:r>
        <w:rPr>
          <w:rFonts w:ascii="Arial" w:cs="Arial" w:eastAsia="Arial" w:hAnsi="Arial"/>
          <w:sz w:val="16"/>
          <w:szCs w:val="16"/>
          <w:color w:val="auto"/>
        </w:rPr>
        <w:t>—During 2011, we acquired a store located in Florida. As part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we agreed to make an additional cash payment to the sellers if the acquired store exceeded a specified amount of net rental income for any twelve-month period prior to June 30, 2015. At the acquisition date, $133 was recorded as the estimated amount that would be due, and we believed that it was unlikely that any significant additional payment would be made as a result of this earnout provision. Because the rental growth of the store was trending significantly higher than expected, we estimated that an additional earnout payment of $2,500 would be due to the seller. This amount is included in gain (loss) on sale of real estate and earnout from prior acquisitions on our consolidated statements of operations for the year ended December 31, 2014.</w:t>
      </w:r>
    </w:p>
    <w:p>
      <w:pPr>
        <w:spacing w:after="0" w:line="164"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During 2012, we acquired a portfolio of ten stores. As part of this acquisition, we agreed to make an additional cash payment to the sellers if the acquired stores exceeded a specified amount of net rental income two years after the acquisition date. At the acquisition date, we believed that it was unlikely that any significant payment would be made as a result of this earnout provision. The rental growth of the stores was significantly higher than expected, resulting in a payment to the sellers of $7,785. This amount is included in gain (loss) on sale of real estate and earnout from prior acquisitions on our consolidated statements of operations for the year ended December 31, 2014.</w:t>
      </w:r>
    </w:p>
    <w:p>
      <w:pPr>
        <w:spacing w:after="0" w:line="193" w:lineRule="exact"/>
        <w:rPr>
          <w:sz w:val="20"/>
          <w:szCs w:val="20"/>
          <w:color w:val="auto"/>
        </w:rPr>
      </w:pPr>
    </w:p>
    <w:p>
      <w:pPr>
        <w:jc w:val="both"/>
        <w:ind w:right="160" w:firstLine="457"/>
        <w:spacing w:after="0" w:line="254" w:lineRule="auto"/>
        <w:rPr>
          <w:sz w:val="20"/>
          <w:szCs w:val="20"/>
          <w:color w:val="auto"/>
        </w:rPr>
      </w:pPr>
      <w:r>
        <w:rPr>
          <w:rFonts w:ascii="Arial" w:cs="Arial" w:eastAsia="Arial" w:hAnsi="Arial"/>
          <w:sz w:val="18"/>
          <w:szCs w:val="18"/>
          <w:color w:val="auto"/>
        </w:rPr>
        <w:t>The gain on sale of real estate assets recorded for the year ended December 31, 2013 was related to two transactions: (1) we recorded a gain of $800 as a result of the condemnation of a portion of land in California that resulted from eminent domain, and (2) we recorded a gain of $160 as a result of the sale of one store in Florida for $3,250 in cash.</w:t>
      </w:r>
    </w:p>
    <w:p>
      <w:pPr>
        <w:spacing w:after="0" w:line="182" w:lineRule="exact"/>
        <w:rPr>
          <w:sz w:val="20"/>
          <w:szCs w:val="20"/>
          <w:color w:val="auto"/>
        </w:rPr>
      </w:pPr>
    </w:p>
    <w:p>
      <w:pPr>
        <w:ind w:right="500" w:firstLine="457"/>
        <w:spacing w:after="0" w:line="270" w:lineRule="auto"/>
        <w:rPr>
          <w:sz w:val="20"/>
          <w:szCs w:val="20"/>
          <w:color w:val="auto"/>
        </w:rPr>
      </w:pPr>
      <w:r>
        <w:rPr>
          <w:rFonts w:ascii="Arial" w:cs="Arial" w:eastAsia="Arial" w:hAnsi="Arial"/>
          <w:sz w:val="18"/>
          <w:szCs w:val="18"/>
          <w:b w:val="1"/>
          <w:bCs w:val="1"/>
          <w:color w:val="auto"/>
        </w:rPr>
        <w:t>Property Casualty Loss, Net</w:t>
      </w:r>
      <w:r>
        <w:rPr>
          <w:rFonts w:ascii="Arial" w:cs="Arial" w:eastAsia="Arial" w:hAnsi="Arial"/>
          <w:sz w:val="18"/>
          <w:szCs w:val="18"/>
          <w:color w:val="auto"/>
        </w:rPr>
        <w:t>—In October 2014, a store located in Venice, California, was damaged by a fire. As a result, we recorded a loss,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recoveries, of $1,724.</w:t>
      </w:r>
    </w:p>
    <w:p>
      <w:pPr>
        <w:spacing w:after="0" w:line="168" w:lineRule="exact"/>
        <w:rPr>
          <w:sz w:val="20"/>
          <w:szCs w:val="20"/>
          <w:color w:val="auto"/>
        </w:rPr>
      </w:pPr>
    </w:p>
    <w:p>
      <w:pPr>
        <w:ind w:right="500" w:firstLine="457"/>
        <w:spacing w:after="0" w:line="270" w:lineRule="auto"/>
        <w:rPr>
          <w:sz w:val="20"/>
          <w:szCs w:val="20"/>
          <w:color w:val="auto"/>
        </w:rPr>
      </w:pPr>
      <w:r>
        <w:rPr>
          <w:rFonts w:ascii="Arial" w:cs="Arial" w:eastAsia="Arial" w:hAnsi="Arial"/>
          <w:sz w:val="18"/>
          <w:szCs w:val="18"/>
          <w:b w:val="1"/>
          <w:bCs w:val="1"/>
          <w:color w:val="auto"/>
        </w:rPr>
        <w:t>Loss on Extinguishment of Debt Related to Portfolio Acquisition</w:t>
      </w:r>
      <w:r>
        <w:rPr>
          <w:rFonts w:ascii="Arial" w:cs="Arial" w:eastAsia="Arial" w:hAnsi="Arial"/>
          <w:sz w:val="18"/>
          <w:szCs w:val="18"/>
          <w:color w:val="auto"/>
        </w:rPr>
        <w:t>—The loss on extinguishment of debt occurred as part of a loan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defeasance upon closing of a portfolio acquisition during the year ended December 31, 2013.</w:t>
      </w:r>
    </w:p>
    <w:p>
      <w:pPr>
        <w:spacing w:after="0" w:line="168" w:lineRule="exact"/>
        <w:rPr>
          <w:sz w:val="20"/>
          <w:szCs w:val="20"/>
          <w:color w:val="auto"/>
        </w:rPr>
      </w:pPr>
    </w:p>
    <w:p>
      <w:pPr>
        <w:ind w:right="120" w:firstLine="457"/>
        <w:spacing w:after="0" w:line="304"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—Interest expense increased due to the increase in total amount of debt outstanding. This increase was partially offset by a decrease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average interest rate. At December 31, 2014, our total face value of debt was $2,379,657 compared to total face value of debt of $1,958,586 at December 31, 2013. The average interest rate was 3.4% as of December 31, 2014, compared to 3.8% as of December 31, 2013.</w:t>
      </w:r>
    </w:p>
    <w:p>
      <w:pPr>
        <w:spacing w:after="0" w:line="146" w:lineRule="exact"/>
        <w:rPr>
          <w:sz w:val="20"/>
          <w:szCs w:val="20"/>
          <w:color w:val="auto"/>
        </w:rPr>
      </w:pPr>
    </w:p>
    <w:p>
      <w:pPr>
        <w:ind w:right="80" w:firstLine="457"/>
        <w:spacing w:after="0" w:line="304" w:lineRule="auto"/>
        <w:rPr>
          <w:sz w:val="20"/>
          <w:szCs w:val="20"/>
          <w:color w:val="auto"/>
        </w:rPr>
      </w:pPr>
      <w:r>
        <w:rPr>
          <w:rFonts w:ascii="Arial" w:cs="Arial" w:eastAsia="Arial" w:hAnsi="Arial"/>
          <w:sz w:val="16"/>
          <w:szCs w:val="16"/>
          <w:b w:val="1"/>
          <w:bCs w:val="1"/>
          <w:color w:val="auto"/>
        </w:rPr>
        <w:t>Non-cash Interest Expense Related to Amortization of Discount on Equity Component of Exchangeable Senior Notes</w:t>
      </w:r>
      <w:r>
        <w:rPr>
          <w:rFonts w:ascii="Arial" w:cs="Arial" w:eastAsia="Arial" w:hAnsi="Arial"/>
          <w:sz w:val="16"/>
          <w:szCs w:val="16"/>
          <w:color w:val="auto"/>
        </w:rPr>
        <w:t>—Represents the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discount related to the equity component of the exchangeable senior notes issued by our Operating Partnership, which reflects the 4.0% effective interest rate relative to the carrying amount of the liability. In June 2013, our Operating Partnership issued $250,000 of its 2013 Notes.</w:t>
      </w:r>
    </w:p>
    <w:p>
      <w:pPr>
        <w:spacing w:after="0" w:line="146" w:lineRule="exact"/>
        <w:rPr>
          <w:sz w:val="20"/>
          <w:szCs w:val="20"/>
          <w:color w:val="auto"/>
        </w:rPr>
      </w:pPr>
    </w:p>
    <w:p>
      <w:pPr>
        <w:ind w:right="380" w:firstLine="457"/>
        <w:spacing w:after="0" w:line="333"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amounts earned on cash and cash equivalents deposited with financial institutions and interest earned on</w:t>
      </w:r>
      <w:r>
        <w:rPr>
          <w:rFonts w:ascii="Arial" w:cs="Arial" w:eastAsia="Arial" w:hAnsi="Arial"/>
          <w:sz w:val="16"/>
          <w:szCs w:val="16"/>
          <w:b w:val="1"/>
          <w:bCs w:val="1"/>
          <w:color w:val="auto"/>
        </w:rPr>
        <w:t xml:space="preserve"> </w:t>
      </w:r>
      <w:r>
        <w:rPr>
          <w:rFonts w:ascii="Arial" w:cs="Arial" w:eastAsia="Arial" w:hAnsi="Arial"/>
          <w:sz w:val="16"/>
          <w:szCs w:val="16"/>
          <w:color w:val="auto"/>
        </w:rPr>
        <w:t>notes receivable. The increase relates primarily to the increase in the average balance of notes receivable when compared to the prior year.</w:t>
      </w:r>
    </w:p>
    <w:p>
      <w:pPr>
        <w:spacing w:after="0" w:line="123" w:lineRule="exact"/>
        <w:rPr>
          <w:sz w:val="20"/>
          <w:szCs w:val="20"/>
          <w:color w:val="auto"/>
        </w:rPr>
      </w:pPr>
    </w:p>
    <w:p>
      <w:pPr>
        <w:ind w:right="120" w:firstLine="457"/>
        <w:spacing w:after="0" w:line="270"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8"/>
          <w:szCs w:val="18"/>
          <w:color w:val="auto"/>
        </w:rPr>
        <w:t>—Represents interest on a $100,000 loan to the 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Partnership’s Series A Units.</w:t>
      </w:r>
    </w:p>
    <w:p>
      <w:pPr>
        <w:spacing w:after="0" w:line="168" w:lineRule="exact"/>
        <w:rPr>
          <w:sz w:val="20"/>
          <w:szCs w:val="20"/>
          <w:color w:val="auto"/>
        </w:rPr>
      </w:pPr>
    </w:p>
    <w:p>
      <w:pPr>
        <w:ind w:right="220" w:firstLine="457"/>
        <w:spacing w:after="0" w:line="253" w:lineRule="auto"/>
        <w:rPr>
          <w:sz w:val="20"/>
          <w:szCs w:val="20"/>
          <w:color w:val="auto"/>
        </w:rPr>
      </w:pPr>
      <w:r>
        <w:rPr>
          <w:rFonts w:ascii="Arial" w:cs="Arial" w:eastAsia="Arial" w:hAnsi="Arial"/>
          <w:sz w:val="18"/>
          <w:szCs w:val="18"/>
          <w:b w:val="1"/>
          <w:bCs w:val="1"/>
          <w:color w:val="auto"/>
        </w:rPr>
        <w:t>Equity in Earnings of Unconsolidated Real Estate Ventures</w:t>
      </w:r>
      <w:r>
        <w:rPr>
          <w:rFonts w:ascii="Arial" w:cs="Arial" w:eastAsia="Arial" w:hAnsi="Arial"/>
          <w:sz w:val="18"/>
          <w:szCs w:val="18"/>
          <w:color w:val="auto"/>
        </w:rPr>
        <w:t>—Equity in earnings of unconsolidated real estate ventures represents the income earned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our ownership interests in unconsolidated joint ventures. The decrease was due to the acquisition of our joint venture partners’ interests in several joint ventures during 2013. There were 252 operating stores owned by unconsolidated real estate ventures as of December 31, 2014, compared to 254 stores as of December 31, 2013, and 280 as of December 31, 2012.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2"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b w:val="1"/>
          <w:bCs w:val="1"/>
          <w:color w:val="auto"/>
        </w:rPr>
        <w:t xml:space="preserve">Equity in Earnings of Unconsolidated Real Estate Ventures—Gain on Sale of Real Estate Assets and Purchase of Joint Venture Partners’ Interests </w:t>
      </w:r>
      <w:r>
        <w:rPr>
          <w:rFonts w:ascii="Arial" w:cs="Arial" w:eastAsia="Arial" w:hAnsi="Arial"/>
          <w:sz w:val="16"/>
          <w:szCs w:val="16"/>
          <w:color w:val="auto"/>
        </w:rPr>
        <w:t>—In December 2013 and May 2014, as part of a larger acquisition, we acquired our joint venture partners’ 60% to 65% equity interests in six stores located in California. We previously held the remaining 35% to 40% interests in these stores through six separate joint ventures with affiliates of Grupe. Prior to the acquisition, we accounted for our interests in these joint ventures as equity-method investments. We recognized a non-cash gain of $3,438 during the year ended December 31, 2014, as a result of re-measuring the fair value of our equity interest in one of these joint ventures held before the acquisition. During the year ended December 31, 2014, we recorded an additional gain of $584 as a result of the final cash distributions received from the other five joint ventures associated with the acquisitions that were completed during 2013. We recognized non-cash gains of $9,339 during the year ended December 31, 2013, which represented the increase in the fair values of our prior interests in the Grupe joint ventures from their formations to the acquisition dates.</w:t>
      </w:r>
    </w:p>
    <w:p>
      <w:pPr>
        <w:spacing w:after="0" w:line="171"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On November 1, 2013, we acquired an additional 49% equity interest from our joint venture partners, which retained a 1% interest in the HSRE-ESP IA, LLC joint venture (“HSRE”) that owns 19 stores. This transaction resulted in a non-cash gain of $34,136, which represents the increase in the fair value of our 50% interest in HSRE from the formation of the joint venture to the acquisition date.</w:t>
      </w:r>
    </w:p>
    <w:p>
      <w:pPr>
        <w:spacing w:after="0" w:line="188" w:lineRule="exact"/>
        <w:rPr>
          <w:sz w:val="20"/>
          <w:szCs w:val="20"/>
          <w:color w:val="auto"/>
        </w:rPr>
      </w:pPr>
    </w:p>
    <w:p>
      <w:pPr>
        <w:ind w:right="80" w:firstLine="457"/>
        <w:spacing w:after="0" w:line="363" w:lineRule="auto"/>
        <w:rPr>
          <w:sz w:val="20"/>
          <w:szCs w:val="20"/>
          <w:color w:val="auto"/>
        </w:rPr>
      </w:pPr>
      <w:r>
        <w:rPr>
          <w:rFonts w:ascii="Arial" w:cs="Arial" w:eastAsia="Arial" w:hAnsi="Arial"/>
          <w:sz w:val="15"/>
          <w:szCs w:val="15"/>
          <w:color w:val="auto"/>
        </w:rPr>
        <w:t>In February 2013, we acquired our partners’ equity interests in two joint ventures that each held one store. As a result of the acquisitions, we recognized non-cash gains of $2,556, which represents the increase in the fair values of our prior interests in the joint ventures from their formations to the acquisition dates.</w:t>
      </w:r>
    </w:p>
    <w:p>
      <w:pPr>
        <w:spacing w:after="0" w:line="106" w:lineRule="exact"/>
        <w:rPr>
          <w:sz w:val="20"/>
          <w:szCs w:val="20"/>
          <w:color w:val="auto"/>
        </w:rPr>
      </w:pPr>
    </w:p>
    <w:p>
      <w:pPr>
        <w:jc w:val="both"/>
        <w:ind w:right="240" w:firstLine="457"/>
        <w:spacing w:after="0" w:line="333" w:lineRule="auto"/>
        <w:rPr>
          <w:sz w:val="20"/>
          <w:szCs w:val="20"/>
          <w:color w:val="auto"/>
        </w:rPr>
      </w:pPr>
      <w:r>
        <w:rPr>
          <w:rFonts w:ascii="Arial" w:cs="Arial" w:eastAsia="Arial" w:hAnsi="Arial"/>
          <w:sz w:val="16"/>
          <w:szCs w:val="16"/>
          <w:b w:val="1"/>
          <w:bCs w:val="1"/>
          <w:color w:val="auto"/>
        </w:rPr>
        <w:t>Income Tax Expense</w:t>
      </w:r>
      <w:r>
        <w:rPr>
          <w:rFonts w:ascii="Arial" w:cs="Arial" w:eastAsia="Arial" w:hAnsi="Arial"/>
          <w:sz w:val="16"/>
          <w:szCs w:val="16"/>
          <w:color w:val="auto"/>
        </w:rPr>
        <w:t>— The decrease in income tax expense relates primarily to a royalty charged to the insurance captive by the Operating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for access to and use of customer lists and intellectual property. The effect of this change lowered the taxable income of the TRS.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Allocated to Noncontrolling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net income allocated to noncontrolling interests for the years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8"/>
        </w:trPr>
        <w:tc>
          <w:tcPr>
            <w:tcW w:w="6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1"/>
              <w:spacing w:after="0" w:line="139"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36"/>
              <w:spacing w:after="0" w:line="139"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4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income allocated to noncontrolling interests:</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tcPr>
          <w:p>
            <w:pPr>
              <w:ind w:left="360"/>
              <w:spacing w:after="0" w:line="199" w:lineRule="exact"/>
              <w:rPr>
                <w:sz w:val="20"/>
                <w:szCs w:val="20"/>
                <w:color w:val="auto"/>
              </w:rPr>
            </w:pPr>
            <w:r>
              <w:rPr>
                <w:rFonts w:ascii="Arial" w:cs="Arial" w:eastAsia="Arial" w:hAnsi="Arial"/>
                <w:sz w:val="18"/>
                <w:szCs w:val="18"/>
                <w:color w:val="auto"/>
              </w:rPr>
              <w:t>Net income allocated to Preferred Operating Partnership noncontrolling</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540"/>
              <w:spacing w:after="0"/>
              <w:rPr>
                <w:sz w:val="20"/>
                <w:szCs w:val="20"/>
                <w:color w:val="auto"/>
              </w:rPr>
            </w:pPr>
            <w:r>
              <w:rPr>
                <w:rFonts w:ascii="Arial" w:cs="Arial" w:eastAsia="Arial" w:hAnsi="Arial"/>
                <w:sz w:val="18"/>
                <w:szCs w:val="18"/>
                <w:color w:val="auto"/>
              </w:rPr>
              <w:t>interests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(10,991)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(8,006)</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 (2,985)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99"/>
        </w:trPr>
        <w:tc>
          <w:tcPr>
            <w:tcW w:w="642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Net income allocated to Operating Partnership and other noncontrolling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(6,550)</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(5,474)</w:t>
            </w: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700"/>
              <w:spacing w:after="0"/>
              <w:rPr>
                <w:sz w:val="20"/>
                <w:szCs w:val="20"/>
                <w:color w:val="auto"/>
              </w:rPr>
            </w:pPr>
            <w:r>
              <w:rPr>
                <w:rFonts w:ascii="Arial" w:cs="Arial" w:eastAsia="Arial" w:hAnsi="Arial"/>
                <w:sz w:val="18"/>
                <w:szCs w:val="18"/>
                <w:color w:val="auto"/>
              </w:rPr>
              <w:t>Total income allocated to noncontrolling interests: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20" w:type="dxa"/>
            <w:vAlign w:val="bottom"/>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(17,541)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(13,480)</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 (4,061)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40" w:firstLine="457"/>
        <w:spacing w:after="0" w:line="257" w:lineRule="auto"/>
        <w:rPr>
          <w:sz w:val="20"/>
          <w:szCs w:val="20"/>
          <w:color w:val="auto"/>
        </w:rPr>
      </w:pPr>
      <w:r>
        <w:rPr>
          <w:rFonts w:ascii="Arial" w:cs="Arial" w:eastAsia="Arial" w:hAnsi="Arial"/>
          <w:sz w:val="18"/>
          <w:szCs w:val="18"/>
          <w:b w:val="1"/>
          <w:bCs w:val="1"/>
          <w:color w:val="auto"/>
        </w:rPr>
        <w:t>Net Income Allocated to Preferred Operating Partnership Noncontrolling Interests</w:t>
      </w:r>
      <w:r>
        <w:rPr>
          <w:rFonts w:ascii="Arial" w:cs="Arial" w:eastAsia="Arial" w:hAnsi="Arial"/>
          <w:sz w:val="18"/>
          <w:szCs w:val="18"/>
          <w:color w:val="auto"/>
        </w:rPr>
        <w:t>—In December 2014, as part of the acquisition of a single store,</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Partnership issued 548,390 Series D Units. The Series D Units have a liquidation value of $25.00 per unit, and receive distributions at an annual rate of 5.0%.</w:t>
      </w:r>
    </w:p>
    <w:p>
      <w:pPr>
        <w:spacing w:after="0" w:line="186" w:lineRule="exact"/>
        <w:rPr>
          <w:sz w:val="20"/>
          <w:szCs w:val="20"/>
          <w:color w:val="auto"/>
        </w:rPr>
      </w:pPr>
    </w:p>
    <w:p>
      <w:pPr>
        <w:jc w:val="both"/>
        <w:ind w:right="100" w:firstLine="457"/>
        <w:spacing w:after="0" w:line="300" w:lineRule="auto"/>
        <w:rPr>
          <w:sz w:val="20"/>
          <w:szCs w:val="20"/>
          <w:color w:val="auto"/>
        </w:rPr>
      </w:pPr>
      <w:r>
        <w:rPr>
          <w:rFonts w:ascii="Arial" w:cs="Arial" w:eastAsia="Arial" w:hAnsi="Arial"/>
          <w:sz w:val="16"/>
          <w:szCs w:val="16"/>
          <w:color w:val="auto"/>
        </w:rPr>
        <w:t>In December 2013 and May 2014, as part of a portfolio acquisition, our Operating Partnership issued 704,016 Series C Convertible Redeemable Preferred Units (“Series C Units”). The Series C Units have a liquidation value of $42.10 per unit. From issuance until the fifth anniversary of issuance, the Series C Units receive distributions at an annual rate of $0.18 plus the then-payable quarterly distribution per common OP Unit.</w:t>
      </w:r>
    </w:p>
    <w:p>
      <w:pPr>
        <w:spacing w:after="0" w:line="155"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In April 2014, as part of a single store acquisition, our Operating Partnership issued 333,360 Series B Units. During August and September 2013, as part of a portfolio acquisition, our Operating Partnership issued 1,342,727 Series B Units. The Series B Units have a liquidation value of $25.00 per unit and receive distributions at an annual rate of 6.0%.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2"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Income allocated to the Preferred Operating Partnership noncontrolling interests for the year ended December 31, 2014 represents the fixed distributions paid to the holders of the Series A Units, Series B Units, Series C Units and Series D Units, plus approximately 0.7% of the remaining net income allocated to the holders of the Series A Units.</w:t>
      </w:r>
    </w:p>
    <w:p>
      <w:pPr>
        <w:spacing w:after="0" w:line="182" w:lineRule="exact"/>
        <w:rPr>
          <w:sz w:val="20"/>
          <w:szCs w:val="20"/>
          <w:color w:val="auto"/>
        </w:rPr>
      </w:pPr>
    </w:p>
    <w:p>
      <w:pPr>
        <w:ind w:right="320" w:firstLine="457"/>
        <w:spacing w:after="0" w:line="257" w:lineRule="auto"/>
        <w:rPr>
          <w:sz w:val="20"/>
          <w:szCs w:val="20"/>
          <w:color w:val="auto"/>
        </w:rPr>
      </w:pPr>
      <w:r>
        <w:rPr>
          <w:rFonts w:ascii="Arial" w:cs="Arial" w:eastAsia="Arial" w:hAnsi="Arial"/>
          <w:sz w:val="18"/>
          <w:szCs w:val="18"/>
          <w:b w:val="1"/>
          <w:bCs w:val="1"/>
          <w:color w:val="auto"/>
        </w:rPr>
        <w:t>Net Income Allocated to Operating Partnership and Other Noncontrolling Interests</w:t>
      </w:r>
      <w:r>
        <w:rPr>
          <w:rFonts w:ascii="Arial" w:cs="Arial" w:eastAsia="Arial" w:hAnsi="Arial"/>
          <w:sz w:val="18"/>
          <w:szCs w:val="18"/>
          <w:color w:val="auto"/>
        </w:rPr>
        <w:t>—Income allocated to the Operating Partnership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3.5% and 3.6% of net income after the allocation of the fixed distribution paid to the Preferred Operating Partnership unit holders for the years ended December 31, 2014 and 2013,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16"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w:t>
      </w:r>
    </w:p>
    <w:p>
      <w:pPr>
        <w:spacing w:after="0" w:line="171" w:lineRule="exact"/>
        <w:rPr>
          <w:sz w:val="20"/>
          <w:szCs w:val="20"/>
          <w:color w:val="auto"/>
        </w:rPr>
      </w:pPr>
    </w:p>
    <w:p>
      <w:pPr>
        <w:ind w:right="200" w:firstLine="457"/>
        <w:spacing w:after="0" w:line="292"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3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For the Year Ended</w:t>
      </w:r>
    </w:p>
    <w:p>
      <w:pPr>
        <w:jc w:val="center"/>
        <w:ind w:left="8440"/>
        <w:spacing w:after="0" w:line="22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8"/>
        </w:trPr>
        <w:tc>
          <w:tcPr>
            <w:tcW w:w="856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5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income attributable to common stockholders</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2"/>
              </w:rPr>
              <w:t>$ 189,474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2"/>
              </w:rPr>
              <w:t>$ 178,355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$ 172,076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560" w:type="dxa"/>
            <w:vAlign w:val="bottom"/>
          </w:tcPr>
          <w:p>
            <w:pPr>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depreciation</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115,924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96,819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78,943</w:t>
            </w:r>
          </w:p>
        </w:tc>
        <w:tc>
          <w:tcPr>
            <w:tcW w:w="0" w:type="dxa"/>
            <w:vAlign w:val="bottom"/>
          </w:tcPr>
          <w:p>
            <w:pPr>
              <w:spacing w:after="0"/>
              <w:rPr>
                <w:sz w:val="1"/>
                <w:szCs w:val="1"/>
                <w:color w:val="auto"/>
              </w:rPr>
            </w:pPr>
          </w:p>
        </w:tc>
      </w:tr>
      <w:tr>
        <w:trPr>
          <w:trHeight w:val="211"/>
        </w:trPr>
        <w:tc>
          <w:tcPr>
            <w:tcW w:w="856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680" w:type="dxa"/>
            <w:vAlign w:val="bottom"/>
          </w:tcPr>
          <w:p>
            <w:pPr>
              <w:jc w:val="right"/>
              <w:spacing w:after="0"/>
              <w:rPr>
                <w:sz w:val="20"/>
                <w:szCs w:val="20"/>
                <w:color w:val="auto"/>
              </w:rPr>
            </w:pPr>
            <w:r>
              <w:rPr>
                <w:rFonts w:ascii="Arial" w:cs="Arial" w:eastAsia="Arial" w:hAnsi="Arial"/>
                <w:sz w:val="18"/>
                <w:szCs w:val="18"/>
                <w:color w:val="auto"/>
              </w:rPr>
              <w:t>11,094</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12,394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sale of real estate and earnout from prior acquisitions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1"/>
        </w:trPr>
        <w:tc>
          <w:tcPr>
            <w:tcW w:w="8560" w:type="dxa"/>
            <w:vAlign w:val="bottom"/>
          </w:tcPr>
          <w:p>
            <w:pPr>
              <w:ind w:left="36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4,233</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4,395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Unconsolidated joint venture gain on sale of real estate and purchase of partners’ interests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(4,022)</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(46,032)</w:t>
            </w:r>
          </w:p>
        </w:tc>
        <w:tc>
          <w:tcPr>
            <w:tcW w:w="0" w:type="dxa"/>
            <w:vAlign w:val="bottom"/>
          </w:tcPr>
          <w:p>
            <w:pPr>
              <w:spacing w:after="0"/>
              <w:rPr>
                <w:sz w:val="1"/>
                <w:szCs w:val="1"/>
                <w:color w:val="auto"/>
              </w:rPr>
            </w:pPr>
          </w:p>
        </w:tc>
      </w:tr>
      <w:tr>
        <w:trPr>
          <w:trHeight w:val="211"/>
        </w:trPr>
        <w:tc>
          <w:tcPr>
            <w:tcW w:w="8560" w:type="dxa"/>
            <w:vAlign w:val="bottom"/>
          </w:tcPr>
          <w:p>
            <w:pPr>
              <w:ind w:left="36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(5,088)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(5,750)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13,431</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Funds from operations attributable to common stockholders</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$ 331,343</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$ 310,006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$ 228,847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116" w:lineRule="exact"/>
        <w:rPr>
          <w:sz w:val="20"/>
          <w:szCs w:val="20"/>
          <w:color w:val="auto"/>
        </w:rPr>
      </w:pPr>
    </w:p>
    <w:p>
      <w:pPr>
        <w:ind w:right="320" w:firstLine="457"/>
        <w:spacing w:after="0" w:line="263" w:lineRule="auto"/>
        <w:rPr>
          <w:sz w:val="20"/>
          <w:szCs w:val="20"/>
          <w:color w:val="auto"/>
        </w:rPr>
      </w:pPr>
      <w:r>
        <w:rPr>
          <w:rFonts w:ascii="Arial" w:cs="Arial" w:eastAsia="Arial" w:hAnsi="Arial"/>
          <w:sz w:val="18"/>
          <w:szCs w:val="18"/>
          <w:color w:val="auto"/>
        </w:rPr>
        <w:t>We consider our same-store portfolio to consist of only those stores which were wholly-owned at the beginning and at the end of the applicable periods presented that had achieved stabilization as of the first day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2"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such period. The following tables present operating data for our same-store portfolio. We consider the following same-store presentation to be meaningful in regards to the stores shown below because these results provide information relating to store level operating changes without the effects of acquisitions or completed developments.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Year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Ended December 31,</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4"/>
                <w:szCs w:val="14"/>
                <w:color w:val="auto"/>
              </w:rPr>
            </w:pPr>
          </w:p>
        </w:tc>
        <w:tc>
          <w:tcPr>
            <w:tcW w:w="20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4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Same-store rental and tenant reinsurance revenues</w:t>
            </w: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151,761</w:t>
            </w: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138,471</w:t>
            </w: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590,979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540,664</w:t>
            </w:r>
          </w:p>
        </w:tc>
        <w:tc>
          <w:tcPr>
            <w:tcW w:w="42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Same-store operating and tenant reinsurance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41,702</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39,802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166,166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161,135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110,059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98,669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424,813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379,529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Non same-store rental and tenant reinsurance revenues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63,806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21,665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157,130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78,276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100.7%</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 same-store operating and tenant reinsurance expenses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262.2%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134.2%</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Total rental and tenant reinsurance revenues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215,567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160,136</w:t>
            </w:r>
          </w:p>
        </w:tc>
        <w:tc>
          <w:tcPr>
            <w:tcW w:w="4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748,109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618,940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tenant reinsurance expenses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62,848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45,640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182,843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Same-store square foot occupancy as of quarter end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40" w:firstLine="457"/>
        <w:spacing w:after="0" w:line="292" w:lineRule="auto"/>
        <w:rPr>
          <w:sz w:val="20"/>
          <w:szCs w:val="20"/>
          <w:color w:val="auto"/>
        </w:rPr>
      </w:pPr>
      <w:r>
        <w:rPr>
          <w:rFonts w:ascii="Arial" w:cs="Arial" w:eastAsia="Arial" w:hAnsi="Arial"/>
          <w:sz w:val="16"/>
          <w:szCs w:val="16"/>
          <w:color w:val="auto"/>
        </w:rPr>
        <w:t>The increases in same-store rental and tenant reinsurance revenues for the three months and year ended December 31, 2015, as compared to the same periods ended December 31, 2014, were due primarily to an increase in occupancy, an increase in rental rates to new and existing customers, and reduced customer discounts. Expenses were higher for the year ended December 31, 2015 due to increases in tenant reinsurance expense, credit card merchant fees and property taxes. Increases were offset by decreases in utility expenses and property insurance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2014 to the Year Ended 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For the Three Months</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Year Ended</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Ended December 31,</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880" w:type="dxa"/>
            <w:vAlign w:val="bottom"/>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39"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6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Same-store rental and tenant reinsurance revenues</w:t>
            </w: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121,819</w:t>
            </w: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113,546</w:t>
            </w:r>
          </w:p>
        </w:tc>
        <w:tc>
          <w:tcPr>
            <w:tcW w:w="40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477,884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444,353</w:t>
            </w:r>
          </w:p>
        </w:tc>
        <w:tc>
          <w:tcPr>
            <w:tcW w:w="40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Same-store operating and tenant reinsurance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33,942</w:t>
            </w:r>
          </w:p>
        </w:tc>
        <w:tc>
          <w:tcPr>
            <w:tcW w:w="4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139,835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135,547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308,806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Non same-store rental and tenant reinsurance revenues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38,317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21,684</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141,056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49,646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184.1%</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 same-store operating and tenant reinsurance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13,487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218.9%</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Total rental and tenant reinsurance revenues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160,136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135,230</w:t>
            </w:r>
          </w:p>
        </w:tc>
        <w:tc>
          <w:tcPr>
            <w:tcW w:w="4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618,940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493,999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tenant reinsurance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39,774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149,034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Same-store square foot occupancy as of quarter end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840" w:type="dxa"/>
            <w:vAlign w:val="bottom"/>
          </w:tcPr>
          <w:p>
            <w:pPr>
              <w:spacing w:after="0"/>
              <w:rPr>
                <w:sz w:val="24"/>
                <w:szCs w:val="24"/>
                <w:color w:val="auto"/>
              </w:rPr>
            </w:pPr>
          </w:p>
        </w:tc>
        <w:tc>
          <w:tcPr>
            <w:tcW w:w="1400" w:type="dxa"/>
            <w:vAlign w:val="bottom"/>
            <w:gridSpan w:val="3"/>
          </w:tcPr>
          <w:p>
            <w:pPr>
              <w:jc w:val="right"/>
              <w:ind w:right="356"/>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The increases in same-store rental and tenant reinsurance revenues for the three months and year ended December 31, 2014, as compared to the same periods ended December 31, 2013, were due primarily to an increase in occupancy, a decrease in discounts to new customers, and an average increase of 4.0% to 5.0% in incoming rates to new tenants. Expenses were higher for the year ended December 31, 2014 due to increases in office expense, property taxes and repairs and maintenance. These expenses were partially offset by a decrease in property insurance in the three months and year ended December 31,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110" w:lineRule="exact"/>
        <w:rPr>
          <w:sz w:val="20"/>
          <w:szCs w:val="20"/>
          <w:color w:val="auto"/>
        </w:rPr>
      </w:pPr>
    </w:p>
    <w:p>
      <w:pPr>
        <w:ind w:right="300" w:firstLine="457"/>
        <w:spacing w:after="0" w:line="300" w:lineRule="auto"/>
        <w:rPr>
          <w:sz w:val="20"/>
          <w:szCs w:val="20"/>
          <w:color w:val="auto"/>
        </w:rPr>
      </w:pPr>
      <w:r>
        <w:rPr>
          <w:rFonts w:ascii="Arial" w:cs="Arial" w:eastAsia="Arial" w:hAnsi="Arial"/>
          <w:sz w:val="16"/>
          <w:szCs w:val="16"/>
          <w:color w:val="auto"/>
        </w:rPr>
        <w:t>Cash provided by operating activities was $367,329 and $337,581 for the years ended December 31, 2015 and 2014, respectively. The change when compared to the prior year was primarily due to a $13,640 increase in net income and an increase in depreciation and amortization expense of $18,381. These increases were partially offset by a decrease in the change in accounts payable and accrued liabilities of $4,812.</w:t>
      </w:r>
    </w:p>
    <w:p>
      <w:pPr>
        <w:spacing w:after="0" w:line="155" w:lineRule="exact"/>
        <w:rPr>
          <w:sz w:val="20"/>
          <w:szCs w:val="20"/>
          <w:color w:val="auto"/>
        </w:rPr>
      </w:pPr>
    </w:p>
    <w:p>
      <w:pPr>
        <w:ind w:right="160" w:firstLine="457"/>
        <w:spacing w:after="0" w:line="250" w:lineRule="auto"/>
        <w:rPr>
          <w:sz w:val="20"/>
          <w:szCs w:val="20"/>
          <w:color w:val="auto"/>
        </w:rPr>
      </w:pPr>
      <w:r>
        <w:rPr>
          <w:rFonts w:ascii="Arial" w:cs="Arial" w:eastAsia="Arial" w:hAnsi="Arial"/>
          <w:sz w:val="18"/>
          <w:szCs w:val="18"/>
          <w:color w:val="auto"/>
        </w:rPr>
        <w:t>Cash used in investing activities was $1,625,664 and $564,948 for the years ended December 31, 2015 and 2014, respectively. The change was primarily the result of an increase of $1,200,853 paid for the acquisition of SmartStop in October 2015. There was also an increase of $55,073 in cash used to purchase/issue notes receivable. These increases in cash outflows were partially offset by an increase of $45,080 in cash received as returns of investments in unconsolidated real estate ventures.</w:t>
      </w:r>
    </w:p>
    <w:p>
      <w:pPr>
        <w:spacing w:after="0" w:line="193" w:lineRule="exact"/>
        <w:rPr>
          <w:sz w:val="20"/>
          <w:szCs w:val="20"/>
          <w:color w:val="auto"/>
        </w:rPr>
      </w:pPr>
    </w:p>
    <w:p>
      <w:pPr>
        <w:ind w:right="160" w:firstLine="457"/>
        <w:spacing w:after="0" w:line="311" w:lineRule="auto"/>
        <w:rPr>
          <w:sz w:val="20"/>
          <w:szCs w:val="20"/>
          <w:color w:val="auto"/>
        </w:rPr>
      </w:pPr>
      <w:r>
        <w:rPr>
          <w:rFonts w:ascii="Arial" w:cs="Arial" w:eastAsia="Arial" w:hAnsi="Arial"/>
          <w:sz w:val="15"/>
          <w:szCs w:val="15"/>
          <w:color w:val="auto"/>
        </w:rPr>
        <w:t>Cash provided by financing activities was $1,286,471 and $148,307 for the years ended December 31, 2015 and 2014, respectively. The net increase was due to a number of factors, including an increase of $1,204,138 in the cash proceeds received from the issuance of notes payable and lines of credit, an increase of $446,877 in the cash proceeds received from the sale of common stock, and an increase of $563,500 in the net proceeds from the issuance of exchangeable senior notes. These increases in cash inflows were offset by an increase of $780,442 of cash paid for principal payments on notes payable and lines of credit, an increase of $227,212 in cash paid to repurchase existing exchangeable senior notes, and an increase of $59,211 in cash paid as dividends on our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2014 to the Year Ended December 31, 2013</w:t>
      </w:r>
    </w:p>
    <w:p>
      <w:pPr>
        <w:spacing w:after="0" w:line="110"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Cash provided by operating activities was $337,581 and $271,259 for the years ended December 31, 2014 and 2013, respectively. The change when compared to the prior year was primarily due to a decrease of $42,594 in non-cash gains related to purchases of joint venture partners’ interests. There was also a $10,340 increase in net income and an increase in depreciation and amortization of $19,844. These increases were partially offset by a decrease in the loss on extinguishment of debt related to portfolio acquisition of $9,153.</w:t>
      </w:r>
    </w:p>
    <w:p>
      <w:pPr>
        <w:spacing w:after="0" w:line="193" w:lineRule="exact"/>
        <w:rPr>
          <w:sz w:val="20"/>
          <w:szCs w:val="20"/>
          <w:color w:val="auto"/>
        </w:rPr>
      </w:pPr>
    </w:p>
    <w:p>
      <w:pPr>
        <w:jc w:val="both"/>
        <w:ind w:firstLine="457"/>
        <w:spacing w:after="0" w:line="300" w:lineRule="auto"/>
        <w:rPr>
          <w:sz w:val="20"/>
          <w:szCs w:val="20"/>
          <w:color w:val="auto"/>
        </w:rPr>
      </w:pPr>
      <w:r>
        <w:rPr>
          <w:rFonts w:ascii="Arial" w:cs="Arial" w:eastAsia="Arial" w:hAnsi="Arial"/>
          <w:sz w:val="16"/>
          <w:szCs w:val="16"/>
          <w:color w:val="auto"/>
        </w:rPr>
        <w:t>Cash used in investing activities was $564,948 and $366,976 for the years ended December 31, 2014 and 2013, respectively. The change was primarily the result of an increase of $153,579 in the amount of cash used to acquire new stores in 2014 when compared to 2013. There was also an increase of $24,258 in cash used to purchase/issue notes receivable, and an increase of $17,062 in cash used in the development and redevelopment of real estate assets.</w:t>
      </w:r>
    </w:p>
    <w:p>
      <w:pPr>
        <w:spacing w:after="0" w:line="155" w:lineRule="exact"/>
        <w:rPr>
          <w:sz w:val="20"/>
          <w:szCs w:val="20"/>
          <w:color w:val="auto"/>
        </w:rPr>
      </w:pPr>
    </w:p>
    <w:p>
      <w:pPr>
        <w:ind w:right="100" w:firstLine="457"/>
        <w:spacing w:after="0" w:line="249" w:lineRule="auto"/>
        <w:rPr>
          <w:sz w:val="20"/>
          <w:szCs w:val="20"/>
          <w:color w:val="auto"/>
        </w:rPr>
      </w:pPr>
      <w:r>
        <w:rPr>
          <w:rFonts w:ascii="Arial" w:cs="Arial" w:eastAsia="Arial" w:hAnsi="Arial"/>
          <w:sz w:val="18"/>
          <w:szCs w:val="18"/>
          <w:color w:val="auto"/>
        </w:rPr>
        <w:t>Cash provided by financing activities was $148,307 and $191,655 for the years ended December 31, 2014 and 2013, respectively. The net decrease was due to a number of factors, including a decrease of $205,988 in the cash proceeds received from the sale of common stock, a decrease of $246,250 in the proceeds from issuance of exchangeable senior notes, and an increase of $47,077 in cash paid as dividends on common stock. These decreases were offset by an increase of $335,479 in the proceeds from notes payable and lines of credit, and a decrease of $131,244 in principal payments on notes payable and lines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2"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ind w:right="240" w:firstLine="457"/>
        <w:spacing w:after="0" w:line="254" w:lineRule="auto"/>
        <w:rPr>
          <w:sz w:val="20"/>
          <w:szCs w:val="20"/>
          <w:color w:val="auto"/>
        </w:rPr>
      </w:pPr>
      <w:r>
        <w:rPr>
          <w:rFonts w:ascii="Arial" w:cs="Arial" w:eastAsia="Arial" w:hAnsi="Arial"/>
          <w:sz w:val="18"/>
          <w:szCs w:val="18"/>
          <w:color w:val="auto"/>
        </w:rPr>
        <w:t>As of December 31, 2015, we had $75,799 available in cash and cash equivalents. We intend to use this cash for acquisitions, to repay debt scheduled to mature in 2015 and for general corporate purposes. We are required to distribute at least 90% of our net taxable income, excluding net capital gains, to our stockholders on an annual basis to maintain our qualification as a REIT.</w:t>
      </w:r>
    </w:p>
    <w:p>
      <w:pPr>
        <w:spacing w:after="0" w:line="188"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Our cash and cash equivalents are held in accounts managed by third party financial institutions and consist of invested cash and cash in our operating accounts. During 2015, we experienced no loss or lack of access to our cash or cash equivalents; however, there can be no assurance that access to our cash and cash equivalents will not be impacted by adverse conditions in the financial markets.</w:t>
      </w:r>
    </w:p>
    <w:p>
      <w:pPr>
        <w:spacing w:after="0" w:line="188" w:lineRule="exact"/>
        <w:rPr>
          <w:sz w:val="20"/>
          <w:szCs w:val="20"/>
          <w:color w:val="auto"/>
        </w:rPr>
      </w:pPr>
    </w:p>
    <w:p>
      <w:pPr>
        <w:ind w:right="460" w:firstLine="457"/>
        <w:spacing w:after="0" w:line="263" w:lineRule="auto"/>
        <w:rPr>
          <w:sz w:val="20"/>
          <w:szCs w:val="20"/>
          <w:color w:val="auto"/>
        </w:rPr>
      </w:pPr>
      <w:r>
        <w:rPr>
          <w:rFonts w:ascii="Arial" w:cs="Arial" w:eastAsia="Arial" w:hAnsi="Arial"/>
          <w:sz w:val="18"/>
          <w:szCs w:val="18"/>
          <w:color w:val="auto"/>
        </w:rPr>
        <w:t>The following table presents information on our lines of credit for the period presented. All of our lines of credit are guaranteed by us and secured by mortgages on certain real estate assets.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As of December 31, 2015</w:t>
            </w: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Origination</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Line of Credit</w:t>
            </w:r>
          </w:p>
        </w:tc>
        <w:tc>
          <w:tcPr>
            <w:tcW w:w="3380" w:type="dxa"/>
            <w:vAlign w:val="bottom"/>
            <w:vMerge w:val="restart"/>
          </w:tcPr>
          <w:p>
            <w:pPr>
              <w:spacing w:after="0"/>
              <w:rPr>
                <w:sz w:val="11"/>
                <w:szCs w:val="11"/>
                <w:color w:val="auto"/>
              </w:rPr>
            </w:pPr>
          </w:p>
        </w:tc>
        <w:tc>
          <w:tcPr>
            <w:tcW w:w="7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Interest</w:t>
            </w:r>
          </w:p>
        </w:tc>
        <w:tc>
          <w:tcPr>
            <w:tcW w:w="4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33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Drawn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Capacity</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Rate</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Maturity</w:t>
            </w:r>
          </w:p>
        </w:tc>
        <w:tc>
          <w:tcPr>
            <w:tcW w:w="3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Basis Rate (1)</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6"/>
              </w:rPr>
              <w:t>Credit Line</w:t>
            </w:r>
          </w:p>
        </w:tc>
        <w:tc>
          <w:tcPr>
            <w:tcW w:w="3380" w:type="dxa"/>
            <w:vAlign w:val="bottom"/>
            <w:shd w:val="clear" w:color="auto" w:fill="CCEEFF"/>
          </w:tcPr>
          <w:p>
            <w:pPr>
              <w:jc w:val="right"/>
              <w:ind w:right="3223"/>
              <w:spacing w:after="0"/>
              <w:rPr>
                <w:sz w:val="20"/>
                <w:szCs w:val="20"/>
                <w:color w:val="auto"/>
              </w:rPr>
            </w:pPr>
            <w:r>
              <w:rPr>
                <w:rFonts w:ascii="Arial" w:cs="Arial" w:eastAsia="Arial" w:hAnsi="Arial"/>
                <w:sz w:val="15"/>
                <w:szCs w:val="15"/>
                <w:color w:val="auto"/>
                <w:w w:val="71"/>
              </w:rPr>
              <w:t>1</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$36,000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$180,000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2.1%</w:t>
            </w: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6/4/2010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6/30/2018</w:t>
            </w: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60"/>
              <w:spacing w:after="0" w:line="204" w:lineRule="exact"/>
              <w:rPr>
                <w:sz w:val="20"/>
                <w:szCs w:val="20"/>
                <w:color w:val="auto"/>
              </w:rPr>
            </w:pPr>
            <w:r>
              <w:rPr>
                <w:rFonts w:ascii="Arial" w:cs="Arial" w:eastAsia="Arial" w:hAnsi="Arial"/>
                <w:sz w:val="18"/>
                <w:szCs w:val="18"/>
                <w:color w:val="auto"/>
              </w:rPr>
              <w:t>LIBOR plus 1.7%</w:t>
            </w:r>
          </w:p>
        </w:tc>
        <w:tc>
          <w:tcPr>
            <w:tcW w:w="44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4240" w:type="dxa"/>
            <w:vAlign w:val="bottom"/>
            <w:gridSpan w:val="2"/>
          </w:tcPr>
          <w:p>
            <w:pPr>
              <w:spacing w:after="0"/>
              <w:rPr>
                <w:sz w:val="20"/>
                <w:szCs w:val="20"/>
                <w:color w:val="auto"/>
              </w:rPr>
            </w:pPr>
            <w:r>
              <w:rPr>
                <w:rFonts w:ascii="Arial" w:cs="Arial" w:eastAsia="Arial" w:hAnsi="Arial"/>
                <w:sz w:val="18"/>
                <w:szCs w:val="18"/>
                <w:color w:val="auto"/>
              </w:rPr>
              <w:t>Credit Line 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50,000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11/16/2010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2/13/2017</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LIBOR plus 1.8%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Line 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4/29/2011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11/18/2016</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LIBOR plus 1.7%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4240" w:type="dxa"/>
            <w:vAlign w:val="bottom"/>
            <w:gridSpan w:val="2"/>
          </w:tcPr>
          <w:p>
            <w:pPr>
              <w:spacing w:after="0"/>
              <w:rPr>
                <w:sz w:val="20"/>
                <w:szCs w:val="20"/>
                <w:color w:val="auto"/>
              </w:rPr>
            </w:pPr>
            <w:r>
              <w:rPr>
                <w:rFonts w:ascii="Arial" w:cs="Arial" w:eastAsia="Arial" w:hAnsi="Arial"/>
                <w:sz w:val="18"/>
                <w:szCs w:val="18"/>
                <w:color w:val="auto"/>
              </w:rPr>
              <w:t>Credit Line 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9/29/2014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9/29/2017</w:t>
            </w: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LIBOR plus 1.7%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36,000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360,000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30-day USD LIBOR</w:t>
      </w:r>
    </w:p>
    <w:p>
      <w:pPr>
        <w:spacing w:after="0" w:line="15"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One two-year extension available</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one-year extensions available</w:t>
      </w:r>
    </w:p>
    <w:p>
      <w:pPr>
        <w:spacing w:after="0" w:line="204"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As of December 31, 2015, we had $3,598,254 face value of debt, resulting in a debt to total capitalization ratio of 23.2%. As of December 31, 2015, the ratio of total fixed rate debt and other instruments to total debt was 68.6% (including $1,527,386 on which we have interest rate swaps that have been included as fixed-rate debt). The weighted average interest rate of the total of fixed and variable rate debt at December 31, 2015 was 3.1%. Certain of our real estate assets are pledged as collateral for our debt. We are subject to certain restrictive covenants relating to our outstanding debt. We were in compliance with all financial covenants at December 31, 2015.</w:t>
      </w:r>
    </w:p>
    <w:p>
      <w:pPr>
        <w:spacing w:after="0" w:line="193"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Credit Lines. In addition, we are pursuing additional term loans secured by unencumbered stores.</w:t>
      </w:r>
    </w:p>
    <w:p>
      <w:pPr>
        <w:spacing w:after="0" w:line="188"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Our liquidity needs consist primarily of cash distributions to stockholders, store acquisitions, principal payments under our borrowings and non-recurring capital expenditures.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2"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privileges senior to holders of our common stock. We may also use OP Units as currency to fund acquisitions from self-storage owners who desire tax-deferral in their exiting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6"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future payments due by period as of December 31,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3"/>
              </w:rPr>
              <w:t>Payments due by Period: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0"/>
        </w:trPr>
        <w:tc>
          <w:tcPr>
            <w:tcW w:w="4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Arial" w:cs="Arial" w:eastAsia="Arial" w:hAnsi="Arial"/>
                <w:sz w:val="13"/>
                <w:szCs w:val="13"/>
                <w:color w:val="auto"/>
              </w:rPr>
              <w:t>Less Than</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59"/>
              <w:spacing w:after="0" w:line="120" w:lineRule="exact"/>
              <w:rPr>
                <w:sz w:val="20"/>
                <w:szCs w:val="20"/>
                <w:color w:val="auto"/>
              </w:rPr>
            </w:pPr>
            <w:r>
              <w:rPr>
                <w:rFonts w:ascii="Arial" w:cs="Arial" w:eastAsia="Arial" w:hAnsi="Arial"/>
                <w:sz w:val="13"/>
                <w:szCs w:val="13"/>
                <w:color w:val="auto"/>
              </w:rPr>
              <w:t>After</w:t>
            </w:r>
          </w:p>
        </w:tc>
        <w:tc>
          <w:tcPr>
            <w:tcW w:w="100" w:type="dxa"/>
            <w:vAlign w:val="bottom"/>
          </w:tcPr>
          <w:p>
            <w:pPr>
              <w:spacing w:after="0"/>
              <w:rPr>
                <w:sz w:val="10"/>
                <w:szCs w:val="10"/>
                <w:color w:val="auto"/>
              </w:rPr>
            </w:pPr>
          </w:p>
        </w:tc>
      </w:tr>
      <w:tr>
        <w:trPr>
          <w:trHeight w:val="164"/>
        </w:trPr>
        <w:tc>
          <w:tcPr>
            <w:tcW w:w="4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 Year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w w:val="92"/>
              </w:rPr>
              <w:t>1-3 Years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3-5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86"/>
              </w:rPr>
              <w:t>5 Years</w:t>
            </w:r>
          </w:p>
        </w:tc>
      </w:tr>
      <w:tr>
        <w:trPr>
          <w:trHeight w:val="204"/>
        </w:trPr>
        <w:tc>
          <w:tcPr>
            <w:tcW w:w="4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Operating leases</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79,926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5,655</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7,805</w:t>
            </w: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5,669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60,797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color w:val="auto"/>
              </w:rPr>
              <w:t>Notes payable, notes payable to trusts and lines of credit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108,366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104,191</w:t>
            </w:r>
          </w:p>
        </w:tc>
        <w:tc>
          <w:tcPr>
            <w:tcW w:w="100" w:type="dxa"/>
            <w:vAlign w:val="bottom"/>
            <w:shd w:val="clear" w:color="auto" w:fill="CCEEFF"/>
          </w:tcPr>
          <w:p>
            <w:pPr>
              <w:spacing w:after="0"/>
              <w:rPr>
                <w:sz w:val="18"/>
                <w:szCs w:val="18"/>
                <w:color w:val="auto"/>
              </w:rPr>
            </w:pPr>
          </w:p>
        </w:tc>
      </w:tr>
      <w:tr>
        <w:trPr>
          <w:trHeight w:val="211"/>
        </w:trPr>
        <w:tc>
          <w:tcPr>
            <w:tcW w:w="4840" w:type="dxa"/>
            <w:vAlign w:val="bottom"/>
          </w:tcPr>
          <w:p>
            <w:pPr>
              <w:ind w:left="360"/>
              <w:spacing w:after="0"/>
              <w:rPr>
                <w:sz w:val="20"/>
                <w:szCs w:val="20"/>
                <w:color w:val="auto"/>
              </w:rPr>
            </w:pPr>
            <w:r>
              <w:rPr>
                <w:rFonts w:ascii="Arial" w:cs="Arial" w:eastAsia="Arial" w:hAnsi="Arial"/>
                <w:sz w:val="18"/>
                <w:szCs w:val="18"/>
                <w:color w:val="auto"/>
              </w:rPr>
              <w:t>Principal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3,598,254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167,477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956,056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1,885,685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589,036</w:t>
            </w:r>
          </w:p>
        </w:tc>
        <w:tc>
          <w:tcPr>
            <w:tcW w:w="100" w:type="dxa"/>
            <w:vAlign w:val="bottom"/>
          </w:tcPr>
          <w:p>
            <w:pPr>
              <w:spacing w:after="0"/>
              <w:rPr>
                <w:sz w:val="18"/>
                <w:szCs w:val="18"/>
                <w:color w:val="auto"/>
              </w:rPr>
            </w:pPr>
          </w:p>
        </w:tc>
      </w:tr>
      <w:tr>
        <w:trPr>
          <w:trHeight w:val="26"/>
        </w:trPr>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4,190,782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281,498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1,143,883</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2,011,377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754,024</w:t>
            </w:r>
          </w:p>
        </w:tc>
        <w:tc>
          <w:tcPr>
            <w:tcW w:w="10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00" w:firstLine="457"/>
        <w:spacing w:after="0" w:line="263" w:lineRule="auto"/>
        <w:rPr>
          <w:sz w:val="20"/>
          <w:szCs w:val="20"/>
          <w:color w:val="auto"/>
        </w:rPr>
      </w:pPr>
      <w:r>
        <w:rPr>
          <w:rFonts w:ascii="Arial" w:cs="Arial" w:eastAsia="Arial" w:hAnsi="Arial"/>
          <w:sz w:val="18"/>
          <w:szCs w:val="18"/>
          <w:color w:val="auto"/>
        </w:rPr>
        <w:t>The operating leases above include minimum future lease payments on leases for 19 of our operating stores as well as leases of our corporate offices. Two ground leases include additional contingent rental payments based on the level of revenue achieved at the store.</w:t>
      </w:r>
    </w:p>
    <w:p>
      <w:pPr>
        <w:spacing w:after="0" w:line="180" w:lineRule="exact"/>
        <w:rPr>
          <w:sz w:val="20"/>
          <w:szCs w:val="20"/>
          <w:color w:val="auto"/>
        </w:rPr>
      </w:pPr>
    </w:p>
    <w:p>
      <w:pPr>
        <w:ind w:right="260" w:firstLine="457"/>
        <w:spacing w:after="0" w:line="263" w:lineRule="auto"/>
        <w:rPr>
          <w:sz w:val="20"/>
          <w:szCs w:val="20"/>
          <w:color w:val="auto"/>
        </w:rPr>
      </w:pPr>
      <w:r>
        <w:rPr>
          <w:rFonts w:ascii="Arial" w:cs="Arial" w:eastAsia="Arial" w:hAnsi="Arial"/>
          <w:sz w:val="18"/>
          <w:szCs w:val="18"/>
          <w:color w:val="auto"/>
        </w:rPr>
        <w:t>As of December 31, 2015, the weighted average interest rate for all fixed rate loans was 3.6%, and the weighted average interest rate on all variable rate loans was 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116"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01" w:lineRule="exact"/>
        <w:rPr>
          <w:sz w:val="20"/>
          <w:szCs w:val="20"/>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stores;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stores acquired with debt financing;</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particular stores, and our Company as a whole, to generate cash flow sufficient to cover expected debt service payments;</w:t>
      </w:r>
    </w:p>
    <w:p>
      <w:pPr>
        <w:spacing w:after="0" w:line="17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47</w:t>
      </w:r>
    </w:p>
    <w:p>
      <w:pPr>
        <w:sectPr>
          <w:pgSz w:w="11900" w:h="16838" w:orient="portrait"/>
          <w:cols w:equalWidth="0" w:num="1">
            <w:col w:w="11420"/>
          </w:cols>
          <w:pgMar w:left="240" w:top="452"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122" w:lineRule="exact"/>
        <w:rPr>
          <w:rFonts w:ascii="Arial" w:cs="Arial" w:eastAsia="Arial" w:hAnsi="Arial"/>
          <w:sz w:val="18"/>
          <w:szCs w:val="18"/>
          <w:color w:val="auto"/>
        </w:rPr>
      </w:pPr>
    </w:p>
    <w:p>
      <w:pPr>
        <w:ind w:left="880" w:hanging="426"/>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15"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stores to which the indebtedness relates. In addition, we may invest in stores subject to existing loans collateralized by mortgages or similar liens on our stores,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93" w:lineRule="exact"/>
        <w:rPr>
          <w:sz w:val="20"/>
          <w:szCs w:val="20"/>
          <w:color w:val="auto"/>
        </w:rPr>
      </w:pPr>
    </w:p>
    <w:p>
      <w:pPr>
        <w:ind w:right="440" w:firstLine="457"/>
        <w:spacing w:after="0" w:line="254" w:lineRule="auto"/>
        <w:rPr>
          <w:sz w:val="20"/>
          <w:szCs w:val="20"/>
          <w:color w:val="auto"/>
        </w:rPr>
      </w:pPr>
      <w:r>
        <w:rPr>
          <w:rFonts w:ascii="Arial" w:cs="Arial" w:eastAsia="Arial" w:hAnsi="Arial"/>
          <w:sz w:val="18"/>
          <w:szCs w:val="18"/>
          <w:color w:val="auto"/>
        </w:rPr>
        <w:t>We may from time to time seek to retire or repurchase our outstanding debt, as well as shares of common stock or other securities in open market purchases, privately negotiated transactions or otherwise. Such repurchases, if any, will depend on prevailing market conditions, our liquidity requirements, contractual restrictions and other factors. The amounts involved may be material.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6"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16" w:lineRule="exact"/>
        <w:rPr>
          <w:sz w:val="20"/>
          <w:szCs w:val="20"/>
          <w:color w:val="auto"/>
        </w:rPr>
      </w:pPr>
    </w:p>
    <w:p>
      <w:pPr>
        <w:ind w:right="280" w:firstLine="457"/>
        <w:spacing w:after="0" w:line="263"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6" w:lineRule="exact"/>
        <w:rPr>
          <w:sz w:val="20"/>
          <w:szCs w:val="20"/>
          <w:color w:val="auto"/>
        </w:rPr>
      </w:pPr>
    </w:p>
    <w:p>
      <w:pPr>
        <w:ind w:right="120" w:firstLine="457"/>
        <w:spacing w:after="0" w:line="263"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80"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As of December 31, 2015, we had approximately $3.6 billion in total face value debt, of which approximately $1.1 billion was subject to variable interest rates (excluding debt with interest rate swaps). If LIBOR were to increase or decrease by 100 basis points, the increase or decrease in interest expense on the variable rate debt (excluding variable rate debt with interest rate floors) would increase or decrease future earnings and cash flows by approximately $7.3 million annually.</w:t>
      </w:r>
    </w:p>
    <w:p>
      <w:pPr>
        <w:spacing w:after="0" w:line="193"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2"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680" w:type="dxa"/>
            <w:vAlign w:val="bottom"/>
            <w:gridSpan w:val="8"/>
          </w:tcPr>
          <w:p>
            <w:pPr>
              <w:ind w:left="1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740" w:type="dxa"/>
            <w:vAlign w:val="bottom"/>
          </w:tcPr>
          <w:p>
            <w:pPr>
              <w:spacing w:after="0"/>
              <w:rPr>
                <w:sz w:val="19"/>
                <w:szCs w:val="19"/>
                <w:color w:val="auto"/>
              </w:rPr>
            </w:pPr>
          </w:p>
        </w:tc>
      </w:tr>
      <w:tr>
        <w:trPr>
          <w:trHeight w:val="405"/>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0" w:type="dxa"/>
            <w:vAlign w:val="bottom"/>
            <w:gridSpan w:val="6"/>
          </w:tcPr>
          <w:p>
            <w:pPr>
              <w:jc w:val="center"/>
              <w:ind w:right="2580"/>
              <w:spacing w:after="0"/>
              <w:rPr>
                <w:sz w:val="20"/>
                <w:szCs w:val="20"/>
                <w:color w:val="auto"/>
              </w:rPr>
            </w:pPr>
            <w:r>
              <w:rPr>
                <w:rFonts w:ascii="Arial" w:cs="Arial" w:eastAsia="Arial" w:hAnsi="Arial"/>
                <w:sz w:val="18"/>
                <w:szCs w:val="18"/>
                <w:b w:val="1"/>
                <w:bCs w:val="1"/>
                <w:color w:val="auto"/>
                <w:w w:val="96"/>
              </w:rPr>
              <w:t>EXTRA SPACE STORAGE INC.</w:t>
            </w:r>
          </w:p>
        </w:tc>
        <w:tc>
          <w:tcPr>
            <w:tcW w:w="1740" w:type="dxa"/>
            <w:vAlign w:val="bottom"/>
          </w:tcPr>
          <w:p>
            <w:pPr>
              <w:spacing w:after="0"/>
              <w:rPr>
                <w:sz w:val="24"/>
                <w:szCs w:val="24"/>
                <w:color w:val="auto"/>
              </w:rPr>
            </w:pPr>
          </w:p>
        </w:tc>
      </w:tr>
      <w:tr>
        <w:trPr>
          <w:trHeight w:val="211"/>
        </w:trPr>
        <w:tc>
          <w:tcPr>
            <w:tcW w:w="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4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40" w:type="dxa"/>
            <w:vAlign w:val="bottom"/>
          </w:tcPr>
          <w:p>
            <w:pPr>
              <w:spacing w:after="0"/>
              <w:rPr>
                <w:sz w:val="18"/>
                <w:szCs w:val="18"/>
                <w:color w:val="auto"/>
              </w:rPr>
            </w:pPr>
          </w:p>
        </w:tc>
      </w:tr>
      <w:tr>
        <w:trPr>
          <w:trHeight w:val="229"/>
        </w:trPr>
        <w:tc>
          <w:tcPr>
            <w:tcW w:w="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60" w:type="dxa"/>
            <w:vAlign w:val="bottom"/>
            <w:gridSpan w:val="5"/>
          </w:tcPr>
          <w:p>
            <w:pPr>
              <w:jc w:val="center"/>
              <w:ind w:right="2920"/>
              <w:spacing w:after="0"/>
              <w:rPr>
                <w:sz w:val="20"/>
                <w:szCs w:val="20"/>
                <w:color w:val="auto"/>
              </w:rPr>
            </w:pPr>
            <w:r>
              <w:rPr>
                <w:rFonts w:ascii="Arial" w:cs="Arial" w:eastAsia="Arial" w:hAnsi="Arial"/>
                <w:sz w:val="18"/>
                <w:szCs w:val="18"/>
                <w:b w:val="1"/>
                <w:bCs w:val="1"/>
                <w:color w:val="auto"/>
                <w:w w:val="96"/>
              </w:rPr>
              <w:t>AND SCHEDULES</w:t>
            </w:r>
          </w:p>
        </w:tc>
        <w:tc>
          <w:tcPr>
            <w:tcW w:w="1740" w:type="dxa"/>
            <w:vAlign w:val="bottom"/>
          </w:tcPr>
          <w:p>
            <w:pPr>
              <w:spacing w:after="0"/>
              <w:rPr>
                <w:sz w:val="19"/>
                <w:szCs w:val="19"/>
                <w:color w:val="auto"/>
              </w:rPr>
            </w:pPr>
          </w:p>
        </w:tc>
      </w:tr>
      <w:tr>
        <w:trPr>
          <w:trHeight w:val="410"/>
        </w:trPr>
        <w:tc>
          <w:tcPr>
            <w:tcW w:w="9600" w:type="dxa"/>
            <w:vAlign w:val="bottom"/>
            <w:gridSpan w:val="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Report of Independent Registered Public Accounting Firm</w:t>
              </w:r>
            </w:hyperlink>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1"/>
        </w:trPr>
        <w:tc>
          <w:tcPr>
            <w:tcW w:w="4740" w:type="dxa"/>
            <w:vAlign w:val="bottom"/>
            <w:tcBorders>
              <w:bottom w:val="single" w:sz="8" w:color="0000EE"/>
            </w:tcBorders>
            <w:gridSpan w:val="4"/>
          </w:tcPr>
          <w:p>
            <w:pPr>
              <w:spacing w:after="0" w:line="191" w:lineRule="exact"/>
              <w:rPr>
                <w:rFonts w:ascii="Arial" w:cs="Arial" w:eastAsia="Arial" w:hAnsi="Arial"/>
                <w:sz w:val="18"/>
                <w:szCs w:val="18"/>
                <w:b w:val="1"/>
                <w:bCs w:val="1"/>
                <w:color w:val="0000EE"/>
                <w:w w:val="86"/>
              </w:rPr>
            </w:pPr>
            <w:hyperlink w:anchor="page51">
              <w:r>
                <w:rPr>
                  <w:rFonts w:ascii="Arial" w:cs="Arial" w:eastAsia="Arial" w:hAnsi="Arial"/>
                  <w:sz w:val="18"/>
                  <w:szCs w:val="18"/>
                  <w:b w:val="1"/>
                  <w:bCs w:val="1"/>
                  <w:color w:val="0000EE"/>
                  <w:w w:val="86"/>
                </w:rPr>
                <w:t>Consolidated Balance Sheets as of December 31, 2015 and 2014</w:t>
              </w:r>
            </w:hyperlink>
          </w:p>
        </w:tc>
        <w:tc>
          <w:tcPr>
            <w:tcW w:w="4860" w:type="dxa"/>
            <w:vAlign w:val="bottom"/>
            <w:gridSpan w:val="5"/>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51</w:t>
            </w:r>
          </w:p>
        </w:tc>
      </w:tr>
      <w:tr>
        <w:trPr>
          <w:trHeight w:val="191"/>
        </w:trPr>
        <w:tc>
          <w:tcPr>
            <w:tcW w:w="7060" w:type="dxa"/>
            <w:vAlign w:val="bottom"/>
            <w:tcBorders>
              <w:bottom w:val="single" w:sz="8" w:color="0000EE"/>
            </w:tcBorders>
            <w:gridSpan w:val="5"/>
          </w:tcPr>
          <w:p>
            <w:pPr>
              <w:spacing w:after="0" w:line="191" w:lineRule="exact"/>
              <w:rPr>
                <w:rFonts w:ascii="Arial" w:cs="Arial" w:eastAsia="Arial" w:hAnsi="Arial"/>
                <w:sz w:val="18"/>
                <w:szCs w:val="18"/>
                <w:b w:val="1"/>
                <w:bCs w:val="1"/>
                <w:color w:val="0000EE"/>
                <w:w w:val="87"/>
              </w:rPr>
            </w:pPr>
            <w:hyperlink w:anchor="page52">
              <w:r>
                <w:rPr>
                  <w:rFonts w:ascii="Arial" w:cs="Arial" w:eastAsia="Arial" w:hAnsi="Arial"/>
                  <w:sz w:val="18"/>
                  <w:szCs w:val="18"/>
                  <w:b w:val="1"/>
                  <w:bCs w:val="1"/>
                  <w:color w:val="0000EE"/>
                  <w:w w:val="87"/>
                </w:rPr>
                <w:t>Consolidated Statements of Operations for the years ended December 31, 2015, 2014 and 2013</w:t>
              </w:r>
            </w:hyperlink>
          </w:p>
        </w:tc>
        <w:tc>
          <w:tcPr>
            <w:tcW w:w="2540" w:type="dxa"/>
            <w:vAlign w:val="bottom"/>
            <w:gridSpan w:val="4"/>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52</w:t>
            </w:r>
          </w:p>
        </w:tc>
      </w:tr>
      <w:tr>
        <w:trPr>
          <w:trHeight w:val="191"/>
        </w:trPr>
        <w:tc>
          <w:tcPr>
            <w:tcW w:w="9600" w:type="dxa"/>
            <w:vAlign w:val="bottom"/>
            <w:gridSpan w:val="9"/>
          </w:tcPr>
          <w:p>
            <w:pPr>
              <w:spacing w:after="0" w:line="191"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Consolidated Statements of Comprehensive Income for the years ended December 31, 2015, 2014 and 2013</w:t>
              </w:r>
            </w:hyperlink>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53</w:t>
            </w:r>
          </w:p>
        </w:tc>
      </w:tr>
      <w:tr>
        <w:trPr>
          <w:trHeight w:val="191"/>
        </w:trPr>
        <w:tc>
          <w:tcPr>
            <w:tcW w:w="8020" w:type="dxa"/>
            <w:vAlign w:val="bottom"/>
            <w:tcBorders>
              <w:top w:val="single" w:sz="8" w:color="0000EE"/>
            </w:tcBorders>
            <w:gridSpan w:val="8"/>
          </w:tcPr>
          <w:p>
            <w:pPr>
              <w:spacing w:after="0" w:line="191" w:lineRule="exact"/>
              <w:rPr>
                <w:rFonts w:ascii="Arial" w:cs="Arial" w:eastAsia="Arial" w:hAnsi="Arial"/>
                <w:sz w:val="18"/>
                <w:szCs w:val="18"/>
                <w:b w:val="1"/>
                <w:bCs w:val="1"/>
                <w:color w:val="0000EE"/>
                <w:w w:val="89"/>
              </w:rPr>
            </w:pPr>
            <w:hyperlink w:anchor="page54">
              <w:r>
                <w:rPr>
                  <w:rFonts w:ascii="Arial" w:cs="Arial" w:eastAsia="Arial" w:hAnsi="Arial"/>
                  <w:sz w:val="18"/>
                  <w:szCs w:val="18"/>
                  <w:b w:val="1"/>
                  <w:bCs w:val="1"/>
                  <w:color w:val="0000EE"/>
                  <w:w w:val="89"/>
                </w:rPr>
                <w:t>Consolidated Statements of Stockholders’ Equity for the years ended December 31, 2015, 2014 and 2013</w:t>
              </w:r>
            </w:hyperlink>
          </w:p>
        </w:tc>
        <w:tc>
          <w:tcPr>
            <w:tcW w:w="158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54</w:t>
            </w:r>
          </w:p>
        </w:tc>
      </w:tr>
      <w:tr>
        <w:trPr>
          <w:trHeight w:val="191"/>
        </w:trPr>
        <w:tc>
          <w:tcPr>
            <w:tcW w:w="7080" w:type="dxa"/>
            <w:vAlign w:val="bottom"/>
            <w:tcBorders>
              <w:top w:val="single" w:sz="8" w:color="0000EE"/>
              <w:bottom w:val="single" w:sz="8" w:color="0000EE"/>
            </w:tcBorders>
            <w:gridSpan w:val="6"/>
          </w:tcPr>
          <w:p>
            <w:pPr>
              <w:spacing w:after="0" w:line="191" w:lineRule="exact"/>
              <w:rPr>
                <w:rFonts w:ascii="Arial" w:cs="Arial" w:eastAsia="Arial" w:hAnsi="Arial"/>
                <w:sz w:val="18"/>
                <w:szCs w:val="18"/>
                <w:b w:val="1"/>
                <w:bCs w:val="1"/>
                <w:color w:val="0000EE"/>
                <w:w w:val="86"/>
              </w:rPr>
            </w:pPr>
            <w:hyperlink w:anchor="page57">
              <w:r>
                <w:rPr>
                  <w:rFonts w:ascii="Arial" w:cs="Arial" w:eastAsia="Arial" w:hAnsi="Arial"/>
                  <w:sz w:val="18"/>
                  <w:szCs w:val="18"/>
                  <w:b w:val="1"/>
                  <w:bCs w:val="1"/>
                  <w:color w:val="0000EE"/>
                  <w:w w:val="86"/>
                </w:rPr>
                <w:t>Consolidated Statements of Cash Flows for the years ended December 31, 2015, 2014 and 2013</w:t>
              </w:r>
            </w:hyperlink>
          </w:p>
        </w:tc>
        <w:tc>
          <w:tcPr>
            <w:tcW w:w="760" w:type="dxa"/>
            <w:vAlign w:val="bottom"/>
            <w:tcBorders>
              <w:top w:val="single" w:sz="8" w:color="0000EE"/>
            </w:tcBorders>
          </w:tcPr>
          <w:p>
            <w:pPr>
              <w:spacing w:after="0"/>
              <w:rPr>
                <w:sz w:val="16"/>
                <w:szCs w:val="16"/>
                <w:color w:val="auto"/>
              </w:rPr>
            </w:pPr>
          </w:p>
        </w:tc>
        <w:tc>
          <w:tcPr>
            <w:tcW w:w="1760" w:type="dxa"/>
            <w:vAlign w:val="bottom"/>
            <w:gridSpan w:val="2"/>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57</w:t>
            </w:r>
          </w:p>
        </w:tc>
      </w:tr>
      <w:tr>
        <w:trPr>
          <w:trHeight w:val="191"/>
        </w:trPr>
        <w:tc>
          <w:tcPr>
            <w:tcW w:w="9600" w:type="dxa"/>
            <w:vAlign w:val="bottom"/>
            <w:gridSpan w:val="9"/>
          </w:tcPr>
          <w:p>
            <w:pPr>
              <w:spacing w:after="0" w:line="191"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Notes to Consolidated Financial Statements</w:t>
              </w:r>
            </w:hyperlink>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58</w:t>
            </w:r>
          </w:p>
        </w:tc>
      </w:tr>
      <w:tr>
        <w:trPr>
          <w:trHeight w:val="191"/>
        </w:trPr>
        <w:tc>
          <w:tcPr>
            <w:tcW w:w="920" w:type="dxa"/>
            <w:vAlign w:val="bottom"/>
            <w:tcBorders>
              <w:top w:val="single" w:sz="8" w:color="0000EE"/>
              <w:bottom w:val="single" w:sz="8" w:color="0000EE"/>
            </w:tcBorders>
          </w:tcPr>
          <w:p>
            <w:pPr>
              <w:spacing w:after="0" w:line="191" w:lineRule="exact"/>
              <w:rPr>
                <w:rFonts w:ascii="Arial" w:cs="Arial" w:eastAsia="Arial" w:hAnsi="Arial"/>
                <w:sz w:val="18"/>
                <w:szCs w:val="18"/>
                <w:b w:val="1"/>
                <w:bCs w:val="1"/>
                <w:color w:val="0000EE"/>
                <w:w w:val="89"/>
              </w:rPr>
            </w:pPr>
            <w:hyperlink w:anchor="page99">
              <w:r>
                <w:rPr>
                  <w:rFonts w:ascii="Arial" w:cs="Arial" w:eastAsia="Arial" w:hAnsi="Arial"/>
                  <w:sz w:val="18"/>
                  <w:szCs w:val="18"/>
                  <w:b w:val="1"/>
                  <w:bCs w:val="1"/>
                  <w:color w:val="0000EE"/>
                  <w:w w:val="89"/>
                </w:rPr>
                <w:t>Schedule III</w:t>
              </w:r>
            </w:hyperlink>
          </w:p>
        </w:tc>
        <w:tc>
          <w:tcPr>
            <w:tcW w:w="2340" w:type="dxa"/>
            <w:vAlign w:val="bottom"/>
            <w:tcBorders>
              <w:top w:val="single" w:sz="8" w:color="0000EE"/>
            </w:tcBorders>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99</w:t>
            </w:r>
          </w:p>
        </w:tc>
      </w:tr>
    </w:tbl>
    <w:p>
      <w:pPr>
        <w:spacing w:after="0" w:line="225" w:lineRule="exact"/>
        <w:rPr>
          <w:sz w:val="20"/>
          <w:szCs w:val="20"/>
          <w:color w:val="auto"/>
        </w:rPr>
      </w:pPr>
    </w:p>
    <w:p>
      <w:pPr>
        <w:ind w:right="480" w:firstLine="457"/>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2"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Extra Space Storage Inc.</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Extra Space Storage Inc. (“the Company”) as of December 31, 2015 and 2014, and the related consolidated statements of operations, comprehensive income, stockholders’ equity and cash flows for each of the three years in the period ended December 31, 2015. Our audits also included the financial statement schedule listed in the index at Item 8. These financial statements and schedule are the responsibility of the Company’s management. Our responsibility is to express an opinion on these financial statements and schedule based on our audits.</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w:t>
      </w:r>
    </w:p>
    <w:p>
      <w:pPr>
        <w:spacing w:after="0" w:line="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59"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As discussed in Note 2 to the consolidated financial statements, the Company changed its reporting of debt issuance costs as a result of the adoption of the amendments to the FASB Accounting Standards Codification resulting from Accounting Standards Update No. 2015-03, “Interest – Imputation of Interest (Subtopic 835-30): Simplifying the Presentation of Debt Issuance Costs.”</w:t>
      </w:r>
    </w:p>
    <w:p>
      <w:pPr>
        <w:spacing w:after="0" w:line="188"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Extra Space Storage Inc.’s internal control over financial reporting as of December 31, 2015, based on criteria established in Internal Control-Integrated Framework issued by the Committee of Sponsoring Organizations of the Treadway Commission (2013 framework”) and our report dated February 26, 2016 expressed an unqualified opinion thereon.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2"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r>
      <w:tr>
        <w:trPr>
          <w:trHeight w:val="191"/>
        </w:trPr>
        <w:tc>
          <w:tcPr>
            <w:tcW w:w="82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Real estate assets, net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5,689,309</w:t>
            </w:r>
          </w:p>
        </w:tc>
        <w:tc>
          <w:tcPr>
            <w:tcW w:w="8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4,135,696</w:t>
            </w:r>
          </w:p>
        </w:tc>
        <w:tc>
          <w:tcPr>
            <w:tcW w:w="100" w:type="dxa"/>
            <w:vAlign w:val="bottom"/>
          </w:tcPr>
          <w:p>
            <w:pPr>
              <w:spacing w:after="0"/>
              <w:rPr>
                <w:sz w:val="18"/>
                <w:szCs w:val="18"/>
                <w:color w:val="auto"/>
              </w:rPr>
            </w:pP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real estate ventures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103,007</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85,711</w:t>
            </w:r>
          </w:p>
        </w:tc>
        <w:tc>
          <w:tcPr>
            <w:tcW w:w="100" w:type="dxa"/>
            <w:vAlign w:val="bottom"/>
            <w:shd w:val="clear" w:color="auto" w:fill="CCEEFF"/>
          </w:tcPr>
          <w:p>
            <w:pPr>
              <w:spacing w:after="0"/>
              <w:rPr>
                <w:sz w:val="18"/>
                <w:szCs w:val="18"/>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75,799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47,663</w:t>
            </w: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30,738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25,245</w:t>
            </w: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2,205</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18"/>
                <w:szCs w:val="18"/>
                <w:color w:val="auto"/>
              </w:rPr>
            </w:pP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170,349</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75,894</w:t>
            </w:r>
          </w:p>
        </w:tc>
      </w:tr>
      <w:tr>
        <w:trPr>
          <w:trHeight w:val="217"/>
        </w:trPr>
        <w:tc>
          <w:tcPr>
            <w:tcW w:w="820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6,071,407</w:t>
            </w:r>
          </w:p>
        </w:tc>
        <w:tc>
          <w:tcPr>
            <w:tcW w:w="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4,381,987</w:t>
            </w:r>
          </w:p>
        </w:tc>
        <w:tc>
          <w:tcPr>
            <w:tcW w:w="100" w:type="dxa"/>
            <w:vAlign w:val="bottom"/>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82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Liabilities, Noncontrolling Interests and Equity:</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Notes payable, net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2,758,567</w:t>
            </w:r>
          </w:p>
        </w:tc>
        <w:tc>
          <w:tcPr>
            <w:tcW w:w="8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1,858,981</w:t>
            </w:r>
          </w:p>
        </w:tc>
        <w:tc>
          <w:tcPr>
            <w:tcW w:w="100" w:type="dxa"/>
            <w:vAlign w:val="bottom"/>
          </w:tcPr>
          <w:p>
            <w:pPr>
              <w:spacing w:after="0"/>
              <w:rPr>
                <w:sz w:val="18"/>
                <w:szCs w:val="18"/>
                <w:color w:val="auto"/>
              </w:rPr>
            </w:pP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Exchangeable senior notes,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623,863</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235,724</w:t>
            </w:r>
          </w:p>
        </w:tc>
        <w:tc>
          <w:tcPr>
            <w:tcW w:w="100" w:type="dxa"/>
            <w:vAlign w:val="bottom"/>
            <w:shd w:val="clear" w:color="auto" w:fill="CCEEFF"/>
          </w:tcPr>
          <w:p>
            <w:pPr>
              <w:spacing w:after="0"/>
              <w:rPr>
                <w:sz w:val="18"/>
                <w:szCs w:val="18"/>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Notes payable to trusts, net</w:t>
            </w:r>
          </w:p>
        </w:tc>
        <w:tc>
          <w:tcPr>
            <w:tcW w:w="26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117,191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117,059</w:t>
            </w: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Lines of credit</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36,000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CEEFF"/>
          </w:tcPr>
          <w:p>
            <w:pPr>
              <w:spacing w:after="0"/>
              <w:rPr>
                <w:sz w:val="18"/>
                <w:szCs w:val="18"/>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82,693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65,521</w:t>
            </w: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80,489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54,719</w:t>
            </w:r>
          </w:p>
        </w:tc>
      </w:tr>
      <w:tr>
        <w:trPr>
          <w:trHeight w:val="224"/>
        </w:trPr>
        <w:tc>
          <w:tcPr>
            <w:tcW w:w="820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3,698,803</w:t>
            </w:r>
          </w:p>
        </w:tc>
        <w:tc>
          <w:tcPr>
            <w:tcW w:w="8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2,470,004</w:t>
            </w:r>
          </w:p>
        </w:tc>
        <w:tc>
          <w:tcPr>
            <w:tcW w:w="100" w:type="dxa"/>
            <w:vAlign w:val="bottom"/>
          </w:tcPr>
          <w:p>
            <w:pPr>
              <w:spacing w:after="0"/>
              <w:rPr>
                <w:sz w:val="19"/>
                <w:szCs w:val="19"/>
                <w:color w:val="auto"/>
              </w:rPr>
            </w:pP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6"/>
        </w:trPr>
        <w:tc>
          <w:tcPr>
            <w:tcW w:w="8200" w:type="dxa"/>
            <w:vAlign w:val="bottom"/>
          </w:tcPr>
          <w:p>
            <w:pPr>
              <w:spacing w:after="0"/>
              <w:rPr>
                <w:sz w:val="20"/>
                <w:szCs w:val="20"/>
                <w:color w:val="auto"/>
              </w:rPr>
            </w:pPr>
            <w:r>
              <w:rPr>
                <w:rFonts w:ascii="Arial" w:cs="Arial" w:eastAsia="Arial" w:hAnsi="Arial"/>
                <w:sz w:val="18"/>
                <w:szCs w:val="18"/>
                <w:b w:val="1"/>
                <w:bCs w:val="1"/>
                <w:color w:val="auto"/>
              </w:rPr>
              <w:t>Noncontrolling Interests and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Extra Space Storage Inc. stockholders’ equity: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Preferred stock, $0.01 par value, 50,000,000 shares authorized, no shares issued or outstanding</w:t>
            </w:r>
          </w:p>
        </w:tc>
        <w:tc>
          <w:tcPr>
            <w:tcW w:w="260" w:type="dxa"/>
            <w:vAlign w:val="bottom"/>
          </w:tcPr>
          <w:p>
            <w:pPr>
              <w:spacing w:after="0"/>
              <w:rPr>
                <w:sz w:val="18"/>
                <w:szCs w:val="18"/>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199"/>
        </w:trPr>
        <w:tc>
          <w:tcPr>
            <w:tcW w:w="820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Common stock, $0.01 par value, 500,000,000 shares authorized, 124,119,531 and 116,360,239</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8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at December 31, 2015 and December 31, 2014, respectively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r>
      <w:tr>
        <w:trPr>
          <w:trHeight w:val="211"/>
        </w:trPr>
        <w:tc>
          <w:tcPr>
            <w:tcW w:w="82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2,431,754</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1,995,484</w:t>
            </w:r>
          </w:p>
        </w:tc>
        <w:tc>
          <w:tcPr>
            <w:tcW w:w="100" w:type="dxa"/>
            <w:vAlign w:val="bottom"/>
          </w:tcPr>
          <w:p>
            <w:pPr>
              <w:spacing w:after="0"/>
              <w:rPr>
                <w:sz w:val="18"/>
                <w:szCs w:val="18"/>
                <w:color w:val="auto"/>
              </w:rPr>
            </w:pPr>
          </w:p>
        </w:tc>
      </w:tr>
      <w:tr>
        <w:trPr>
          <w:trHeight w:val="211"/>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(6,352)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18"/>
        </w:trPr>
        <w:tc>
          <w:tcPr>
            <w:tcW w:w="82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(337,566)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(257,738)</w:t>
            </w:r>
          </w:p>
        </w:tc>
      </w:tr>
      <w:tr>
        <w:trPr>
          <w:trHeight w:val="211"/>
        </w:trPr>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Extra Space Storage Inc. 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2,089,077</w:t>
            </w:r>
          </w:p>
        </w:tc>
        <w:tc>
          <w:tcPr>
            <w:tcW w:w="8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1,737,425</w:t>
            </w:r>
          </w:p>
        </w:tc>
        <w:tc>
          <w:tcPr>
            <w:tcW w:w="100" w:type="dxa"/>
            <w:vAlign w:val="bottom"/>
            <w:shd w:val="clear" w:color="auto" w:fill="CCEEFF"/>
          </w:tcPr>
          <w:p>
            <w:pPr>
              <w:spacing w:after="0"/>
              <w:rPr>
                <w:sz w:val="18"/>
                <w:szCs w:val="18"/>
                <w:color w:val="auto"/>
              </w:rPr>
            </w:pPr>
          </w:p>
        </w:tc>
      </w:tr>
      <w:tr>
        <w:trPr>
          <w:trHeight w:val="199"/>
        </w:trPr>
        <w:tc>
          <w:tcPr>
            <w:tcW w:w="8200" w:type="dxa"/>
            <w:vAlign w:val="bottom"/>
          </w:tcPr>
          <w:p>
            <w:pPr>
              <w:ind w:left="360"/>
              <w:spacing w:after="0" w:line="199" w:lineRule="exact"/>
              <w:rPr>
                <w:sz w:val="20"/>
                <w:szCs w:val="20"/>
                <w:color w:val="auto"/>
              </w:rPr>
            </w:pPr>
            <w:r>
              <w:rPr>
                <w:rFonts w:ascii="Arial" w:cs="Arial" w:eastAsia="Arial" w:hAnsi="Arial"/>
                <w:sz w:val="18"/>
                <w:szCs w:val="18"/>
                <w:color w:val="auto"/>
                <w:w w:val="98"/>
              </w:rPr>
              <w:t>Noncontrolling interest represented by Preferred Operating Partnership units, net of $120,230 notes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200" w:type="dxa"/>
            <w:vAlign w:val="bottom"/>
          </w:tcPr>
          <w:p>
            <w:pPr>
              <w:ind w:left="54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19"/>
                <w:szCs w:val="19"/>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80,531</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81,152</w:t>
            </w:r>
          </w:p>
        </w:tc>
      </w:tr>
      <w:tr>
        <w:trPr>
          <w:trHeight w:val="212"/>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Operating Partnership</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202,834</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92,422</w:t>
            </w:r>
          </w:p>
        </w:tc>
      </w:tr>
      <w:tr>
        <w:trPr>
          <w:trHeight w:val="218"/>
        </w:trPr>
        <w:tc>
          <w:tcPr>
            <w:tcW w:w="8200" w:type="dxa"/>
            <w:vAlign w:val="bottom"/>
          </w:tcPr>
          <w:p>
            <w:pPr>
              <w:ind w:left="360"/>
              <w:spacing w:after="0"/>
              <w:rPr>
                <w:sz w:val="20"/>
                <w:szCs w:val="20"/>
                <w:color w:val="auto"/>
              </w:rPr>
            </w:pPr>
            <w:r>
              <w:rPr>
                <w:rFonts w:ascii="Arial" w:cs="Arial" w:eastAsia="Arial" w:hAnsi="Arial"/>
                <w:sz w:val="18"/>
                <w:szCs w:val="18"/>
                <w:color w:val="auto"/>
              </w:rPr>
              <w:t>Other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r>
      <w:tr>
        <w:trPr>
          <w:trHeight w:val="211"/>
        </w:trPr>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noncontrolling interests and equity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2,372,604</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1,911,983</w:t>
            </w:r>
          </w:p>
        </w:tc>
      </w:tr>
      <w:tr>
        <w:trPr>
          <w:trHeight w:val="217"/>
        </w:trPr>
        <w:tc>
          <w:tcPr>
            <w:tcW w:w="8200" w:type="dxa"/>
            <w:vAlign w:val="bottom"/>
          </w:tcPr>
          <w:p>
            <w:pPr>
              <w:ind w:left="1060"/>
              <w:spacing w:after="0"/>
              <w:rPr>
                <w:sz w:val="20"/>
                <w:szCs w:val="20"/>
                <w:color w:val="auto"/>
              </w:rPr>
            </w:pPr>
            <w:r>
              <w:rPr>
                <w:rFonts w:ascii="Arial" w:cs="Arial" w:eastAsia="Arial" w:hAnsi="Arial"/>
                <w:sz w:val="18"/>
                <w:szCs w:val="18"/>
                <w:color w:val="auto"/>
              </w:rPr>
              <w:t>Total liabilities, noncontrolling interests and equity</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6,071,407</w:t>
            </w:r>
          </w:p>
        </w:tc>
        <w:tc>
          <w:tcPr>
            <w:tcW w:w="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4,381,987</w:t>
            </w:r>
          </w:p>
        </w:tc>
        <w:tc>
          <w:tcPr>
            <w:tcW w:w="100" w:type="dxa"/>
            <w:vAlign w:val="bottom"/>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2"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1"/>
              </w:rPr>
              <w:t>For the Year Ended December 31,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676,138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559,868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59,072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11"/>
        </w:trPr>
        <w:tc>
          <w:tcPr>
            <w:tcW w:w="6780" w:type="dxa"/>
            <w:vAlign w:val="bottom"/>
          </w:tcPr>
          <w:p>
            <w:pPr>
              <w:ind w:left="360"/>
              <w:spacing w:after="0"/>
              <w:rPr>
                <w:sz w:val="20"/>
                <w:szCs w:val="20"/>
                <w:color w:val="auto"/>
              </w:rPr>
            </w:pPr>
            <w:r>
              <w:rPr>
                <w:rFonts w:ascii="Arial" w:cs="Arial" w:eastAsia="Arial" w:hAnsi="Arial"/>
                <w:sz w:val="18"/>
                <w:szCs w:val="18"/>
                <w:color w:val="auto"/>
              </w:rPr>
              <w:t>Management fees and other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34,161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28,215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782,270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647,155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172,416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13,033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related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67,758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60,942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54,246</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115,076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95,232</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70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487,614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368,687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294,656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278,468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Gain (loss) on real estate transactions and earnout from prior acquisitions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casualty loss,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Loss on extinguishment of debt related to portfolio acquisition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(81,330)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(71,630)</w:t>
            </w:r>
          </w:p>
        </w:tc>
        <w:tc>
          <w:tcPr>
            <w:tcW w:w="0" w:type="dxa"/>
            <w:vAlign w:val="bottom"/>
          </w:tcPr>
          <w:p>
            <w:pPr>
              <w:spacing w:after="0"/>
              <w:rPr>
                <w:sz w:val="1"/>
                <w:szCs w:val="1"/>
                <w:color w:val="auto"/>
              </w:rPr>
            </w:pPr>
          </w:p>
        </w:tc>
      </w:tr>
      <w:tr>
        <w:trPr>
          <w:trHeight w:val="199"/>
        </w:trPr>
        <w:tc>
          <w:tcPr>
            <w:tcW w:w="6780" w:type="dxa"/>
            <w:vAlign w:val="bottom"/>
          </w:tcPr>
          <w:p>
            <w:pPr>
              <w:spacing w:after="0" w:line="199" w:lineRule="exact"/>
              <w:rPr>
                <w:sz w:val="20"/>
                <w:szCs w:val="20"/>
                <w:color w:val="auto"/>
              </w:rPr>
            </w:pPr>
            <w:r>
              <w:rPr>
                <w:rFonts w:ascii="Arial" w:cs="Arial" w:eastAsia="Arial" w:hAnsi="Arial"/>
                <w:sz w:val="18"/>
                <w:szCs w:val="18"/>
                <w:color w:val="auto"/>
                <w:w w:val="99"/>
              </w:rPr>
              <w:t>Non-cash interest expense related to amortization of discount on equity component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180"/>
              <w:spacing w:after="0"/>
              <w:rPr>
                <w:sz w:val="20"/>
                <w:szCs w:val="20"/>
                <w:color w:val="auto"/>
              </w:rPr>
            </w:pPr>
            <w:r>
              <w:rPr>
                <w:rFonts w:ascii="Arial" w:cs="Arial" w:eastAsia="Arial" w:hAnsi="Arial"/>
                <w:sz w:val="18"/>
                <w:szCs w:val="18"/>
                <w:color w:val="auto"/>
              </w:rPr>
              <w:t>exchangeable senior notes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8"/>
        </w:trPr>
        <w:tc>
          <w:tcPr>
            <w:tcW w:w="6780" w:type="dxa"/>
            <w:vAlign w:val="bottom"/>
          </w:tcPr>
          <w:p>
            <w:pPr>
              <w:spacing w:after="0"/>
              <w:rPr>
                <w:sz w:val="20"/>
                <w:szCs w:val="20"/>
                <w:color w:val="auto"/>
              </w:rPr>
            </w:pPr>
            <w:r>
              <w:rPr>
                <w:rFonts w:ascii="Arial" w:cs="Arial" w:eastAsia="Arial" w:hAnsi="Arial"/>
                <w:sz w:val="18"/>
                <w:szCs w:val="18"/>
                <w:color w:val="auto"/>
              </w:rPr>
              <w:t>Interest income on note receivable from Preferred Operating Partnership unit holder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6"/>
              </w:rPr>
              <w:t>Income before equity in earnings of unconsolidated real estate ventures and income tax</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205,476</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188,903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Equity in earnings of unconsolidated real estate ventures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12,351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10,541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2"/>
              </w:rPr>
              <w:t>Equity in earnings of unconsolidated real estate ventures—gain on sale of real estate assets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purchase of joint venture partners’ interests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2,857</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46,032</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195,896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Net income allocated to Preferred Operating Partnership noncontrolling interests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Operating Partnership and other noncontrolling interests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189,474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178,355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Earnings per common share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shd w:val="clear" w:color="auto" w:fill="CCEEFF"/>
          </w:tcPr>
          <w:p>
            <w:pPr>
              <w:ind w:left="360"/>
              <w:spacing w:after="0" w:line="204" w:lineRule="exact"/>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1.56</w:t>
            </w:r>
          </w:p>
        </w:tc>
        <w:tc>
          <w:tcPr>
            <w:tcW w:w="6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line="204" w:lineRule="exact"/>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119,816,743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115,713,807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111,349,361</w:t>
            </w: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126,918,869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121,435,267</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113,105,094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2"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60" w:type="dxa"/>
            <w:vAlign w:val="bottom"/>
          </w:tcPr>
          <w:p>
            <w:pPr>
              <w:spacing w:after="0"/>
              <w:rPr>
                <w:sz w:val="14"/>
                <w:szCs w:val="14"/>
                <w:color w:val="auto"/>
              </w:rPr>
            </w:pPr>
          </w:p>
        </w:tc>
        <w:tc>
          <w:tcPr>
            <w:tcW w:w="2860" w:type="dxa"/>
            <w:vAlign w:val="bottom"/>
            <w:gridSpan w:val="7"/>
          </w:tcPr>
          <w:p>
            <w:pPr>
              <w:ind w:left="360"/>
              <w:spacing w:after="0"/>
              <w:rPr>
                <w:sz w:val="20"/>
                <w:szCs w:val="20"/>
                <w:color w:val="auto"/>
              </w:rPr>
            </w:pPr>
            <w:r>
              <w:rPr>
                <w:rFonts w:ascii="Arial" w:cs="Arial" w:eastAsia="Arial" w:hAnsi="Arial"/>
                <w:sz w:val="14"/>
                <w:szCs w:val="14"/>
                <w:b w:val="1"/>
                <w:bCs w:val="1"/>
                <w:color w:val="auto"/>
              </w:rPr>
              <w:t>For the Year Ended December 31,</w:t>
            </w:r>
          </w:p>
        </w:tc>
      </w:tr>
      <w:tr>
        <w:trPr>
          <w:trHeight w:val="138"/>
        </w:trPr>
        <w:tc>
          <w:tcPr>
            <w:tcW w:w="856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39"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3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04"/>
        </w:trPr>
        <w:tc>
          <w:tcPr>
            <w:tcW w:w="85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Net income</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2"/>
              </w:rPr>
              <w:t>$ 209,536</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$ 195,896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$ 185,556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85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interest rate swaps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(12,061)</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25,335</w:t>
            </w:r>
          </w:p>
        </w:tc>
      </w:tr>
      <w:tr>
        <w:trPr>
          <w:trHeight w:val="217"/>
        </w:trPr>
        <w:tc>
          <w:tcPr>
            <w:tcW w:w="85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204,607</w:t>
            </w:r>
          </w:p>
        </w:tc>
        <w:tc>
          <w:tcPr>
            <w:tcW w:w="3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210,891</w:t>
            </w:r>
          </w:p>
        </w:tc>
        <w:tc>
          <w:tcPr>
            <w:tcW w:w="100" w:type="dxa"/>
            <w:vAlign w:val="bottom"/>
          </w:tcPr>
          <w:p>
            <w:pPr>
              <w:spacing w:after="0"/>
              <w:rPr>
                <w:sz w:val="18"/>
                <w:szCs w:val="18"/>
                <w:color w:val="auto"/>
              </w:rPr>
            </w:pPr>
          </w:p>
        </w:tc>
      </w:tr>
      <w:tr>
        <w:trPr>
          <w:trHeight w:val="212"/>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14,386</w:t>
            </w:r>
          </w:p>
        </w:tc>
      </w:tr>
      <w:tr>
        <w:trPr>
          <w:trHeight w:val="217"/>
        </w:trPr>
        <w:tc>
          <w:tcPr>
            <w:tcW w:w="8560" w:type="dxa"/>
            <w:vAlign w:val="bottom"/>
          </w:tcPr>
          <w:p>
            <w:pPr>
              <w:spacing w:after="0"/>
              <w:rPr>
                <w:sz w:val="20"/>
                <w:szCs w:val="20"/>
                <w:color w:val="auto"/>
              </w:rPr>
            </w:pPr>
            <w:r>
              <w:rPr>
                <w:rFonts w:ascii="Arial" w:cs="Arial" w:eastAsia="Arial" w:hAnsi="Arial"/>
                <w:sz w:val="18"/>
                <w:szCs w:val="18"/>
                <w:b w:val="1"/>
                <w:bCs w:val="1"/>
                <w:color w:val="auto"/>
              </w:rPr>
              <w:t>Comprehensive income attributable to common stockholders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$ 184,606</w:t>
            </w:r>
          </w:p>
        </w:tc>
        <w:tc>
          <w:tcPr>
            <w:tcW w:w="3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$ 166,715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$ 196,505</w:t>
            </w:r>
          </w:p>
        </w:tc>
        <w:tc>
          <w:tcPr>
            <w:tcW w:w="10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2"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Noncontrolling Interests</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1"/>
              </w:rPr>
              <w:t>Extra Space Storage Inc. Stockholders’ Equity</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38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Preferred Operating Partnership</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right"/>
              <w:ind w:right="20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2380" w:type="dxa"/>
            <w:vAlign w:val="bottom"/>
            <w:tcBorders>
              <w:bottom w:val="single" w:sz="8" w:color="auto"/>
            </w:tcBorders>
            <w:gridSpan w:val="11"/>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8"/>
              </w:rPr>
              <w:t>Noncontrolling</w:t>
            </w: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A</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Series B</w:t>
            </w:r>
          </w:p>
        </w:tc>
        <w:tc>
          <w:tcPr>
            <w:tcW w:w="8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 C</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Series D</w:t>
            </w:r>
          </w:p>
        </w:tc>
        <w:tc>
          <w:tcPr>
            <w:tcW w:w="120" w:type="dxa"/>
            <w:vAlign w:val="bottom"/>
          </w:tcPr>
          <w:p>
            <w:pPr>
              <w:spacing w:after="0"/>
              <w:rPr>
                <w:sz w:val="10"/>
                <w:szCs w:val="10"/>
                <w:color w:val="auto"/>
              </w:rPr>
            </w:pPr>
          </w:p>
        </w:tc>
        <w:tc>
          <w:tcPr>
            <w:tcW w:w="820" w:type="dxa"/>
            <w:vAlign w:val="bottom"/>
            <w:gridSpan w:val="3"/>
          </w:tcPr>
          <w:p>
            <w:pPr>
              <w:jc w:val="right"/>
              <w:ind w:right="140"/>
              <w:spacing w:after="0" w:line="116" w:lineRule="exact"/>
              <w:rPr>
                <w:sz w:val="20"/>
                <w:szCs w:val="20"/>
                <w:color w:val="auto"/>
              </w:rPr>
            </w:pPr>
            <w:r>
              <w:rPr>
                <w:rFonts w:ascii="Arial" w:cs="Arial" w:eastAsia="Arial" w:hAnsi="Arial"/>
                <w:sz w:val="13"/>
                <w:szCs w:val="13"/>
                <w:b w:val="1"/>
                <w:bCs w:val="1"/>
                <w:color w:val="auto"/>
              </w:rPr>
              <w:t>Operating</w:t>
            </w:r>
          </w:p>
        </w:tc>
        <w:tc>
          <w:tcPr>
            <w:tcW w:w="40" w:type="dxa"/>
            <w:vAlign w:val="bottom"/>
          </w:tcPr>
          <w:p>
            <w:pPr>
              <w:spacing w:after="0"/>
              <w:rPr>
                <w:sz w:val="10"/>
                <w:szCs w:val="10"/>
                <w:color w:val="auto"/>
              </w:rPr>
            </w:pP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7"/>
              </w:rPr>
              <w:t>Par Value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Additional</w:t>
            </w:r>
          </w:p>
        </w:tc>
        <w:tc>
          <w:tcPr>
            <w:tcW w:w="1060" w:type="dxa"/>
            <w:vAlign w:val="bottom"/>
            <w:gridSpan w:val="3"/>
          </w:tcPr>
          <w:p>
            <w:pPr>
              <w:spacing w:after="0" w:line="116"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3"/>
          </w:tcPr>
          <w:p>
            <w:pPr>
              <w:ind w:left="20"/>
              <w:spacing w:after="0" w:line="116"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3"/>
          </w:tcPr>
          <w:p>
            <w:pPr>
              <w:jc w:val="right"/>
              <w:ind w:right="140"/>
              <w:spacing w:after="0" w:line="116" w:lineRule="exact"/>
              <w:rPr>
                <w:sz w:val="20"/>
                <w:szCs w:val="20"/>
                <w:color w:val="auto"/>
              </w:rPr>
            </w:pPr>
            <w:r>
              <w:rPr>
                <w:rFonts w:ascii="Arial" w:cs="Arial" w:eastAsia="Arial" w:hAnsi="Arial"/>
                <w:sz w:val="13"/>
                <w:szCs w:val="13"/>
                <w:b w:val="1"/>
                <w:bCs w:val="1"/>
                <w:color w:val="auto"/>
              </w:rPr>
              <w:t>Interests and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Partnership</w:t>
            </w:r>
          </w:p>
        </w:tc>
        <w:tc>
          <w:tcPr>
            <w:tcW w:w="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Paid-in Captial</w:t>
            </w: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38"/>
        </w:trPr>
        <w:tc>
          <w:tcPr>
            <w:tcW w:w="194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2"/>
              </w:rPr>
              <w:t>Balances at December 31, 2012</w:t>
            </w:r>
          </w:p>
        </w:tc>
        <w:tc>
          <w:tcPr>
            <w:tcW w:w="5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8"/>
              </w:rPr>
              <w:t>$ 29,918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ind w:left="180"/>
              <w:spacing w:after="0" w:line="139"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ind w:left="200"/>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120"/>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22,492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ind w:left="60"/>
              <w:spacing w:after="0" w:line="139" w:lineRule="exact"/>
              <w:rPr>
                <w:sz w:val="20"/>
                <w:szCs w:val="20"/>
                <w:color w:val="auto"/>
              </w:rPr>
            </w:pPr>
            <w:r>
              <w:rPr>
                <w:rFonts w:ascii="Arial" w:cs="Arial" w:eastAsia="Arial" w:hAnsi="Arial"/>
                <w:sz w:val="14"/>
                <w:szCs w:val="14"/>
                <w:color w:val="auto"/>
                <w:w w:val="79"/>
              </w:rPr>
              <w:t>1,114</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2"/>
              </w:rPr>
              <w:t>110,737,205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1,107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1,740,037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(14,273)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(235,064)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1,545,331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w w:val="95"/>
              </w:rPr>
              <w:t>Issuance of common stock upon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the exercise of options</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391,543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5,892</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5,896</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Restricted stock grants issued</w:t>
            </w:r>
          </w:p>
        </w:tc>
        <w:tc>
          <w:tcPr>
            <w:tcW w:w="62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137,602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Arial" w:cs="Arial" w:eastAsia="Arial" w:hAnsi="Arial"/>
                <w:sz w:val="14"/>
                <w:szCs w:val="14"/>
                <w:color w:val="auto"/>
                <w:w w:val="93"/>
              </w:rPr>
              <w:t>Restricted stock grants cancelled</w:t>
            </w:r>
          </w:p>
        </w:tc>
        <w:tc>
          <w:tcPr>
            <w:tcW w:w="62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(23,323)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2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9"/>
              </w:rPr>
              <w:t>Issuance of common stock, net</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offering costs</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205,943</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205,988</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w w:val="99"/>
              </w:rPr>
              <w:t>Compensation expense related</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to stock-based awards</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4,819</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Purchase of additional equity</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interests in existing</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joint ventures</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(1,008)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(1,481)</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Noncontrolling interest related</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to consolidated joint venture</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870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w w:val="93"/>
              </w:rPr>
              <w:t>Issuance of exchangeable senior</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notes—equity component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14,496</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Issuance of Operating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Partnership units in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conjunction with store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acquisitions</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33,568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17,177</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68,471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Redemption of Operating</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97"/>
              </w:rPr>
              <w:t>Partnership units for common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260</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Redemption of Operating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Partnership units for cash</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income</w:t>
            </w:r>
          </w:p>
        </w:tc>
        <w:tc>
          <w:tcPr>
            <w:tcW w:w="6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7,255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w w:val="85"/>
              </w:rPr>
              <w:t>673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w w:val="76"/>
              </w:rPr>
              <w:t>78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5,425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172,076</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185,556</w:t>
            </w: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Arial" w:cs="Arial" w:eastAsia="Arial" w:hAnsi="Arial"/>
                <w:sz w:val="14"/>
                <w:szCs w:val="14"/>
                <w:color w:val="auto"/>
              </w:rPr>
              <w:t>Other comprehensive income</w:t>
            </w:r>
          </w:p>
        </w:tc>
        <w:tc>
          <w:tcPr>
            <w:tcW w:w="62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214</w:t>
            </w:r>
          </w:p>
        </w:tc>
        <w:tc>
          <w:tcPr>
            <w:tcW w:w="100" w:type="dxa"/>
            <w:vAlign w:val="bottom"/>
          </w:tcPr>
          <w:p>
            <w:pPr>
              <w:spacing w:after="0"/>
              <w:rPr>
                <w:sz w:val="12"/>
                <w:szCs w:val="12"/>
                <w:color w:val="auto"/>
              </w:rPr>
            </w:pPr>
          </w:p>
        </w:tc>
        <w:tc>
          <w:tcPr>
            <w:tcW w:w="44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ind w:left="280"/>
              <w:spacing w:after="0" w:line="145" w:lineRule="exact"/>
              <w:rPr>
                <w:sz w:val="20"/>
                <w:szCs w:val="20"/>
                <w:color w:val="auto"/>
              </w:rPr>
            </w:pPr>
            <w:r>
              <w:rPr>
                <w:rFonts w:ascii="Arial" w:cs="Arial" w:eastAsia="Arial" w:hAnsi="Arial"/>
                <w:sz w:val="14"/>
                <w:szCs w:val="14"/>
                <w:color w:val="auto"/>
                <w:w w:val="76"/>
              </w:rPr>
              <w:t>692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2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24,429</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25,335</w:t>
            </w: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Tax effect from vesting of</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restricted stock grants and</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 exercises</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3,193</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Distributions to Operating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Arial" w:cs="Arial" w:eastAsia="Arial" w:hAnsi="Arial"/>
                <w:sz w:val="14"/>
                <w:szCs w:val="14"/>
                <w:color w:val="auto"/>
              </w:rPr>
              <w:t>Partnership units held by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(7,185)</w:t>
            </w: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(5,326)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(13,262)</w:t>
            </w: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Distributions to other</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940" w:type="dxa"/>
            <w:vAlign w:val="bottom"/>
          </w:tcPr>
          <w:p>
            <w:pPr>
              <w:spacing w:after="0" w:line="127" w:lineRule="exact"/>
              <w:rPr>
                <w:sz w:val="20"/>
                <w:szCs w:val="20"/>
                <w:color w:val="auto"/>
              </w:rPr>
            </w:pPr>
            <w:r>
              <w:rPr>
                <w:rFonts w:ascii="Arial" w:cs="Arial" w:eastAsia="Arial" w:hAnsi="Arial"/>
                <w:sz w:val="14"/>
                <w:szCs w:val="14"/>
                <w:color w:val="auto"/>
              </w:rPr>
              <w:t>Dividends paid on common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40" w:type="dxa"/>
            <w:vAlign w:val="bottom"/>
          </w:tcPr>
          <w:p>
            <w:pPr>
              <w:ind w:left="140"/>
              <w:spacing w:after="0"/>
              <w:rPr>
                <w:sz w:val="20"/>
                <w:szCs w:val="20"/>
                <w:color w:val="auto"/>
              </w:rPr>
            </w:pPr>
            <w:r>
              <w:rPr>
                <w:rFonts w:ascii="Arial" w:cs="Arial" w:eastAsia="Arial" w:hAnsi="Arial"/>
                <w:sz w:val="14"/>
                <w:szCs w:val="14"/>
                <w:color w:val="auto"/>
              </w:rPr>
              <w:t>stock at $1.45 per share</w:t>
            </w: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(163,014)</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(163,014)</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2"/>
              </w:rPr>
              <w:t>Balances at December 31, 2013</w:t>
            </w: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$ 30,202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33,568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88"/>
              </w:rPr>
              <w:t>17,177</w:t>
            </w:r>
          </w:p>
        </w:tc>
        <w:tc>
          <w:tcPr>
            <w:tcW w:w="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91,453</w:t>
            </w:r>
          </w:p>
        </w:tc>
        <w:tc>
          <w:tcPr>
            <w:tcW w:w="1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6"/>
              </w:rPr>
              <w:t>1,025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w w:val="92"/>
              </w:rPr>
              <w:t>115,755,527</w:t>
            </w:r>
          </w:p>
        </w:tc>
        <w:tc>
          <w:tcPr>
            <w:tcW w:w="2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1,157</w:t>
            </w:r>
          </w:p>
        </w:tc>
        <w:tc>
          <w:tcPr>
            <w:tcW w:w="16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1,973,159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10,156</w:t>
            </w: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(226,002)</w:t>
            </w:r>
          </w:p>
        </w:tc>
        <w:tc>
          <w:tcPr>
            <w:tcW w:w="1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1,931,895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520"/>
          </w:cols>
          <w:pgMar w:left="240" w:top="452" w:right="1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ind w:left="8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8"/>
              </w:rPr>
              <w:t>Noncontrolling Interests</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91"/>
              </w:rPr>
              <w:t>Extra Space Storage Inc. Stockholders’ Equity</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6"/>
        </w:trPr>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gridSpan w:val="9"/>
            <w:vMerge w:val="restart"/>
          </w:tcPr>
          <w:p>
            <w:pPr>
              <w:jc w:val="right"/>
              <w:ind w:right="150"/>
              <w:spacing w:after="0"/>
              <w:rPr>
                <w:sz w:val="20"/>
                <w:szCs w:val="20"/>
                <w:color w:val="auto"/>
              </w:rPr>
            </w:pPr>
            <w:r>
              <w:rPr>
                <w:rFonts w:ascii="Arial" w:cs="Arial" w:eastAsia="Arial" w:hAnsi="Arial"/>
                <w:sz w:val="14"/>
                <w:szCs w:val="14"/>
                <w:b w:val="1"/>
                <w:bCs w:val="1"/>
                <w:color w:val="auto"/>
              </w:rPr>
              <w:t>Preferred Operating Partnership</w:t>
            </w:r>
          </w:p>
        </w:tc>
        <w:tc>
          <w:tcPr>
            <w:tcW w:w="1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8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tcBorders>
              <w:bottom w:val="single" w:sz="8" w:color="auto"/>
            </w:tcBorders>
            <w:gridSpan w:val="9"/>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16"/>
        </w:trPr>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Series A</w:t>
            </w:r>
          </w:p>
        </w:tc>
        <w:tc>
          <w:tcPr>
            <w:tcW w:w="5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82"/>
              </w:rPr>
              <w:t>Series B</w:t>
            </w:r>
          </w:p>
        </w:tc>
        <w:tc>
          <w:tcPr>
            <w:tcW w:w="4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Series C</w:t>
            </w:r>
          </w:p>
        </w:tc>
        <w:tc>
          <w:tcPr>
            <w:tcW w:w="4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Series D</w:t>
            </w:r>
          </w:p>
        </w:tc>
        <w:tc>
          <w:tcPr>
            <w:tcW w:w="820" w:type="dxa"/>
            <w:vAlign w:val="bottom"/>
            <w:gridSpan w:val="3"/>
          </w:tcPr>
          <w:p>
            <w:pPr>
              <w:jc w:val="right"/>
              <w:ind w:right="160"/>
              <w:spacing w:after="0" w:line="116" w:lineRule="exact"/>
              <w:rPr>
                <w:sz w:val="20"/>
                <w:szCs w:val="20"/>
                <w:color w:val="auto"/>
              </w:rPr>
            </w:pPr>
            <w:r>
              <w:rPr>
                <w:rFonts w:ascii="Arial" w:cs="Arial" w:eastAsia="Arial" w:hAnsi="Arial"/>
                <w:sz w:val="13"/>
                <w:szCs w:val="13"/>
                <w:b w:val="1"/>
                <w:bCs w:val="1"/>
                <w:color w:val="auto"/>
              </w:rPr>
              <w:t>Operating</w:t>
            </w:r>
          </w:p>
        </w:tc>
        <w:tc>
          <w:tcPr>
            <w:tcW w:w="40" w:type="dxa"/>
            <w:vAlign w:val="bottom"/>
          </w:tcPr>
          <w:p>
            <w:pPr>
              <w:spacing w:after="0"/>
              <w:rPr>
                <w:sz w:val="10"/>
                <w:szCs w:val="10"/>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Additional</w:t>
            </w:r>
          </w:p>
        </w:tc>
        <w:tc>
          <w:tcPr>
            <w:tcW w:w="1060" w:type="dxa"/>
            <w:vAlign w:val="bottom"/>
            <w:gridSpan w:val="3"/>
          </w:tcPr>
          <w:p>
            <w:pPr>
              <w:jc w:val="center"/>
              <w:ind w:right="120"/>
              <w:spacing w:after="0" w:line="116" w:lineRule="exact"/>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0"/>
                <w:szCs w:val="10"/>
                <w:color w:val="auto"/>
              </w:rPr>
            </w:pPr>
          </w:p>
        </w:tc>
        <w:tc>
          <w:tcPr>
            <w:tcW w:w="960" w:type="dxa"/>
            <w:vAlign w:val="bottom"/>
            <w:gridSpan w:val="2"/>
          </w:tcPr>
          <w:p>
            <w:pPr>
              <w:jc w:val="right"/>
              <w:ind w:right="140"/>
              <w:spacing w:after="0" w:line="116" w:lineRule="exact"/>
              <w:rPr>
                <w:sz w:val="20"/>
                <w:szCs w:val="20"/>
                <w:color w:val="auto"/>
              </w:rPr>
            </w:pPr>
            <w:r>
              <w:rPr>
                <w:rFonts w:ascii="Arial" w:cs="Arial" w:eastAsia="Arial" w:hAnsi="Arial"/>
                <w:sz w:val="13"/>
                <w:szCs w:val="13"/>
                <w:b w:val="1"/>
                <w:bCs w:val="1"/>
                <w:color w:val="auto"/>
                <w:w w:val="97"/>
              </w:rPr>
              <w:t>Accumulated</w:t>
            </w:r>
          </w:p>
        </w:tc>
        <w:tc>
          <w:tcPr>
            <w:tcW w:w="100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6"/>
              </w:rPr>
              <w:t>Interests and</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Partnership</w:t>
            </w:r>
          </w:p>
        </w:tc>
        <w:tc>
          <w:tcPr>
            <w:tcW w:w="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07"/>
        </w:trPr>
        <w:tc>
          <w:tcPr>
            <w:tcW w:w="168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Issuance of common stock</w:t>
            </w: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upon the exercise of</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211,747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3,093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rPr>
              <w:t>Restricted stock grants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issued</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117,370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Restricted stock grants</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cancelled</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(23,595)</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rPr>
              <w:t>Compensation expense</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related to stock-based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awards</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4,984</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127"/>
        </w:trPr>
        <w:tc>
          <w:tcPr>
            <w:tcW w:w="16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Issuance of Operating</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Partnership units in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conjunction with store</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acquisitions</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8,334</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13,783</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13,710</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2,982</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38,809</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rPr>
              <w:t>Redemption of Operating</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Partnership units for</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(10,240)</w:t>
            </w:r>
          </w:p>
        </w:tc>
        <w:tc>
          <w:tcPr>
            <w:tcW w:w="5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(398)</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299,190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10,635</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16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Redemption of Operating</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5"/>
              </w:rPr>
              <w:t>Partnership units for cash</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(4,794)</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w w:val="97"/>
              </w:rPr>
              <w:t>Issuance of note receivable</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to Series C unit holders</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(20,230)</w:t>
            </w: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(20,230)</w:t>
            </w: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income</w:t>
            </w:r>
          </w:p>
        </w:tc>
        <w:tc>
          <w:tcPr>
            <w:tcW w:w="72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7,036</w:t>
            </w:r>
          </w:p>
        </w:tc>
        <w:tc>
          <w:tcPr>
            <w:tcW w:w="580" w:type="dxa"/>
            <w:vAlign w:val="bottom"/>
            <w:gridSpan w:val="2"/>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2,387</w:t>
            </w:r>
          </w:p>
        </w:tc>
        <w:tc>
          <w:tcPr>
            <w:tcW w:w="66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1,551</w:t>
            </w:r>
          </w:p>
        </w:tc>
        <w:tc>
          <w:tcPr>
            <w:tcW w:w="70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6,538</w:t>
            </w:r>
          </w:p>
        </w:tc>
        <w:tc>
          <w:tcPr>
            <w:tcW w:w="4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178,355</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195,896</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Other comprehensive loss</w:t>
            </w:r>
          </w:p>
        </w:tc>
        <w:tc>
          <w:tcPr>
            <w:tcW w:w="72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(74)</w:t>
            </w:r>
          </w:p>
        </w:tc>
        <w:tc>
          <w:tcPr>
            <w:tcW w:w="58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(347)</w:t>
            </w:r>
          </w:p>
        </w:tc>
        <w:tc>
          <w:tcPr>
            <w:tcW w:w="40" w:type="dxa"/>
            <w:vAlign w:val="bottom"/>
          </w:tcPr>
          <w:p>
            <w:pPr>
              <w:spacing w:after="0"/>
              <w:rPr>
                <w:sz w:val="12"/>
                <w:szCs w:val="12"/>
                <w:color w:val="auto"/>
              </w:rPr>
            </w:pPr>
          </w:p>
        </w:tc>
        <w:tc>
          <w:tcPr>
            <w:tcW w:w="5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6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(11,640)</w:t>
            </w:r>
          </w:p>
        </w:tc>
        <w:tc>
          <w:tcPr>
            <w:tcW w:w="2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(12,061)</w:t>
            </w:r>
          </w:p>
        </w:tc>
        <w:tc>
          <w:tcPr>
            <w:tcW w:w="0" w:type="dxa"/>
            <w:vAlign w:val="bottom"/>
          </w:tcPr>
          <w:p>
            <w:pPr>
              <w:spacing w:after="0"/>
              <w:rPr>
                <w:sz w:val="1"/>
                <w:szCs w:val="1"/>
                <w:color w:val="auto"/>
              </w:rPr>
            </w:pPr>
          </w:p>
        </w:tc>
      </w:tr>
      <w:tr>
        <w:trPr>
          <w:trHeight w:val="127"/>
        </w:trPr>
        <w:tc>
          <w:tcPr>
            <w:tcW w:w="16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Tax effect from vesting of</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92"/>
              </w:rPr>
              <w:t>restricted stock grants and</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 exercises</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3,613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3,613</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rPr>
              <w:t>Distributions to Operating</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w w:val="98"/>
              </w:rPr>
              <w:t>Partnership units held by</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(7,321)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(2,386)</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(1,551)</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(7,806)</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(19,081)</w:t>
            </w:r>
          </w:p>
        </w:tc>
        <w:tc>
          <w:tcPr>
            <w:tcW w:w="0" w:type="dxa"/>
            <w:vAlign w:val="bottom"/>
          </w:tcPr>
          <w:p>
            <w:pPr>
              <w:spacing w:after="0"/>
              <w:rPr>
                <w:sz w:val="1"/>
                <w:szCs w:val="1"/>
                <w:color w:val="auto"/>
              </w:rPr>
            </w:pPr>
          </w:p>
        </w:tc>
      </w:tr>
      <w:tr>
        <w:trPr>
          <w:trHeight w:val="127"/>
        </w:trPr>
        <w:tc>
          <w:tcPr>
            <w:tcW w:w="16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Distributions to other</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27"/>
        </w:trPr>
        <w:tc>
          <w:tcPr>
            <w:tcW w:w="1680" w:type="dxa"/>
            <w:vAlign w:val="bottom"/>
          </w:tcPr>
          <w:p>
            <w:pPr>
              <w:spacing w:after="0" w:line="127" w:lineRule="exact"/>
              <w:rPr>
                <w:sz w:val="20"/>
                <w:szCs w:val="20"/>
                <w:color w:val="auto"/>
              </w:rPr>
            </w:pPr>
            <w:r>
              <w:rPr>
                <w:rFonts w:ascii="Arial" w:cs="Arial" w:eastAsia="Arial" w:hAnsi="Arial"/>
                <w:sz w:val="14"/>
                <w:szCs w:val="14"/>
                <w:color w:val="auto"/>
                <w:w w:val="98"/>
              </w:rPr>
              <w:t>Dividends paid on common</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140"/>
              <w:spacing w:after="0"/>
              <w:rPr>
                <w:sz w:val="20"/>
                <w:szCs w:val="20"/>
                <w:color w:val="auto"/>
              </w:rPr>
            </w:pPr>
            <w:r>
              <w:rPr>
                <w:rFonts w:ascii="Arial" w:cs="Arial" w:eastAsia="Arial" w:hAnsi="Arial"/>
                <w:sz w:val="14"/>
                <w:szCs w:val="14"/>
                <w:color w:val="auto"/>
              </w:rPr>
              <w:t>stock at $1.81 per share</w:t>
            </w:r>
          </w:p>
        </w:tc>
        <w:tc>
          <w:tcPr>
            <w:tcW w:w="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(210,091)</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(210,091)</w:t>
            </w:r>
          </w:p>
        </w:tc>
        <w:tc>
          <w:tcPr>
            <w:tcW w:w="0" w:type="dxa"/>
            <w:vAlign w:val="bottom"/>
          </w:tcPr>
          <w:p>
            <w:pPr>
              <w:spacing w:after="0"/>
              <w:rPr>
                <w:sz w:val="1"/>
                <w:szCs w:val="1"/>
                <w:color w:val="auto"/>
              </w:rPr>
            </w:pPr>
          </w:p>
        </w:tc>
      </w:tr>
      <w:tr>
        <w:trPr>
          <w:trHeight w:val="123"/>
        </w:trPr>
        <w:tc>
          <w:tcPr>
            <w:tcW w:w="16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w w:val="96"/>
              </w:rPr>
              <w:t>Balances at December 31,</w:t>
            </w:r>
          </w:p>
        </w:tc>
        <w:tc>
          <w:tcPr>
            <w:tcW w:w="6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9"/>
              </w:rPr>
              <w:t>$ 14,809</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w w:val="84"/>
              </w:rPr>
              <w:t>$ 41,903</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9"/>
              </w:rPr>
              <w:t>$ 10,730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5"/>
              </w:rPr>
              <w:t>$ 13,710</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92,422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$ 984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2"/>
              </w:rPr>
              <w:t>116,360,239</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1,163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1,995,484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(257,738)</w:t>
            </w: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1,911,983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2"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ectPr>
          <w:pgSz w:w="11900" w:h="16838" w:orient="portrait"/>
          <w:cols w:equalWidth="0" w:num="1">
            <w:col w:w="11380"/>
          </w:cols>
          <w:pgMar w:left="240" w:top="452" w:right="27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w w:val="88"/>
              </w:rPr>
              <w:t>Noncontrolling Interests</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24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rPr>
              <w:t>Preferred Operating Partnership</w:t>
            </w:r>
          </w:p>
        </w:tc>
        <w:tc>
          <w:tcPr>
            <w:tcW w:w="140" w:type="dxa"/>
            <w:vAlign w:val="bottom"/>
          </w:tcPr>
          <w:p>
            <w:pPr>
              <w:spacing w:after="0"/>
              <w:rPr>
                <w:sz w:val="23"/>
                <w:szCs w:val="2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Operating</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168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Series A</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2"/>
              </w:rPr>
              <w:t>Series B</w:t>
            </w: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Series C</w:t>
            </w:r>
          </w:p>
        </w:tc>
        <w:tc>
          <w:tcPr>
            <w:tcW w:w="6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D</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1680" w:type="dxa"/>
            <w:vAlign w:val="bottom"/>
            <w:vMerge w:val="restart"/>
          </w:tcPr>
          <w:p>
            <w:pPr>
              <w:spacing w:after="0"/>
              <w:rPr>
                <w:sz w:val="20"/>
                <w:szCs w:val="20"/>
                <w:color w:val="auto"/>
              </w:rPr>
            </w:pPr>
            <w:r>
              <w:rPr>
                <w:rFonts w:ascii="Arial" w:cs="Arial" w:eastAsia="Arial" w:hAnsi="Arial"/>
                <w:sz w:val="14"/>
                <w:szCs w:val="14"/>
                <w:color w:val="auto"/>
              </w:rPr>
              <w:t>Issuance of common stock</w:t>
            </w:r>
          </w:p>
        </w:tc>
        <w:tc>
          <w:tcPr>
            <w:tcW w:w="6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Partnership</w:t>
            </w:r>
          </w:p>
        </w:tc>
        <w:tc>
          <w:tcPr>
            <w:tcW w:w="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80" w:type="dxa"/>
            <w:vAlign w:val="bottom"/>
            <w:vMerge w:val="continue"/>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upon the exercise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options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Restricted stock grants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issued</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Restricted stock grants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cancelled</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w w:val="97"/>
              </w:rPr>
              <w:t>Issuance of common stock,</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net of offering costs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related to stock-based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awards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Purchase of remaining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w w:val="99"/>
              </w:rPr>
              <w:t>equity interest in existing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consolidated joint</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venture</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Issuance of Operating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Partnership units in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conjunction with</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acquisitions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142,399</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Redemption of Operating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Partnership units for</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common stock</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(28,106)</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Repurchase of equity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portion of 2013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exchangeable senior</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notes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Issuance of 2015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exchangeable senior</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notes—equity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component</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6,445</w:t>
            </w: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2,514</w:t>
            </w:r>
          </w:p>
        </w:tc>
        <w:tc>
          <w:tcPr>
            <w:tcW w:w="68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2,074</w:t>
            </w:r>
          </w:p>
        </w:tc>
        <w:tc>
          <w:tcPr>
            <w:tcW w:w="700" w:type="dxa"/>
            <w:vAlign w:val="bottom"/>
            <w:gridSpan w:val="3"/>
          </w:tcPr>
          <w:p>
            <w:pPr>
              <w:ind w:left="340"/>
              <w:spacing w:after="0" w:line="145" w:lineRule="exact"/>
              <w:rPr>
                <w:sz w:val="20"/>
                <w:szCs w:val="20"/>
                <w:color w:val="auto"/>
              </w:rPr>
            </w:pPr>
            <w:r>
              <w:rPr>
                <w:rFonts w:ascii="Arial" w:cs="Arial" w:eastAsia="Arial" w:hAnsi="Arial"/>
                <w:sz w:val="14"/>
                <w:szCs w:val="14"/>
                <w:color w:val="auto"/>
              </w:rPr>
              <w:t>685</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8,344</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Other comprehensive loss</w:t>
            </w: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(15)</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(46)</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Tax effect from vesting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restricted stock grants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and stock option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exercises</w:t>
            </w:r>
          </w:p>
        </w:tc>
        <w:tc>
          <w:tcPr>
            <w:tcW w:w="6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rPr>
              <w:t>Distributions to Operating</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w w:val="98"/>
              </w:rPr>
              <w:t>Partnership units held by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Pr>
          <w:p>
            <w:pPr>
              <w:ind w:left="140"/>
              <w:spacing w:after="0" w:line="145" w:lineRule="exact"/>
              <w:rPr>
                <w:sz w:val="20"/>
                <w:szCs w:val="20"/>
                <w:color w:val="auto"/>
              </w:rPr>
            </w:pPr>
            <w:r>
              <w:rPr>
                <w:rFonts w:ascii="Arial" w:cs="Arial" w:eastAsia="Arial" w:hAnsi="Arial"/>
                <w:sz w:val="14"/>
                <w:szCs w:val="14"/>
                <w:color w:val="auto"/>
              </w:rPr>
              <w:t>noncontrolling interests</w:t>
            </w: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(7,050)</w:t>
            </w:r>
          </w:p>
        </w:tc>
        <w:tc>
          <w:tcPr>
            <w:tcW w:w="5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(2,515)</w:t>
            </w:r>
          </w:p>
        </w:tc>
        <w:tc>
          <w:tcPr>
            <w:tcW w:w="680" w:type="dxa"/>
            <w:vAlign w:val="bottom"/>
            <w:gridSpan w:val="3"/>
          </w:tcPr>
          <w:p>
            <w:pPr>
              <w:jc w:val="right"/>
              <w:ind w:right="40"/>
              <w:spacing w:after="0" w:line="145" w:lineRule="exact"/>
              <w:rPr>
                <w:sz w:val="20"/>
                <w:szCs w:val="20"/>
                <w:color w:val="auto"/>
              </w:rPr>
            </w:pPr>
            <w:r>
              <w:rPr>
                <w:rFonts w:ascii="Arial" w:cs="Arial" w:eastAsia="Arial" w:hAnsi="Arial"/>
                <w:sz w:val="14"/>
                <w:szCs w:val="14"/>
                <w:color w:val="auto"/>
              </w:rPr>
              <w:t>(2,074)</w:t>
            </w:r>
          </w:p>
        </w:tc>
        <w:tc>
          <w:tcPr>
            <w:tcW w:w="70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(685)</w:t>
            </w:r>
          </w:p>
        </w:tc>
        <w:tc>
          <w:tcPr>
            <w:tcW w:w="8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(12,179)</w:t>
            </w:r>
          </w:p>
        </w:tc>
        <w:tc>
          <w:tcPr>
            <w:tcW w:w="60" w:type="dxa"/>
            <w:vAlign w:val="bottom"/>
          </w:tcPr>
          <w:p>
            <w:pPr>
              <w:spacing w:after="0"/>
              <w:rPr>
                <w:sz w:val="12"/>
                <w:szCs w:val="12"/>
                <w:color w:val="auto"/>
              </w:rPr>
            </w:pPr>
          </w:p>
        </w:tc>
        <w:tc>
          <w:tcPr>
            <w:tcW w:w="4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680" w:type="dxa"/>
            <w:vAlign w:val="bottom"/>
          </w:tcPr>
          <w:p>
            <w:pPr>
              <w:spacing w:after="0" w:line="145" w:lineRule="exact"/>
              <w:rPr>
                <w:sz w:val="20"/>
                <w:szCs w:val="20"/>
                <w:color w:val="auto"/>
              </w:rPr>
            </w:pPr>
            <w:r>
              <w:rPr>
                <w:rFonts w:ascii="Arial" w:cs="Arial" w:eastAsia="Arial" w:hAnsi="Arial"/>
                <w:sz w:val="14"/>
                <w:szCs w:val="14"/>
                <w:color w:val="auto"/>
                <w:w w:val="98"/>
              </w:rPr>
              <w:t>Dividends paid on common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40"/>
              <w:spacing w:after="0"/>
              <w:rPr>
                <w:sz w:val="20"/>
                <w:szCs w:val="20"/>
                <w:color w:val="auto"/>
              </w:rPr>
            </w:pPr>
            <w:r>
              <w:rPr>
                <w:rFonts w:ascii="Arial" w:cs="Arial" w:eastAsia="Arial" w:hAnsi="Arial"/>
                <w:sz w:val="14"/>
                <w:szCs w:val="14"/>
                <w:color w:val="auto"/>
              </w:rPr>
              <w:t>stock at $2.24 per share</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1680" w:type="dxa"/>
            <w:vAlign w:val="bottom"/>
          </w:tcPr>
          <w:p>
            <w:pPr>
              <w:spacing w:after="0" w:line="129" w:lineRule="exact"/>
              <w:rPr>
                <w:sz w:val="20"/>
                <w:szCs w:val="20"/>
                <w:color w:val="auto"/>
              </w:rPr>
            </w:pPr>
            <w:r>
              <w:rPr>
                <w:rFonts w:ascii="Arial" w:cs="Arial" w:eastAsia="Arial" w:hAnsi="Arial"/>
                <w:sz w:val="14"/>
                <w:szCs w:val="14"/>
                <w:b w:val="1"/>
                <w:bCs w:val="1"/>
                <w:color w:val="auto"/>
                <w:w w:val="96"/>
              </w:rPr>
              <w:t>Balances at December 31,</w:t>
            </w: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4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jc w:val="right"/>
              <w:spacing w:after="0"/>
              <w:rPr>
                <w:sz w:val="20"/>
                <w:szCs w:val="20"/>
                <w:color w:val="auto"/>
              </w:rPr>
            </w:pPr>
            <w:r>
              <w:rPr>
                <w:rFonts w:ascii="Arial" w:cs="Arial" w:eastAsia="Arial" w:hAnsi="Arial"/>
                <w:sz w:val="14"/>
                <w:szCs w:val="14"/>
                <w:color w:val="auto"/>
                <w:w w:val="88"/>
              </w:rPr>
              <w:t>$ 14,189</w:t>
            </w: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w w:val="84"/>
              </w:rPr>
              <w:t>$ 41,902</w:t>
            </w: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$ 10,730</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$ 13,710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   202,834</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$ 162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1"/>
              </w:rPr>
              <w:t>Extra Space Storage Inc. Stockholders’ Equity</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6"/>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Accumulated</w:t>
            </w:r>
          </w:p>
        </w:tc>
        <w:tc>
          <w:tcPr>
            <w:tcW w:w="9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45"/>
        </w:trPr>
        <w:tc>
          <w:tcPr>
            <w:tcW w:w="7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Par Value</w:t>
            </w:r>
          </w:p>
        </w:tc>
        <w:tc>
          <w:tcPr>
            <w:tcW w:w="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9"/>
              </w:rPr>
              <w:t>Interests and</w:t>
            </w:r>
          </w:p>
        </w:tc>
        <w:tc>
          <w:tcPr>
            <w:tcW w:w="0" w:type="dxa"/>
            <w:vAlign w:val="bottom"/>
          </w:tcPr>
          <w:p>
            <w:pPr>
              <w:spacing w:after="0"/>
              <w:rPr>
                <w:sz w:val="1"/>
                <w:szCs w:val="1"/>
                <w:color w:val="auto"/>
              </w:rPr>
            </w:pPr>
          </w:p>
        </w:tc>
      </w:tr>
      <w:tr>
        <w:trPr>
          <w:trHeight w:val="168"/>
        </w:trPr>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Paid-in 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740" w:type="dxa"/>
            <w:vAlign w:val="bottom"/>
          </w:tcPr>
          <w:p>
            <w:pPr>
              <w:jc w:val="right"/>
              <w:spacing w:after="0"/>
              <w:rPr>
                <w:sz w:val="20"/>
                <w:szCs w:val="20"/>
                <w:color w:val="auto"/>
              </w:rPr>
            </w:pPr>
            <w:r>
              <w:rPr>
                <w:rFonts w:ascii="Arial" w:cs="Arial" w:eastAsia="Arial" w:hAnsi="Arial"/>
                <w:sz w:val="14"/>
                <w:szCs w:val="14"/>
                <w:color w:val="auto"/>
              </w:rPr>
              <w:t>79,974</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1,541</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290"/>
        </w:trPr>
        <w:tc>
          <w:tcPr>
            <w:tcW w:w="740" w:type="dxa"/>
            <w:vAlign w:val="bottom"/>
          </w:tcPr>
          <w:p>
            <w:pPr>
              <w:jc w:val="right"/>
              <w:spacing w:after="0"/>
              <w:rPr>
                <w:sz w:val="20"/>
                <w:szCs w:val="20"/>
                <w:color w:val="auto"/>
              </w:rPr>
            </w:pPr>
            <w:r>
              <w:rPr>
                <w:rFonts w:ascii="Arial" w:cs="Arial" w:eastAsia="Arial" w:hAnsi="Arial"/>
                <w:sz w:val="14"/>
                <w:szCs w:val="14"/>
                <w:color w:val="auto"/>
              </w:rPr>
              <w:t>174,558</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(18,090)</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740" w:type="dxa"/>
            <w:vAlign w:val="bottom"/>
          </w:tcPr>
          <w:p>
            <w:pPr>
              <w:jc w:val="right"/>
              <w:spacing w:after="0"/>
              <w:rPr>
                <w:sz w:val="20"/>
                <w:szCs w:val="20"/>
                <w:color w:val="auto"/>
              </w:rPr>
            </w:pPr>
            <w:r>
              <w:rPr>
                <w:rFonts w:ascii="Arial" w:cs="Arial" w:eastAsia="Arial" w:hAnsi="Arial"/>
                <w:sz w:val="14"/>
                <w:szCs w:val="14"/>
                <w:color w:val="auto"/>
              </w:rPr>
              <w:t>6,735,000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446,810</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446,877</w:t>
            </w:r>
          </w:p>
        </w:tc>
        <w:tc>
          <w:tcPr>
            <w:tcW w:w="0" w:type="dxa"/>
            <w:vAlign w:val="bottom"/>
          </w:tcPr>
          <w:p>
            <w:pPr>
              <w:spacing w:after="0"/>
              <w:rPr>
                <w:sz w:val="1"/>
                <w:szCs w:val="1"/>
                <w:color w:val="auto"/>
              </w:rPr>
            </w:pPr>
          </w:p>
        </w:tc>
      </w:tr>
      <w:tr>
        <w:trPr>
          <w:trHeight w:val="436"/>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6,055</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6,055</w:t>
            </w:r>
          </w:p>
        </w:tc>
        <w:tc>
          <w:tcPr>
            <w:tcW w:w="0" w:type="dxa"/>
            <w:vAlign w:val="bottom"/>
          </w:tcPr>
          <w:p>
            <w:pPr>
              <w:spacing w:after="0"/>
              <w:rPr>
                <w:sz w:val="1"/>
                <w:szCs w:val="1"/>
                <w:color w:val="auto"/>
              </w:rPr>
            </w:pPr>
          </w:p>
        </w:tc>
      </w:tr>
      <w:tr>
        <w:trPr>
          <w:trHeight w:val="581"/>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581"/>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142,399</w:t>
            </w:r>
          </w:p>
        </w:tc>
        <w:tc>
          <w:tcPr>
            <w:tcW w:w="0" w:type="dxa"/>
            <w:vAlign w:val="bottom"/>
          </w:tcPr>
          <w:p>
            <w:pPr>
              <w:spacing w:after="0"/>
              <w:rPr>
                <w:sz w:val="1"/>
                <w:szCs w:val="1"/>
                <w:color w:val="auto"/>
              </w:rPr>
            </w:pPr>
          </w:p>
        </w:tc>
      </w:tr>
      <w:tr>
        <w:trPr>
          <w:trHeight w:val="436"/>
        </w:trPr>
        <w:tc>
          <w:tcPr>
            <w:tcW w:w="740" w:type="dxa"/>
            <w:vAlign w:val="bottom"/>
          </w:tcPr>
          <w:p>
            <w:pPr>
              <w:jc w:val="right"/>
              <w:spacing w:after="0"/>
              <w:rPr>
                <w:sz w:val="20"/>
                <w:szCs w:val="20"/>
                <w:color w:val="auto"/>
              </w:rPr>
            </w:pPr>
            <w:r>
              <w:rPr>
                <w:rFonts w:ascii="Arial" w:cs="Arial" w:eastAsia="Arial" w:hAnsi="Arial"/>
                <w:sz w:val="14"/>
                <w:szCs w:val="14"/>
                <w:color w:val="auto"/>
              </w:rPr>
              <w:t>787,850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28,098</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1"/>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(70,112)</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(70,112)</w:t>
            </w:r>
          </w:p>
        </w:tc>
        <w:tc>
          <w:tcPr>
            <w:tcW w:w="0" w:type="dxa"/>
            <w:vAlign w:val="bottom"/>
          </w:tcPr>
          <w:p>
            <w:pPr>
              <w:spacing w:after="0"/>
              <w:rPr>
                <w:sz w:val="1"/>
                <w:szCs w:val="1"/>
                <w:color w:val="auto"/>
              </w:rPr>
            </w:pPr>
          </w:p>
        </w:tc>
      </w:tr>
      <w:tr>
        <w:trPr>
          <w:trHeight w:val="547"/>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22,597</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22,597</w:t>
            </w:r>
          </w:p>
        </w:tc>
        <w:tc>
          <w:tcPr>
            <w:tcW w:w="0" w:type="dxa"/>
            <w:vAlign w:val="bottom"/>
          </w:tcPr>
          <w:p>
            <w:pPr>
              <w:spacing w:after="0"/>
              <w:rPr>
                <w:sz w:val="1"/>
                <w:szCs w:val="1"/>
                <w:color w:val="auto"/>
              </w:rPr>
            </w:pPr>
          </w:p>
        </w:tc>
      </w:tr>
      <w:tr>
        <w:trPr>
          <w:trHeight w:val="145"/>
        </w:trPr>
        <w:tc>
          <w:tcPr>
            <w:tcW w:w="9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center"/>
              <w:ind w:left="390"/>
              <w:spacing w:after="0" w:line="145" w:lineRule="exact"/>
              <w:rPr>
                <w:sz w:val="20"/>
                <w:szCs w:val="20"/>
                <w:color w:val="auto"/>
              </w:rPr>
            </w:pPr>
            <w:r>
              <w:rPr>
                <w:rFonts w:ascii="Arial" w:cs="Arial" w:eastAsia="Arial" w:hAnsi="Arial"/>
                <w:sz w:val="14"/>
                <w:szCs w:val="14"/>
                <w:color w:val="auto"/>
                <w:w w:val="99"/>
              </w:rPr>
              <w:t>—</w:t>
            </w:r>
          </w:p>
        </w:tc>
        <w:tc>
          <w:tcPr>
            <w:tcW w:w="102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189,474</w:t>
            </w:r>
          </w:p>
        </w:tc>
        <w:tc>
          <w:tcPr>
            <w:tcW w:w="9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209,536</w:t>
            </w:r>
          </w:p>
        </w:tc>
        <w:tc>
          <w:tcPr>
            <w:tcW w:w="0" w:type="dxa"/>
            <w:vAlign w:val="bottom"/>
          </w:tcPr>
          <w:p>
            <w:pPr>
              <w:spacing w:after="0"/>
              <w:rPr>
                <w:sz w:val="1"/>
                <w:szCs w:val="1"/>
                <w:color w:val="auto"/>
              </w:rPr>
            </w:pPr>
          </w:p>
        </w:tc>
      </w:tr>
      <w:tr>
        <w:trPr>
          <w:trHeight w:val="179"/>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center"/>
              <w:ind w:left="370"/>
              <w:spacing w:after="0"/>
              <w:rPr>
                <w:sz w:val="20"/>
                <w:szCs w:val="20"/>
                <w:color w:val="auto"/>
              </w:rPr>
            </w:pPr>
            <w:r>
              <w:rPr>
                <w:rFonts w:ascii="Arial" w:cs="Arial" w:eastAsia="Arial" w:hAnsi="Arial"/>
                <w:sz w:val="14"/>
                <w:szCs w:val="14"/>
                <w:color w:val="auto"/>
                <w:w w:val="90"/>
              </w:rPr>
              <w:t>(4,868)</w:t>
            </w: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581"/>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rPr>
              <w:t>1,727</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1,727</w:t>
            </w:r>
          </w:p>
        </w:tc>
        <w:tc>
          <w:tcPr>
            <w:tcW w:w="0" w:type="dxa"/>
            <w:vAlign w:val="bottom"/>
          </w:tcPr>
          <w:p>
            <w:pPr>
              <w:spacing w:after="0"/>
              <w:rPr>
                <w:sz w:val="1"/>
                <w:szCs w:val="1"/>
                <w:color w:val="auto"/>
              </w:rPr>
            </w:pPr>
          </w:p>
        </w:tc>
      </w:tr>
      <w:tr>
        <w:trPr>
          <w:trHeight w:val="436"/>
        </w:trPr>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center"/>
              <w:ind w:left="39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(24,503)</w:t>
            </w:r>
          </w:p>
        </w:tc>
        <w:tc>
          <w:tcPr>
            <w:tcW w:w="0" w:type="dxa"/>
            <w:vAlign w:val="bottom"/>
          </w:tcPr>
          <w:p>
            <w:pPr>
              <w:spacing w:after="0"/>
              <w:rPr>
                <w:sz w:val="1"/>
                <w:szCs w:val="1"/>
                <w:color w:val="auto"/>
              </w:rPr>
            </w:pPr>
          </w:p>
        </w:tc>
      </w:tr>
      <w:tr>
        <w:trPr>
          <w:trHeight w:val="275"/>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center"/>
              <w:ind w:left="49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(269,302)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(269,302)</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40" w:type="dxa"/>
            <w:vAlign w:val="bottom"/>
          </w:tcPr>
          <w:p>
            <w:pPr>
              <w:jc w:val="right"/>
              <w:spacing w:after="0"/>
              <w:rPr>
                <w:sz w:val="20"/>
                <w:szCs w:val="20"/>
                <w:color w:val="auto"/>
              </w:rPr>
            </w:pPr>
            <w:r>
              <w:rPr>
                <w:rFonts w:ascii="Arial" w:cs="Arial" w:eastAsia="Arial" w:hAnsi="Arial"/>
                <w:sz w:val="14"/>
                <w:szCs w:val="14"/>
                <w:color w:val="auto"/>
                <w:w w:val="92"/>
              </w:rPr>
              <w:t>124,119,531</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   1,241</w:t>
            </w:r>
          </w:p>
        </w:tc>
        <w:tc>
          <w:tcPr>
            <w:tcW w:w="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color w:val="auto"/>
                <w:w w:val="89"/>
              </w:rPr>
              <w:t>$2,431,754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center"/>
              <w:ind w:left="370"/>
              <w:spacing w:after="0"/>
              <w:rPr>
                <w:sz w:val="20"/>
                <w:szCs w:val="20"/>
                <w:color w:val="auto"/>
              </w:rPr>
            </w:pPr>
            <w:r>
              <w:rPr>
                <w:rFonts w:ascii="Arial" w:cs="Arial" w:eastAsia="Arial" w:hAnsi="Arial"/>
                <w:sz w:val="14"/>
                <w:szCs w:val="14"/>
                <w:color w:val="auto"/>
                <w:w w:val="90"/>
              </w:rPr>
              <w:t>(6,352)</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    (337,566)</w:t>
            </w:r>
          </w:p>
        </w:tc>
        <w:tc>
          <w:tcPr>
            <w:tcW w:w="920" w:type="dxa"/>
            <w:vAlign w:val="bottom"/>
          </w:tcPr>
          <w:p>
            <w:pPr>
              <w:jc w:val="right"/>
              <w:spacing w:after="0"/>
              <w:rPr>
                <w:sz w:val="20"/>
                <w:szCs w:val="20"/>
                <w:color w:val="auto"/>
              </w:rPr>
            </w:pPr>
            <w:r>
              <w:rPr>
                <w:rFonts w:ascii="Arial" w:cs="Arial" w:eastAsia="Arial" w:hAnsi="Arial"/>
                <w:sz w:val="14"/>
                <w:szCs w:val="14"/>
                <w:color w:val="auto"/>
                <w:w w:val="93"/>
              </w:rPr>
              <w:t>$2,372,604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-4097655</wp:posOffset>
            </wp:positionV>
            <wp:extent cx="7249795" cy="276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795" cy="27686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-3636645</wp:posOffset>
            </wp:positionV>
            <wp:extent cx="7249795" cy="1841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795" cy="18415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-3267710</wp:posOffset>
            </wp:positionV>
            <wp:extent cx="7249795" cy="276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795" cy="27686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-2622550</wp:posOffset>
            </wp:positionV>
            <wp:extent cx="7249795" cy="368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795" cy="36893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-1977390</wp:posOffset>
            </wp:positionV>
            <wp:extent cx="7249795" cy="3689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9795" cy="36893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-1239520</wp:posOffset>
            </wp:positionV>
            <wp:extent cx="7249795" cy="92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795" cy="9207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-1055370</wp:posOffset>
            </wp:positionV>
            <wp:extent cx="7249795"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9795" cy="36893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-410210</wp:posOffset>
            </wp:positionV>
            <wp:extent cx="7249795" cy="1841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795"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20"/>
            <w:col w:w="5740"/>
          </w:cols>
          <w:pgMar w:left="240" w:top="452" w:right="279" w:bottom="1440" w:gutter="0" w:footer="0" w:header="0"/>
          <w:type w:val="continuous"/>
        </w:sect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2"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8"/>
        </w:trPr>
        <w:tc>
          <w:tcPr>
            <w:tcW w:w="8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0"/>
              <w:spacing w:after="0" w:line="13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0"/>
              <w:spacing w:after="0" w:line="139"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0"/>
              <w:spacing w:after="0" w:line="139"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44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209,536</w:t>
            </w:r>
          </w:p>
        </w:tc>
        <w:tc>
          <w:tcPr>
            <w:tcW w:w="2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195,896</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185,556</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133,457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115,076</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95,232</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6,592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5,997</w:t>
            </w: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Loss (gain) on real estate transactions and earnout from prior acquisitions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2,500</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Property casualty loss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1,724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Loss on extinguishment of debt related to portfolio acquisition</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9,153</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Gain on sale of real estate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Non-cash interest expense related to amortization of discount on equity component of exchangeable senior notes</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2,683</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Non-cash interest expense related to amortization of premium on notes payable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(2,409)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(3,079)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Compensation expense related to stock-based awards</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4,984</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Gain on sale of real estate assets and purchase of joint venture partners’ interests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(2,857)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(3,438)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(46,032)</w:t>
            </w:r>
          </w:p>
        </w:tc>
        <w:tc>
          <w:tcPr>
            <w:tcW w:w="0" w:type="dxa"/>
            <w:vAlign w:val="bottom"/>
          </w:tcPr>
          <w:p>
            <w:pPr>
              <w:spacing w:after="0"/>
              <w:rPr>
                <w:sz w:val="1"/>
                <w:szCs w:val="1"/>
                <w:color w:val="auto"/>
              </w:rPr>
            </w:pPr>
          </w:p>
        </w:tc>
      </w:tr>
      <w:tr>
        <w:trPr>
          <w:trHeight w:val="145"/>
        </w:trPr>
        <w:tc>
          <w:tcPr>
            <w:tcW w:w="8440" w:type="dxa"/>
            <w:vAlign w:val="bottom"/>
          </w:tcPr>
          <w:p>
            <w:pPr>
              <w:ind w:left="560"/>
              <w:spacing w:after="0" w:line="145" w:lineRule="exact"/>
              <w:rPr>
                <w:sz w:val="20"/>
                <w:szCs w:val="20"/>
                <w:color w:val="auto"/>
              </w:rPr>
            </w:pPr>
            <w:r>
              <w:rPr>
                <w:rFonts w:ascii="Arial" w:cs="Arial" w:eastAsia="Arial" w:hAnsi="Arial"/>
                <w:sz w:val="14"/>
                <w:szCs w:val="14"/>
                <w:color w:val="auto"/>
              </w:rPr>
              <w:t>Distributions from unconsolidated real estate ventures in excess of earnings</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4,510</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4,838</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860"/>
              <w:spacing w:after="0" w:line="145" w:lineRule="exact"/>
              <w:rPr>
                <w:sz w:val="20"/>
                <w:szCs w:val="20"/>
                <w:color w:val="auto"/>
              </w:rPr>
            </w:pPr>
            <w:r>
              <w:rPr>
                <w:rFonts w:ascii="Arial" w:cs="Arial" w:eastAsia="Arial" w:hAnsi="Arial"/>
                <w:sz w:val="14"/>
                <w:szCs w:val="14"/>
                <w:color w:val="auto"/>
              </w:rPr>
              <w:t>Receivables from related parties and affiliated real estate joint ventures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(1,436)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71</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860"/>
              <w:spacing w:after="0" w:line="145"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(1,498)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8,725</w:t>
            </w:r>
          </w:p>
        </w:tc>
        <w:tc>
          <w:tcPr>
            <w:tcW w:w="0" w:type="dxa"/>
            <w:vAlign w:val="bottom"/>
          </w:tcPr>
          <w:p>
            <w:pPr>
              <w:spacing w:after="0"/>
              <w:rPr>
                <w:sz w:val="1"/>
                <w:szCs w:val="1"/>
                <w:color w:val="auto"/>
              </w:rPr>
            </w:pPr>
          </w:p>
        </w:tc>
      </w:tr>
      <w:tr>
        <w:trPr>
          <w:trHeight w:val="145"/>
        </w:trPr>
        <w:tc>
          <w:tcPr>
            <w:tcW w:w="8440" w:type="dxa"/>
            <w:vAlign w:val="bottom"/>
          </w:tcPr>
          <w:p>
            <w:pPr>
              <w:ind w:left="860"/>
              <w:spacing w:after="0" w:line="145" w:lineRule="exact"/>
              <w:rPr>
                <w:sz w:val="20"/>
                <w:szCs w:val="20"/>
                <w:color w:val="auto"/>
              </w:rPr>
            </w:pPr>
            <w:r>
              <w:rPr>
                <w:rFonts w:ascii="Arial" w:cs="Arial" w:eastAsia="Arial" w:hAnsi="Arial"/>
                <w:sz w:val="14"/>
                <w:szCs w:val="14"/>
                <w:color w:val="auto"/>
              </w:rPr>
              <w:t>Accounts payable and accrued expenses</w:t>
            </w:r>
          </w:p>
        </w:tc>
        <w:tc>
          <w:tcPr>
            <w:tcW w:w="12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4,920</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8,302</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860"/>
              <w:spacing w:after="0" w:line="145" w:lineRule="exact"/>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11,928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6,640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(5,858)</w:t>
            </w:r>
          </w:p>
        </w:tc>
        <w:tc>
          <w:tcPr>
            <w:tcW w:w="0" w:type="dxa"/>
            <w:vAlign w:val="bottom"/>
          </w:tcPr>
          <w:p>
            <w:pPr>
              <w:spacing w:after="0"/>
              <w:rPr>
                <w:sz w:val="1"/>
                <w:szCs w:val="1"/>
                <w:color w:val="auto"/>
              </w:rPr>
            </w:pPr>
          </w:p>
        </w:tc>
      </w:tr>
      <w:tr>
        <w:trPr>
          <w:trHeight w:val="158"/>
        </w:trPr>
        <w:tc>
          <w:tcPr>
            <w:tcW w:w="8440" w:type="dxa"/>
            <w:vAlign w:val="bottom"/>
          </w:tcPr>
          <w:p>
            <w:pPr>
              <w:ind w:left="560"/>
              <w:spacing w:after="0" w:line="151"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367,329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337,581</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271,259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Acquisition of SmartStop, net of cash acquired</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w w:val="94"/>
              </w:rPr>
              <w:t>(1,200,853)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Acquisition of real estate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(349,897)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w w:val="96"/>
              </w:rPr>
              <w:t>(503,538)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6"/>
              </w:rPr>
              <w:t>(349,959)</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Development and redevelopment of real estate assets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(26,931)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(23,528)</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(6,466)</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Proceeds from sale of real estate assets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6,964</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Change in restricted cash</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(3,794)</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Investment in unconsolidated real estate ventures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(3,434)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Return of investment in unconsolidated real estate ventures</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45,080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Purchase/issuance of notes receivable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(84,331)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(29,258)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Purchase of equipment and fixtures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(7,380)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(4,830)</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(6,524)</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44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4"/>
              </w:rPr>
              <w:t>(1,625,664)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w w:val="96"/>
              </w:rPr>
              <w:t>(564,948)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6"/>
              </w:rPr>
              <w:t>(366,976)</w:t>
            </w:r>
          </w:p>
        </w:tc>
        <w:tc>
          <w:tcPr>
            <w:tcW w:w="0" w:type="dxa"/>
            <w:vAlign w:val="bottom"/>
          </w:tcPr>
          <w:p>
            <w:pPr>
              <w:spacing w:after="0"/>
              <w:rPr>
                <w:sz w:val="1"/>
                <w:szCs w:val="1"/>
                <w:color w:val="auto"/>
              </w:rPr>
            </w:pPr>
          </w:p>
        </w:tc>
      </w:tr>
      <w:tr>
        <w:trPr>
          <w:trHeight w:val="152"/>
        </w:trPr>
        <w:tc>
          <w:tcPr>
            <w:tcW w:w="8440" w:type="dxa"/>
            <w:vAlign w:val="bottom"/>
          </w:tcPr>
          <w:p>
            <w:pPr>
              <w:spacing w:after="0" w:line="151"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Proceeds from the sale of common stock, net of offering costs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446,877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205,988</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Net proceeds from the issuance of exchangeable senior notes</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563,500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246,250</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Repurchase of exchangeable senior notes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(227,212)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Proceeds from notes payable and lines of credit</w:t>
            </w:r>
          </w:p>
        </w:tc>
        <w:tc>
          <w:tcPr>
            <w:tcW w:w="12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w w:val="99"/>
              </w:rPr>
              <w:t>2,121,802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917,664</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582,185</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Principal payments on notes payable and lines of credit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4"/>
              </w:rPr>
              <w:t>(1,313,570)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w w:val="96"/>
              </w:rPr>
              <w:t>(533,128)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6"/>
              </w:rPr>
              <w:t>(664,372)</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Deferred financing costs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(9,779)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(5,305)</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(7,975)</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Net proceeds from exercise of stock options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3,095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5,896</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Purchase of interest rate cap</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(2,884)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Redemption of Operating Partnership units held by noncontrolling interests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(4,794)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Dividends paid on common stock</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(269,302)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96"/>
              </w:rPr>
              <w:t>(210,091)</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6"/>
              </w:rPr>
              <w:t>(163,014)</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(24,503)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(19,134)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(13,262)</w:t>
            </w:r>
          </w:p>
        </w:tc>
        <w:tc>
          <w:tcPr>
            <w:tcW w:w="0" w:type="dxa"/>
            <w:vAlign w:val="bottom"/>
          </w:tcPr>
          <w:p>
            <w:pPr>
              <w:spacing w:after="0"/>
              <w:rPr>
                <w:sz w:val="1"/>
                <w:szCs w:val="1"/>
                <w:color w:val="auto"/>
              </w:rPr>
            </w:pPr>
          </w:p>
        </w:tc>
      </w:tr>
      <w:tr>
        <w:trPr>
          <w:trHeight w:val="158"/>
        </w:trPr>
        <w:tc>
          <w:tcPr>
            <w:tcW w:w="8440" w:type="dxa"/>
            <w:vAlign w:val="bottom"/>
          </w:tcPr>
          <w:p>
            <w:pPr>
              <w:ind w:left="560"/>
              <w:spacing w:after="0" w:line="151"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9"/>
              </w:rPr>
              <w:t>1,286,471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148,307</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191,655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28,136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(79,060)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95,938</w:t>
            </w:r>
          </w:p>
        </w:tc>
        <w:tc>
          <w:tcPr>
            <w:tcW w:w="0" w:type="dxa"/>
            <w:vAlign w:val="bottom"/>
          </w:tcPr>
          <w:p>
            <w:pPr>
              <w:spacing w:after="0"/>
              <w:rPr>
                <w:sz w:val="1"/>
                <w:szCs w:val="1"/>
                <w:color w:val="auto"/>
              </w:rPr>
            </w:pPr>
          </w:p>
        </w:tc>
      </w:tr>
      <w:tr>
        <w:trPr>
          <w:trHeight w:val="145"/>
        </w:trPr>
        <w:tc>
          <w:tcPr>
            <w:tcW w:w="8440" w:type="dxa"/>
            <w:vAlign w:val="bottom"/>
          </w:tcPr>
          <w:p>
            <w:pPr>
              <w:spacing w:after="0" w:line="145" w:lineRule="exact"/>
              <w:rPr>
                <w:sz w:val="20"/>
                <w:szCs w:val="20"/>
                <w:color w:val="auto"/>
              </w:rPr>
            </w:pPr>
            <w:r>
              <w:rPr>
                <w:rFonts w:ascii="Arial" w:cs="Arial" w:eastAsia="Arial" w:hAnsi="Arial"/>
                <w:sz w:val="14"/>
                <w:szCs w:val="14"/>
                <w:color w:val="auto"/>
              </w:rPr>
              <w:t>Cash and cash equivalents, beginning of the period</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47,663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126,723</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30,785</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Cash and cash equivalents, end of the period</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75,799</w:t>
            </w:r>
          </w:p>
        </w:tc>
        <w:tc>
          <w:tcPr>
            <w:tcW w:w="2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47,663</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126,723</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schedule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paid</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89,507</w:t>
            </w:r>
          </w:p>
        </w:tc>
        <w:tc>
          <w:tcPr>
            <w:tcW w:w="2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75,218</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66,705</w:t>
            </w:r>
          </w:p>
        </w:tc>
        <w:tc>
          <w:tcPr>
            <w:tcW w:w="0" w:type="dxa"/>
            <w:vAlign w:val="bottom"/>
          </w:tcPr>
          <w:p>
            <w:pPr>
              <w:spacing w:after="0"/>
              <w:rPr>
                <w:sz w:val="1"/>
                <w:szCs w:val="1"/>
                <w:color w:val="auto"/>
              </w:rPr>
            </w:pPr>
          </w:p>
        </w:tc>
      </w:tr>
      <w:tr>
        <w:trPr>
          <w:trHeight w:val="145"/>
        </w:trPr>
        <w:tc>
          <w:tcPr>
            <w:tcW w:w="8440" w:type="dxa"/>
            <w:vAlign w:val="bottom"/>
          </w:tcPr>
          <w:p>
            <w:pPr>
              <w:spacing w:after="0" w:line="145" w:lineRule="exact"/>
              <w:rPr>
                <w:sz w:val="20"/>
                <w:szCs w:val="20"/>
                <w:color w:val="auto"/>
              </w:rPr>
            </w:pPr>
            <w:r>
              <w:rPr>
                <w:rFonts w:ascii="Arial" w:cs="Arial" w:eastAsia="Arial" w:hAnsi="Arial"/>
                <w:sz w:val="14"/>
                <w:szCs w:val="14"/>
                <w:color w:val="auto"/>
              </w:rPr>
              <w:t>Income taxes paid</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3,418</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spacing w:after="0" w:line="145" w:lineRule="exact"/>
              <w:rPr>
                <w:sz w:val="20"/>
                <w:szCs w:val="20"/>
                <w:color w:val="auto"/>
              </w:rPr>
            </w:pPr>
            <w:r>
              <w:rPr>
                <w:rFonts w:ascii="Arial" w:cs="Arial" w:eastAsia="Arial" w:hAnsi="Arial"/>
                <w:sz w:val="14"/>
                <w:szCs w:val="14"/>
                <w:color w:val="auto"/>
              </w:rPr>
              <w:t>Redemption of Operating Partnership units held by noncontrolling interests for common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Noncontrolling interests in Operating Partnership</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(28,106)</w:t>
            </w:r>
          </w:p>
        </w:tc>
        <w:tc>
          <w:tcPr>
            <w:tcW w:w="2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10,638</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Common stock and paid-in capital</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28,106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(10,638)</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Tax effect from vesting of restricted stock grants and option exercises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Other assets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1,727</w:t>
            </w:r>
          </w:p>
        </w:tc>
        <w:tc>
          <w:tcPr>
            <w:tcW w:w="2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3,613</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Paid-in capital</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(3,613)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45"/>
        </w:trPr>
        <w:tc>
          <w:tcPr>
            <w:tcW w:w="8440" w:type="dxa"/>
            <w:vAlign w:val="bottom"/>
          </w:tcPr>
          <w:p>
            <w:pPr>
              <w:spacing w:after="0" w:line="145" w:lineRule="exact"/>
              <w:rPr>
                <w:sz w:val="20"/>
                <w:szCs w:val="20"/>
                <w:color w:val="auto"/>
              </w:rPr>
            </w:pPr>
            <w:r>
              <w:rPr>
                <w:rFonts w:ascii="Arial" w:cs="Arial" w:eastAsia="Arial" w:hAnsi="Arial"/>
                <w:sz w:val="14"/>
                <w:szCs w:val="14"/>
                <w:color w:val="auto"/>
              </w:rPr>
              <w:t>Acquisitions of real estate assets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Real estate assets, net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158,009</w:t>
            </w:r>
          </w:p>
        </w:tc>
        <w:tc>
          <w:tcPr>
            <w:tcW w:w="2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77,158</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331,230</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Notes payable assumed</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(38,347)</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6"/>
              </w:rPr>
              <w:t>(110,803)</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Notes payable assumed and immediately defeased</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(98,960)</w:t>
            </w:r>
          </w:p>
        </w:tc>
        <w:tc>
          <w:tcPr>
            <w:tcW w:w="0" w:type="dxa"/>
            <w:vAlign w:val="bottom"/>
          </w:tcPr>
          <w:p>
            <w:pPr>
              <w:spacing w:after="0"/>
              <w:rPr>
                <w:sz w:val="1"/>
                <w:szCs w:val="1"/>
                <w:color w:val="auto"/>
              </w:rPr>
            </w:pPr>
          </w:p>
        </w:tc>
      </w:tr>
      <w:tr>
        <w:trPr>
          <w:trHeight w:val="145"/>
        </w:trPr>
        <w:tc>
          <w:tcPr>
            <w:tcW w:w="8440" w:type="dxa"/>
            <w:vAlign w:val="bottom"/>
          </w:tcPr>
          <w:p>
            <w:pPr>
              <w:ind w:left="280"/>
              <w:spacing w:after="0" w:line="145" w:lineRule="exact"/>
              <w:rPr>
                <w:sz w:val="20"/>
                <w:szCs w:val="20"/>
                <w:color w:val="auto"/>
              </w:rPr>
            </w:pPr>
            <w:r>
              <w:rPr>
                <w:rFonts w:ascii="Arial" w:cs="Arial" w:eastAsia="Arial" w:hAnsi="Arial"/>
                <w:sz w:val="14"/>
                <w:szCs w:val="14"/>
                <w:color w:val="auto"/>
              </w:rPr>
              <w:t>Value of Operating Partnership units issued</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(142,399)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(38,811)</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6"/>
              </w:rPr>
              <w:t>(119,216)</w:t>
            </w:r>
          </w:p>
        </w:tc>
        <w:tc>
          <w:tcPr>
            <w:tcW w:w="0" w:type="dxa"/>
            <w:vAlign w:val="bottom"/>
          </w:tcPr>
          <w:p>
            <w:pPr>
              <w:spacing w:after="0"/>
              <w:rPr>
                <w:sz w:val="1"/>
                <w:szCs w:val="1"/>
                <w:color w:val="auto"/>
              </w:rPr>
            </w:pPr>
          </w:p>
        </w:tc>
      </w:tr>
      <w:tr>
        <w:trPr>
          <w:trHeight w:val="145"/>
        </w:trPr>
        <w:tc>
          <w:tcPr>
            <w:tcW w:w="8440" w:type="dxa"/>
            <w:vAlign w:val="bottom"/>
            <w:shd w:val="clear" w:color="auto" w:fill="CCEEFF"/>
          </w:tcPr>
          <w:p>
            <w:pPr>
              <w:ind w:left="280"/>
              <w:spacing w:after="0" w:line="145" w:lineRule="exact"/>
              <w:rPr>
                <w:sz w:val="20"/>
                <w:szCs w:val="20"/>
                <w:color w:val="auto"/>
              </w:rPr>
            </w:pPr>
            <w:r>
              <w:rPr>
                <w:rFonts w:ascii="Arial" w:cs="Arial" w:eastAsia="Arial" w:hAnsi="Arial"/>
                <w:sz w:val="14"/>
                <w:szCs w:val="14"/>
                <w:color w:val="auto"/>
              </w:rPr>
              <w:t>Receivables from related parties and affiliated real estate joint ventures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(15,610)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2"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42" w:lineRule="exact"/>
        <w:rPr>
          <w:sz w:val="20"/>
          <w:szCs w:val="20"/>
          <w:color w:val="auto"/>
        </w:rPr>
      </w:pPr>
    </w:p>
    <w:p>
      <w:pPr>
        <w:ind w:left="460" w:hanging="454"/>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continues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1"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The Company invests in stores by acquiring wholly-owned stores or by acquiring an equity interest in real estate entities. At December 31, 2015, the Company had direct and indirect equity interests in 999 storage facilities. In addition, the Company managed 348 stores for third parties bringing the total number of stores which it owns and/or manages to 1,347. These stores are located in 36 states, Washington, D.C. and Puerto Rico.</w:t>
      </w:r>
    </w:p>
    <w:p>
      <w:pPr>
        <w:spacing w:after="0" w:line="155" w:lineRule="exact"/>
        <w:rPr>
          <w:sz w:val="20"/>
          <w:szCs w:val="20"/>
          <w:color w:val="auto"/>
        </w:rPr>
      </w:pPr>
    </w:p>
    <w:p>
      <w:pPr>
        <w:ind w:right="20" w:firstLine="457"/>
        <w:spacing w:after="0" w:line="292" w:lineRule="auto"/>
        <w:rPr>
          <w:sz w:val="20"/>
          <w:szCs w:val="20"/>
          <w:color w:val="auto"/>
        </w:rPr>
      </w:pPr>
      <w:r>
        <w:rPr>
          <w:rFonts w:ascii="Arial" w:cs="Arial" w:eastAsia="Arial" w:hAnsi="Arial"/>
          <w:sz w:val="16"/>
          <w:szCs w:val="16"/>
          <w:color w:val="auto"/>
        </w:rPr>
        <w:t>The Company operates in three distinct segments: (1) rental operations; (2) tenant reinsurance; and (3) property management, acquisition and development. The rental operations activities include rental operations of stores in which we have an ownership interest. No single tenant accounts for more than 5.0% of rental income. Tenant reinsurance activities include the reinsurance of risks relating to the loss of goods stored by tenants in the Company’s stores. The Company’s property management, acquisition and development activities include managing, acquiring, developing and selling stores.</w:t>
      </w:r>
    </w:p>
    <w:p>
      <w:pPr>
        <w:spacing w:after="0" w:line="300" w:lineRule="exact"/>
        <w:rPr>
          <w:sz w:val="20"/>
          <w:szCs w:val="20"/>
          <w:color w:val="auto"/>
        </w:rPr>
      </w:pPr>
    </w:p>
    <w:p>
      <w:pPr>
        <w:ind w:right="6380" w:firstLine="6"/>
        <w:spacing w:after="0" w:line="370" w:lineRule="auto"/>
        <w:tabs>
          <w:tab w:leader="none" w:pos="44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6"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2"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The Company has concluded that under certain circumstances when the Company enters into arrangements for the formation of joint ventures,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Additionally, the Operating Partnership has notes payable to three trusts that are VIEs under condition (ii)(a) above. Since the Operating Partnership is not the primary beneficiary of the trusts, these VIEs are not consolidated.</w:t>
      </w:r>
    </w:p>
    <w:p>
      <w:pPr>
        <w:spacing w:after="0" w:line="171" w:lineRule="exact"/>
        <w:rPr>
          <w:sz w:val="20"/>
          <w:szCs w:val="20"/>
          <w:color w:val="auto"/>
        </w:rPr>
      </w:pPr>
    </w:p>
    <w:p>
      <w:pPr>
        <w:ind w:firstLine="457"/>
        <w:spacing w:after="0" w:line="363" w:lineRule="auto"/>
        <w:rPr>
          <w:sz w:val="20"/>
          <w:szCs w:val="20"/>
          <w:color w:val="auto"/>
        </w:rPr>
      </w:pPr>
      <w:r>
        <w:rPr>
          <w:rFonts w:ascii="Arial" w:cs="Arial" w:eastAsia="Arial" w:hAnsi="Arial"/>
          <w:sz w:val="15"/>
          <w:szCs w:val="15"/>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6"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0"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63"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63"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2015,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2"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80" w:firstLine="457"/>
        <w:spacing w:after="0" w:line="263"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2015, aggregated by the level in the fair value hierarchy within which those measurements fall.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1"/>
              </w:rPr>
              <w:t>Fair Value Measurements at Reporting Date Using</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40" w:type="dxa"/>
            <w:vAlign w:val="bottom"/>
            <w:gridSpan w:val="3"/>
          </w:tcPr>
          <w:p>
            <w:pPr>
              <w:spacing w:after="0" w:line="116" w:lineRule="exact"/>
              <w:rPr>
                <w:sz w:val="20"/>
                <w:szCs w:val="20"/>
                <w:color w:val="auto"/>
              </w:rPr>
            </w:pPr>
            <w:r>
              <w:rPr>
                <w:rFonts w:ascii="Arial" w:cs="Arial" w:eastAsia="Arial" w:hAnsi="Arial"/>
                <w:sz w:val="13"/>
                <w:szCs w:val="13"/>
                <w:b w:val="1"/>
                <w:bCs w:val="1"/>
                <w:color w:val="auto"/>
              </w:rPr>
              <w:t>Quoted Prices in Active</w:t>
            </w:r>
          </w:p>
        </w:tc>
        <w:tc>
          <w:tcPr>
            <w:tcW w:w="2020" w:type="dxa"/>
            <w:vAlign w:val="bottom"/>
            <w:gridSpan w:val="3"/>
          </w:tcPr>
          <w:p>
            <w:pPr>
              <w:ind w:left="20"/>
              <w:spacing w:after="0" w:line="116" w:lineRule="exact"/>
              <w:rPr>
                <w:sz w:val="20"/>
                <w:szCs w:val="20"/>
                <w:color w:val="auto"/>
              </w:rPr>
            </w:pPr>
            <w:r>
              <w:rPr>
                <w:rFonts w:ascii="Arial" w:cs="Arial" w:eastAsia="Arial" w:hAnsi="Arial"/>
                <w:sz w:val="13"/>
                <w:szCs w:val="13"/>
                <w:b w:val="1"/>
                <w:bCs w:val="1"/>
                <w:color w:val="auto"/>
              </w:rPr>
              <w:t>Significant Other</w:t>
            </w:r>
          </w:p>
        </w:tc>
        <w:tc>
          <w:tcPr>
            <w:tcW w:w="200" w:type="dxa"/>
            <w:vAlign w:val="bottom"/>
          </w:tcPr>
          <w:p>
            <w:pPr>
              <w:spacing w:after="0"/>
              <w:rPr>
                <w:sz w:val="10"/>
                <w:szCs w:val="10"/>
                <w:color w:val="auto"/>
              </w:rPr>
            </w:pPr>
          </w:p>
        </w:tc>
        <w:tc>
          <w:tcPr>
            <w:tcW w:w="1080" w:type="dxa"/>
            <w:vAlign w:val="bottom"/>
          </w:tcPr>
          <w:p>
            <w:pPr>
              <w:jc w:val="center"/>
              <w:ind w:right="122"/>
              <w:spacing w:after="0" w:line="116" w:lineRule="exact"/>
              <w:rPr>
                <w:sz w:val="20"/>
                <w:szCs w:val="20"/>
                <w:color w:val="auto"/>
              </w:rPr>
            </w:pPr>
            <w:r>
              <w:rPr>
                <w:rFonts w:ascii="Arial" w:cs="Arial" w:eastAsia="Arial" w:hAnsi="Arial"/>
                <w:sz w:val="13"/>
                <w:szCs w:val="13"/>
                <w:b w:val="1"/>
                <w:bCs w:val="1"/>
                <w:color w:val="auto"/>
                <w:w w:val="96"/>
              </w:rPr>
              <w:t>Significant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2"/>
                <w:szCs w:val="1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440" w:type="dxa"/>
            <w:vAlign w:val="bottom"/>
          </w:tcPr>
          <w:p>
            <w:pPr>
              <w:spacing w:after="0"/>
              <w:rPr>
                <w:sz w:val="12"/>
                <w:szCs w:val="12"/>
                <w:color w:val="auto"/>
              </w:rPr>
            </w:pPr>
          </w:p>
        </w:tc>
        <w:tc>
          <w:tcPr>
            <w:tcW w:w="2340" w:type="dxa"/>
            <w:vAlign w:val="bottom"/>
            <w:gridSpan w:val="3"/>
          </w:tcPr>
          <w:p>
            <w:pPr>
              <w:jc w:val="center"/>
              <w:ind w:right="940"/>
              <w:spacing w:after="0" w:line="145" w:lineRule="exact"/>
              <w:rPr>
                <w:sz w:val="20"/>
                <w:szCs w:val="20"/>
                <w:color w:val="auto"/>
              </w:rPr>
            </w:pPr>
            <w:r>
              <w:rPr>
                <w:rFonts w:ascii="Arial" w:cs="Arial" w:eastAsia="Arial" w:hAnsi="Arial"/>
                <w:sz w:val="14"/>
                <w:szCs w:val="14"/>
                <w:b w:val="1"/>
                <w:bCs w:val="1"/>
                <w:color w:val="auto"/>
                <w:w w:val="93"/>
              </w:rPr>
              <w:t>Markets for Identical</w:t>
            </w:r>
          </w:p>
        </w:tc>
        <w:tc>
          <w:tcPr>
            <w:tcW w:w="20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Observable Inputs</w:t>
            </w:r>
          </w:p>
        </w:tc>
        <w:tc>
          <w:tcPr>
            <w:tcW w:w="13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68"/>
        </w:trPr>
        <w:tc>
          <w:tcPr>
            <w:tcW w:w="32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6"/>
              </w:rPr>
              <w:t>Assets (Level 1)</w:t>
            </w:r>
          </w:p>
        </w:tc>
        <w:tc>
          <w:tcPr>
            <w:tcW w:w="180" w:type="dxa"/>
            <w:vAlign w:val="bottom"/>
          </w:tcPr>
          <w:p>
            <w:pPr>
              <w:spacing w:after="0"/>
              <w:rPr>
                <w:sz w:val="14"/>
                <w:szCs w:val="14"/>
                <w:color w:val="auto"/>
              </w:rPr>
            </w:pPr>
          </w:p>
        </w:tc>
        <w:tc>
          <w:tcPr>
            <w:tcW w:w="18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00" w:type="dxa"/>
            <w:vAlign w:val="bottom"/>
            <w:gridSpan w:val="2"/>
            <w:shd w:val="clear" w:color="auto" w:fill="CCEEFF"/>
          </w:tcPr>
          <w:p>
            <w:pPr>
              <w:spacing w:after="0" w:line="179" w:lineRule="exact"/>
              <w:rPr>
                <w:sz w:val="20"/>
                <w:szCs w:val="20"/>
                <w:color w:val="auto"/>
              </w:rPr>
            </w:pPr>
            <w:r>
              <w:rPr>
                <w:rFonts w:ascii="Arial" w:cs="Arial" w:eastAsia="Arial" w:hAnsi="Arial"/>
                <w:sz w:val="18"/>
                <w:szCs w:val="18"/>
                <w:color w:val="auto"/>
              </w:rPr>
              <w:t>Other assets—Cash Flow Hedge Swap</w:t>
            </w: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4,996</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4,996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line="199" w:lineRule="exact"/>
              <w:rPr>
                <w:sz w:val="20"/>
                <w:szCs w:val="20"/>
                <w:color w:val="auto"/>
              </w:rPr>
            </w:pPr>
            <w:r>
              <w:rPr>
                <w:rFonts w:ascii="Arial" w:cs="Arial" w:eastAsia="Arial" w:hAnsi="Arial"/>
                <w:sz w:val="18"/>
                <w:szCs w:val="18"/>
                <w:color w:val="auto"/>
              </w:rPr>
              <w:t>Other liabilities—Cash Flow Hedge</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Swap Agreements</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(6,991)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(6,991)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60" w:firstLine="457"/>
        <w:spacing w:after="0" w:line="326" w:lineRule="auto"/>
        <w:rPr>
          <w:sz w:val="20"/>
          <w:szCs w:val="20"/>
          <w:color w:val="auto"/>
        </w:rPr>
      </w:pPr>
      <w:r>
        <w:rPr>
          <w:rFonts w:ascii="Arial" w:cs="Arial" w:eastAsia="Arial" w:hAnsi="Arial"/>
          <w:sz w:val="16"/>
          <w:szCs w:val="16"/>
          <w:color w:val="auto"/>
        </w:rPr>
        <w:t>There were no transfers of assets and liabilities between Level 1 and Level 2 during the year ended December 31, 2015. The Company did not have any significant assets or liabilities that are re-measured on a recurring basis using significant unobservable inputs as of December 31, 2015 or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0"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93" w:lineRule="exact"/>
        <w:rPr>
          <w:sz w:val="20"/>
          <w:szCs w:val="20"/>
          <w:color w:val="auto"/>
        </w:rPr>
      </w:pPr>
    </w:p>
    <w:p>
      <w:pPr>
        <w:ind w:right="180" w:firstLine="457"/>
        <w:spacing w:after="0" w:line="250"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93"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 loss on the disposal group classified as held for sale. The operations of assets held for sale or sold during the period are presented as part of normal operations for all periods presented. As of December 31, 2015, the Company had seven stores classified as held for sale. The estimated fair value less selling costs of each of these assets is greater than the carrying value of the assets, and therefore no loss has been recorded.</w:t>
      </w:r>
    </w:p>
    <w:p>
      <w:pPr>
        <w:spacing w:after="0" w:line="163" w:lineRule="exact"/>
        <w:rPr>
          <w:sz w:val="20"/>
          <w:szCs w:val="20"/>
          <w:color w:val="auto"/>
        </w:rPr>
      </w:pPr>
    </w:p>
    <w:p>
      <w:pPr>
        <w:ind w:right="20" w:firstLine="457"/>
        <w:spacing w:after="0" w:line="292" w:lineRule="auto"/>
        <w:rPr>
          <w:sz w:val="20"/>
          <w:szCs w:val="20"/>
          <w:color w:val="auto"/>
        </w:rPr>
      </w:pPr>
      <w:r>
        <w:rPr>
          <w:rFonts w:ascii="Arial" w:cs="Arial" w:eastAsia="Arial" w:hAnsi="Arial"/>
          <w:sz w:val="16"/>
          <w:szCs w:val="16"/>
          <w:color w:val="auto"/>
        </w:rPr>
        <w:t>The Company assesses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the Company did not have any assets or liabilities measured at fair value on a nonrecurring basis.</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2"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0" w:lineRule="exact"/>
        <w:rPr>
          <w:sz w:val="20"/>
          <w:szCs w:val="20"/>
          <w:color w:val="auto"/>
        </w:rPr>
      </w:pPr>
    </w:p>
    <w:p>
      <w:pPr>
        <w:jc w:val="both"/>
        <w:ind w:right="280" w:firstLine="457"/>
        <w:spacing w:after="0" w:line="254"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consolidated balance sheets at December 31, 2015 and 2014, approximate fair value.</w:t>
      </w:r>
    </w:p>
    <w:p>
      <w:pPr>
        <w:spacing w:after="0" w:line="18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fair values of the Company’s notes receivable from Preferred Operating Partnership unit holders and other fixed rate notes receivable was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2014</w:t>
            </w:r>
          </w:p>
        </w:tc>
      </w:tr>
      <w:tr>
        <w:trPr>
          <w:trHeight w:val="120"/>
        </w:trPr>
        <w:tc>
          <w:tcPr>
            <w:tcW w:w="5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720"/>
              <w:spacing w:after="0" w:line="120" w:lineRule="exact"/>
              <w:rPr>
                <w:sz w:val="20"/>
                <w:szCs w:val="20"/>
                <w:color w:val="auto"/>
              </w:rPr>
            </w:pPr>
            <w:r>
              <w:rPr>
                <w:rFonts w:ascii="Arial" w:cs="Arial" w:eastAsia="Arial" w:hAnsi="Arial"/>
                <w:sz w:val="13"/>
                <w:szCs w:val="13"/>
                <w:color w:val="auto"/>
              </w:rPr>
              <w:t>Fair</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9"/>
              <w:spacing w:after="0" w:line="120" w:lineRule="exact"/>
              <w:rPr>
                <w:sz w:val="20"/>
                <w:szCs w:val="20"/>
                <w:color w:val="auto"/>
              </w:rPr>
            </w:pPr>
            <w:r>
              <w:rPr>
                <w:rFonts w:ascii="Arial" w:cs="Arial" w:eastAsia="Arial" w:hAnsi="Arial"/>
                <w:sz w:val="13"/>
                <w:szCs w:val="13"/>
                <w:color w:val="auto"/>
              </w:rPr>
              <w:t>Carrying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200"/>
              <w:spacing w:after="0" w:line="120" w:lineRule="exact"/>
              <w:rPr>
                <w:sz w:val="20"/>
                <w:szCs w:val="20"/>
                <w:color w:val="auto"/>
              </w:rPr>
            </w:pPr>
            <w:r>
              <w:rPr>
                <w:rFonts w:ascii="Arial" w:cs="Arial" w:eastAsia="Arial" w:hAnsi="Arial"/>
                <w:sz w:val="13"/>
                <w:szCs w:val="13"/>
                <w:color w:val="auto"/>
              </w:rPr>
              <w:t>Fair</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9"/>
              <w:spacing w:after="0" w:line="120" w:lineRule="exact"/>
              <w:rPr>
                <w:sz w:val="20"/>
                <w:szCs w:val="20"/>
                <w:color w:val="auto"/>
              </w:rPr>
            </w:pPr>
            <w:r>
              <w:rPr>
                <w:rFonts w:ascii="Arial" w:cs="Arial" w:eastAsia="Arial" w:hAnsi="Arial"/>
                <w:sz w:val="13"/>
                <w:szCs w:val="13"/>
                <w:color w:val="auto"/>
              </w:rPr>
              <w:t>Carrying</w:t>
            </w:r>
          </w:p>
        </w:tc>
        <w:tc>
          <w:tcPr>
            <w:tcW w:w="100" w:type="dxa"/>
            <w:vAlign w:val="bottom"/>
          </w:tcPr>
          <w:p>
            <w:pPr>
              <w:spacing w:after="0"/>
              <w:rPr>
                <w:sz w:val="10"/>
                <w:szCs w:val="10"/>
                <w:color w:val="auto"/>
              </w:rPr>
            </w:pPr>
          </w:p>
        </w:tc>
      </w:tr>
      <w:tr>
        <w:trPr>
          <w:trHeight w:val="164"/>
        </w:trPr>
        <w:tc>
          <w:tcPr>
            <w:tcW w:w="5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204"/>
        </w:trPr>
        <w:tc>
          <w:tcPr>
            <w:tcW w:w="5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Notes receivable from Preferred Operating Partnership unit holders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128,216</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120,230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160"/>
              <w:spacing w:after="0" w:line="204" w:lineRule="exact"/>
              <w:rPr>
                <w:sz w:val="20"/>
                <w:szCs w:val="20"/>
                <w:color w:val="auto"/>
              </w:rPr>
            </w:pPr>
            <w:r>
              <w:rPr>
                <w:rFonts w:ascii="Arial" w:cs="Arial" w:eastAsia="Arial" w:hAnsi="Arial"/>
                <w:sz w:val="18"/>
                <w:szCs w:val="18"/>
                <w:color w:val="auto"/>
                <w:w w:val="82"/>
              </w:rPr>
              <w:t>126,380</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120,230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color w:val="auto"/>
              </w:rPr>
              <w:t>Fixed rate notes receivable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86,814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84,331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1,828,486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1,806,904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1,320,370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1,283,893</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Exchangeable senior notes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770,523</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660,364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276,095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Assets</w:t>
      </w:r>
    </w:p>
    <w:p>
      <w:pPr>
        <w:spacing w:after="0" w:line="116" w:lineRule="exact"/>
        <w:rPr>
          <w:sz w:val="20"/>
          <w:szCs w:val="20"/>
          <w:color w:val="auto"/>
        </w:rPr>
      </w:pPr>
    </w:p>
    <w:p>
      <w:pPr>
        <w:ind w:firstLine="457"/>
        <w:spacing w:after="0" w:line="317" w:lineRule="auto"/>
        <w:rPr>
          <w:sz w:val="20"/>
          <w:szCs w:val="20"/>
          <w:color w:val="auto"/>
        </w:rPr>
      </w:pPr>
      <w:r>
        <w:rPr>
          <w:rFonts w:ascii="Arial" w:cs="Arial" w:eastAsia="Arial" w:hAnsi="Arial"/>
          <w:sz w:val="15"/>
          <w:szCs w:val="15"/>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45"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8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connection with the Company’s acquisition of stores, the purchase price is allocated to the tangible and intangible assets and liabilities acquired based on their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Debt assumed as part of an acquisition is recorded at fair value based on current interest rates compared to contractual rates. Acquisition-related transaction costs are expensed as incurred.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2"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six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Real Estate Ventures</w:t>
      </w:r>
    </w:p>
    <w:p>
      <w:pPr>
        <w:spacing w:after="0" w:line="116" w:lineRule="exact"/>
        <w:rPr>
          <w:sz w:val="20"/>
          <w:szCs w:val="20"/>
          <w:color w:val="auto"/>
        </w:rPr>
      </w:pPr>
    </w:p>
    <w:p>
      <w:pPr>
        <w:ind w:firstLine="457"/>
        <w:spacing w:after="0" w:line="326" w:lineRule="auto"/>
        <w:rPr>
          <w:sz w:val="20"/>
          <w:szCs w:val="20"/>
          <w:color w:val="auto"/>
        </w:rPr>
      </w:pPr>
      <w:r>
        <w:rPr>
          <w:rFonts w:ascii="Arial" w:cs="Arial" w:eastAsia="Arial" w:hAnsi="Arial"/>
          <w:sz w:val="16"/>
          <w:szCs w:val="16"/>
          <w:color w:val="auto"/>
        </w:rPr>
        <w:t>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34"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6" w:lineRule="exact"/>
        <w:rPr>
          <w:sz w:val="20"/>
          <w:szCs w:val="20"/>
          <w:color w:val="auto"/>
        </w:rPr>
      </w:pPr>
    </w:p>
    <w:p>
      <w:pPr>
        <w:ind w:right="340" w:firstLine="457"/>
        <w:spacing w:after="0" w:line="326" w:lineRule="auto"/>
        <w:rPr>
          <w:sz w:val="20"/>
          <w:szCs w:val="20"/>
          <w:color w:val="auto"/>
        </w:rPr>
      </w:pPr>
      <w:r>
        <w:rPr>
          <w:rFonts w:ascii="Arial" w:cs="Arial" w:eastAsia="Arial" w:hAnsi="Arial"/>
          <w:sz w:val="16"/>
          <w:szCs w:val="16"/>
          <w:color w:val="auto"/>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6" w:lineRule="exact"/>
        <w:rPr>
          <w:sz w:val="20"/>
          <w:szCs w:val="20"/>
          <w:color w:val="auto"/>
        </w:rPr>
      </w:pPr>
    </w:p>
    <w:p>
      <w:pPr>
        <w:ind w:right="280" w:firstLine="457"/>
        <w:spacing w:after="0" w:line="263" w:lineRule="auto"/>
        <w:rPr>
          <w:sz w:val="20"/>
          <w:szCs w:val="20"/>
          <w:color w:val="auto"/>
        </w:rPr>
      </w:pPr>
      <w:r>
        <w:rPr>
          <w:rFonts w:ascii="Arial" w:cs="Arial" w:eastAsia="Arial" w:hAnsi="Arial"/>
          <w:sz w:val="18"/>
          <w:szCs w:val="18"/>
          <w:color w:val="auto"/>
        </w:rPr>
        <w:t>Restricted cash is comprised of letters of credit and escrowed funds deposited with financial institutions located throughout the United States relating to earnest money deposits on potential acquisitions, real estate taxes, insurance and capital expenditures.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16"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Other assets consist primarily of equipment and fixtures, customer accounts receivable, investments in trusts, notes receivable, other intangible assets, income taxes receivable, deferred tax assets, prepaid expenses and the fair value of interest rate swaps. Depreciation of equipment and fixtures is computed on a straight-line basis over three to five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16"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2"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80" w:lineRule="exact"/>
        <w:rPr>
          <w:sz w:val="20"/>
          <w:szCs w:val="20"/>
          <w:color w:val="auto"/>
        </w:rPr>
      </w:pPr>
    </w:p>
    <w:p>
      <w:pPr>
        <w:ind w:right="600" w:firstLine="457"/>
        <w:spacing w:after="0" w:line="263" w:lineRule="auto"/>
        <w:rPr>
          <w:sz w:val="20"/>
          <w:szCs w:val="20"/>
          <w:color w:val="auto"/>
        </w:rPr>
      </w:pPr>
      <w:r>
        <w:rPr>
          <w:rFonts w:ascii="Arial" w:cs="Arial" w:eastAsia="Arial" w:hAnsi="Arial"/>
          <w:sz w:val="18"/>
          <w:szCs w:val="18"/>
          <w:color w:val="auto"/>
        </w:rPr>
        <w:t>The Company made an accounting policy election to measure the credit risk of its derivative financial instruments that are subject to master netting agreements on a net basis by counterparty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Use of Financial Instruments</w:t>
      </w:r>
    </w:p>
    <w:p>
      <w:pPr>
        <w:spacing w:after="0" w:line="116"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Common Operating Partnership Units</w:t>
      </w:r>
    </w:p>
    <w:p>
      <w:pPr>
        <w:spacing w:after="0" w:line="116" w:lineRule="exact"/>
        <w:rPr>
          <w:sz w:val="20"/>
          <w:szCs w:val="20"/>
          <w:color w:val="auto"/>
        </w:rPr>
      </w:pPr>
    </w:p>
    <w:p>
      <w:pPr>
        <w:ind w:right="560" w:firstLine="457"/>
        <w:spacing w:after="0" w:line="326" w:lineRule="auto"/>
        <w:rPr>
          <w:sz w:val="20"/>
          <w:szCs w:val="20"/>
          <w:color w:val="auto"/>
        </w:rPr>
      </w:pPr>
      <w:r>
        <w:rPr>
          <w:rFonts w:ascii="Arial" w:cs="Arial" w:eastAsia="Arial" w:hAnsi="Arial"/>
          <w:sz w:val="16"/>
          <w:szCs w:val="16"/>
          <w:color w:val="auto"/>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Recognition</w:t>
      </w:r>
    </w:p>
    <w:p>
      <w:pPr>
        <w:spacing w:after="0" w:line="116" w:lineRule="exact"/>
        <w:rPr>
          <w:sz w:val="20"/>
          <w:szCs w:val="20"/>
          <w:color w:val="auto"/>
        </w:rPr>
      </w:pPr>
    </w:p>
    <w:p>
      <w:pPr>
        <w:ind w:firstLine="457"/>
        <w:spacing w:after="0" w:line="311" w:lineRule="auto"/>
        <w:rPr>
          <w:sz w:val="20"/>
          <w:szCs w:val="20"/>
          <w:color w:val="auto"/>
        </w:rPr>
      </w:pPr>
      <w:r>
        <w:rPr>
          <w:rFonts w:ascii="Arial" w:cs="Arial" w:eastAsia="Arial" w:hAnsi="Arial"/>
          <w:sz w:val="15"/>
          <w:szCs w:val="15"/>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as income when earned. Management fee revenues are recognized monthly as services are performed and in accordance with the terms of the related management agreements. Equity in earnings of unconsolidated real estate entities is recognized based on our ownership interest in the earnings of each of the unconsolidated real estate entities. Interest income is recognized as earned.</w:t>
      </w:r>
    </w:p>
    <w:p>
      <w:pPr>
        <w:spacing w:after="0" w:line="150" w:lineRule="exact"/>
        <w:rPr>
          <w:sz w:val="20"/>
          <w:szCs w:val="20"/>
          <w:color w:val="auto"/>
        </w:rPr>
      </w:pPr>
    </w:p>
    <w:p>
      <w:pPr>
        <w:ind w:right="300" w:firstLine="457"/>
        <w:spacing w:after="0" w:line="254"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The Company accrues for property tax expense based upon invoice amounts, estimates and historical trends. If these estimates are incorrect, the timing of expense recognition could be affected.</w:t>
      </w:r>
    </w:p>
    <w:p>
      <w:pPr>
        <w:spacing w:after="0" w:line="18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two thousand dollars to ten thousand dollars of insurance coverage in exchange for a monthly fee. As of December 31, 2015, the average insurance coverage for tenants was approximately two thousand six hundred dollars. The Company’s exposure per claim is limited by the maximum amount of coverage chosen by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2"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tenant. The Company purchases reinsurance for losses exceeding a set amount for any one event. The Company does not currently have any amounts recoverable under the reinsurance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Sales</w:t>
      </w:r>
    </w:p>
    <w:p>
      <w:pPr>
        <w:spacing w:after="0" w:line="116" w:lineRule="exact"/>
        <w:rPr>
          <w:sz w:val="20"/>
          <w:szCs w:val="20"/>
          <w:color w:val="auto"/>
        </w:rPr>
      </w:pPr>
    </w:p>
    <w:p>
      <w:pPr>
        <w:jc w:val="both"/>
        <w:ind w:right="60" w:firstLine="457"/>
        <w:spacing w:after="0" w:line="254" w:lineRule="auto"/>
        <w:rPr>
          <w:sz w:val="20"/>
          <w:szCs w:val="20"/>
          <w:color w:val="auto"/>
        </w:rPr>
      </w:pPr>
      <w:r>
        <w:rPr>
          <w:rFonts w:ascii="Arial" w:cs="Arial" w:eastAsia="Arial" w:hAnsi="Arial"/>
          <w:sz w:val="18"/>
          <w:szCs w:val="18"/>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16" w:lineRule="exact"/>
        <w:rPr>
          <w:sz w:val="20"/>
          <w:szCs w:val="20"/>
          <w:color w:val="auto"/>
        </w:rPr>
      </w:pPr>
    </w:p>
    <w:p>
      <w:pPr>
        <w:ind w:right="660" w:firstLine="457"/>
        <w:spacing w:after="0" w:line="326" w:lineRule="auto"/>
        <w:rPr>
          <w:sz w:val="20"/>
          <w:szCs w:val="20"/>
          <w:color w:val="auto"/>
        </w:rPr>
      </w:pPr>
      <w:r>
        <w:rPr>
          <w:rFonts w:ascii="Arial" w:cs="Arial" w:eastAsia="Arial" w:hAnsi="Arial"/>
          <w:sz w:val="16"/>
          <w:szCs w:val="16"/>
          <w:color w:val="auto"/>
        </w:rPr>
        <w:t>The Company incurs advertising costs primarily attributable to internet, directory and other advertising. These costs are expensed as incurred. The Company recognized $8,539, $8,370, and $6,482 in advertising expense for the years ended December 31, 2015, 2014 and 2013,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6"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Company has elected to be treated as a REIT under Sections 856 through 860 of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If the Company were to fail to meet these requirements, it would be subject to federal income tax. The Company is subject to certain state and local taxes. Provision for such taxes has been included in income tax expense on the Company’s consolidated statements of operations. For the year ended December 31, 2015, 0.0% (unaudited) of all distributions to stockholders qualified as a return of capital.</w:t>
      </w:r>
    </w:p>
    <w:p>
      <w:pPr>
        <w:spacing w:after="0" w:line="171"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The Company has elected to treat its corporate subsidiary, Extra Space Management, Inc. (“ESMI”), as a taxable REIT subsidiary (“TRS”). In general, the Company’s TRS may perform additional services for tenants and may engage in any real estate or non-real estate related business. A TRS is subject to corporate federal income tax. ESM Reinsurance Limited, a wholly-owned subsidiary of ESMI, generates income from insurance premiums that are subject to corporate federal income tax and state insurance premiums tax.</w:t>
      </w:r>
    </w:p>
    <w:p>
      <w:pPr>
        <w:spacing w:after="0" w:line="193" w:lineRule="exact"/>
        <w:rPr>
          <w:sz w:val="20"/>
          <w:szCs w:val="20"/>
          <w:color w:val="auto"/>
        </w:rPr>
      </w:pPr>
    </w:p>
    <w:p>
      <w:pPr>
        <w:ind w:right="140" w:firstLine="457"/>
        <w:spacing w:after="0" w:line="300" w:lineRule="auto"/>
        <w:rPr>
          <w:sz w:val="20"/>
          <w:szCs w:val="20"/>
          <w:color w:val="auto"/>
        </w:rPr>
      </w:pPr>
      <w:r>
        <w:rPr>
          <w:rFonts w:ascii="Arial" w:cs="Arial" w:eastAsia="Arial" w:hAnsi="Arial"/>
          <w:sz w:val="16"/>
          <w:szCs w:val="16"/>
          <w:color w:val="auto"/>
        </w:rPr>
        <w:t>Deferred tax assets and liabilities are determined based on differences between financial reporting and tax bases of assets and liabilities. At December 31, 2015 and 2014, there were no material unrecognized tax benefits. Interest and penalties relating to uncertain tax positions will be recognized in income tax expense when incurred. As of December 31, 2015 and 2014, the Company had no interest or penalties related to uncertain tax provisions.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6" w:lineRule="exact"/>
        <w:rPr>
          <w:sz w:val="20"/>
          <w:szCs w:val="20"/>
          <w:color w:val="auto"/>
        </w:rPr>
      </w:pPr>
    </w:p>
    <w:p>
      <w:pPr>
        <w:ind w:right="340" w:firstLine="457"/>
        <w:spacing w:after="0" w:line="363" w:lineRule="auto"/>
        <w:rPr>
          <w:sz w:val="20"/>
          <w:szCs w:val="20"/>
          <w:color w:val="auto"/>
        </w:rPr>
      </w:pPr>
      <w:r>
        <w:rPr>
          <w:rFonts w:ascii="Arial" w:cs="Arial" w:eastAsia="Arial" w:hAnsi="Arial"/>
          <w:sz w:val="15"/>
          <w:szCs w:val="15"/>
          <w:color w:val="auto"/>
        </w:rPr>
        <w:t>The measurement and recognition of compensation expense for all share-based payment awards to employees and directors are based on estimated fair values. Awards granted are valued at fair value and any compensation element is recognized on a straight line basis over the service periods of each award.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16" w:lineRule="exact"/>
        <w:rPr>
          <w:sz w:val="20"/>
          <w:szCs w:val="20"/>
          <w:color w:val="auto"/>
        </w:rPr>
      </w:pPr>
    </w:p>
    <w:p>
      <w:pPr>
        <w:ind w:right="20" w:firstLine="457"/>
        <w:spacing w:after="0" w:line="300" w:lineRule="auto"/>
        <w:rPr>
          <w:sz w:val="20"/>
          <w:szCs w:val="20"/>
          <w:color w:val="auto"/>
        </w:rPr>
      </w:pPr>
      <w:r>
        <w:rPr>
          <w:rFonts w:ascii="Arial" w:cs="Arial" w:eastAsia="Arial" w:hAnsi="Arial"/>
          <w:sz w:val="16"/>
          <w:szCs w:val="16"/>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2"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common Operating Partnership units (“OP Units”)) that do not have a current right to participate in earnings of the Company but could do so in the future by virtue of their option, redemption or conversion right.</w:t>
      </w:r>
    </w:p>
    <w:p>
      <w:pPr>
        <w:spacing w:after="0" w:line="171"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2015, 2014 and 2013, options to purchase approximately 62,254, 27,374, and 44,958 shares of common stock, respectively, were excluded from the computation of earnings per share as their effect would have been anti-dilutive.</w:t>
      </w:r>
    </w:p>
    <w:p>
      <w:pPr>
        <w:spacing w:after="0" w:line="163" w:lineRule="exact"/>
        <w:rPr>
          <w:sz w:val="20"/>
          <w:szCs w:val="20"/>
          <w:color w:val="auto"/>
        </w:rPr>
      </w:pPr>
    </w:p>
    <w:p>
      <w:pPr>
        <w:ind w:right="780" w:firstLine="457"/>
        <w:spacing w:after="0" w:line="263"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w w:val="94"/>
              </w:rPr>
              <w:t>For the 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right"/>
              <w:ind w:right="922"/>
              <w:spacing w:after="0" w:line="139"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860" w:type="dxa"/>
            <w:vAlign w:val="bottom"/>
          </w:tcPr>
          <w:p>
            <w:pPr>
              <w:spacing w:after="0"/>
              <w:rPr>
                <w:sz w:val="10"/>
                <w:szCs w:val="10"/>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1"/>
              </w:rPr>
              <w:t>Number of Units</w:t>
            </w:r>
          </w:p>
        </w:tc>
        <w:tc>
          <w:tcPr>
            <w:tcW w:w="480" w:type="dxa"/>
            <w:vAlign w:val="bottom"/>
          </w:tcPr>
          <w:p>
            <w:pPr>
              <w:spacing w:after="0"/>
              <w:rPr>
                <w:sz w:val="10"/>
                <w:szCs w:val="10"/>
                <w:color w:val="auto"/>
              </w:rPr>
            </w:pPr>
          </w:p>
        </w:tc>
        <w:tc>
          <w:tcPr>
            <w:tcW w:w="110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5"/>
              </w:rPr>
              <w:t>Equivalent Shares</w:t>
            </w:r>
          </w:p>
        </w:tc>
        <w:tc>
          <w:tcPr>
            <w:tcW w:w="500" w:type="dxa"/>
            <w:vAlign w:val="bottom"/>
          </w:tcPr>
          <w:p>
            <w:pPr>
              <w:spacing w:after="0"/>
              <w:rPr>
                <w:sz w:val="10"/>
                <w:szCs w:val="10"/>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Number of Units</w:t>
            </w:r>
          </w:p>
        </w:tc>
        <w:tc>
          <w:tcPr>
            <w:tcW w:w="420" w:type="dxa"/>
            <w:vAlign w:val="bottom"/>
          </w:tcPr>
          <w:p>
            <w:pPr>
              <w:spacing w:after="0"/>
              <w:rPr>
                <w:sz w:val="10"/>
                <w:szCs w:val="10"/>
                <w:color w:val="auto"/>
              </w:rPr>
            </w:pPr>
          </w:p>
        </w:tc>
        <w:tc>
          <w:tcPr>
            <w:tcW w:w="110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5"/>
              </w:rPr>
              <w:t>Equivalent Shares</w:t>
            </w:r>
          </w:p>
        </w:tc>
        <w:tc>
          <w:tcPr>
            <w:tcW w:w="50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8"/>
              </w:rPr>
              <w:t>Number of</w:t>
            </w:r>
          </w:p>
        </w:tc>
        <w:tc>
          <w:tcPr>
            <w:tcW w:w="32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Equivalent Shares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4"/>
                <w:szCs w:val="14"/>
                <w:b w:val="1"/>
                <w:bCs w:val="1"/>
                <w:color w:val="auto"/>
              </w:rPr>
              <w:t>(if converted)</w:t>
            </w:r>
          </w:p>
        </w:tc>
        <w:tc>
          <w:tcPr>
            <w:tcW w:w="5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(if converted)</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32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(if converted)</w:t>
            </w:r>
          </w:p>
        </w:tc>
        <w:tc>
          <w:tcPr>
            <w:tcW w:w="0" w:type="dxa"/>
            <w:vAlign w:val="bottom"/>
          </w:tcPr>
          <w:p>
            <w:pPr>
              <w:spacing w:after="0"/>
              <w:rPr>
                <w:sz w:val="1"/>
                <w:szCs w:val="1"/>
                <w:color w:val="auto"/>
              </w:rPr>
            </w:pPr>
          </w:p>
        </w:tc>
      </w:tr>
      <w:tr>
        <w:trPr>
          <w:trHeight w:val="204"/>
        </w:trPr>
        <w:tc>
          <w:tcPr>
            <w:tcW w:w="2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B Units</w:t>
            </w: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1,676,087</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579,640</w:t>
            </w: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1,592,062</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764,385</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8"/>
              </w:rPr>
              <w:t>453,302</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257,266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Series C Units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704,016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410,002</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605,256</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color w:val="auto"/>
              </w:rPr>
              <w:t>489,366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33,226</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33,302</w:t>
            </w:r>
          </w:p>
        </w:tc>
        <w:tc>
          <w:tcPr>
            <w:tcW w:w="0" w:type="dxa"/>
            <w:vAlign w:val="bottom"/>
          </w:tcPr>
          <w:p>
            <w:pPr>
              <w:spacing w:after="0"/>
              <w:rPr>
                <w:sz w:val="1"/>
                <w:szCs w:val="1"/>
                <w:color w:val="auto"/>
              </w:rPr>
            </w:pPr>
          </w:p>
        </w:tc>
      </w:tr>
      <w:tr>
        <w:trPr>
          <w:trHeight w:val="211"/>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548,390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189,649</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13,522</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6,492</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2,928,493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1,179,291</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2,210,840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1,260,243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486,528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290,568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The Operating Partnership had $85,364 of its 2.375% Exchangeable Senior Notes due 2033 (the “2013 Notes”) issued and outstanding as of December 31, 2015. The 2013 Notes could potentially have a dilutive impact on the Company’s earnings per share calculations. The 2013 Notes are exchangeable by holders into shares of the Company’s common stock under certain circumstances per the terms of the indenture governing the 2013 Notes. The exchange price of the 2013 Notes was $54.99 per share as of December 31, 2015, and could change over time as described in the indenture. The Company has irrevocably agreed to pay only cash for the accreted principal amount of the 2013 Notes relative to its exchange obligations, but retained the right to satisfy the exchange obligation in excess of the accreted principal amount in cash and/or common stock.</w:t>
      </w:r>
    </w:p>
    <w:p>
      <w:pPr>
        <w:spacing w:after="0" w:line="167"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The Operating Partnership had $575,000 of its 3.125% Exchangeable Senior Notes due 2035 (the “2015 Notes”) issued and outstanding as of December 31, 2015.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$95.40 per share as of December 31, 2015,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2"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 xml:space="preserve">Though the Company has retained that right,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years ended December 31, 2015, 2014 and 2013, 513,040 shares, 130,883 shares, and no shares, respectively, related to the 2013 Notes were included in the computation for diluted earnings per share. For the year ended December 31, 2015, no shares related to the 2015 Notes were included in the computation for diluted earnings per share as the exchange price exceeded the per share price of the Company’s common stock during this period. For the years ended December 31, 2014 and 2013, no shares related to the 2015 Notes were included in the computation for diluted earnings per share as the 2015 Notes were not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where the Company has the option to redeem in cash or shares and where the Company has stated the positive intent and ability to settle at least $115,000 of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instrument in cash (or net settle a portion of the Series A Units against the related outstanding note receivable), only the amount of the instrument in excess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$115,000 is considered in the calculation of shares contingently issuable for the purposes of computing diluted earnings per share as allowed by ASC 260-10-45-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4" w:lineRule="exact"/>
        <w:rPr>
          <w:sz w:val="20"/>
          <w:szCs w:val="20"/>
          <w:color w:val="auto"/>
        </w:rPr>
      </w:pPr>
    </w:p>
    <w:p>
      <w:pPr>
        <w:ind w:right="140" w:firstLine="457"/>
        <w:spacing w:after="0" w:line="249"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B Units for common shares upon redemption, where the Company has the option to redeem in cash or shares and where the Company has stated the intent and ability to settle the redemption in shares, the Company divided the total value of the Series B Units outstanding as of December 31, 2015 of $41,902 by the closing price of the Company’s common stock as of December 31, 2015 of $88.21 per share. Assuming full exchange for common shares as of December 31, 2015, 475,027 shares would have been issued to the holders of the Series B Units.</w:t>
      </w:r>
    </w:p>
    <w:p>
      <w:pPr>
        <w:spacing w:after="0" w:line="193"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C Units into common shares upon redemption, where the Company has the option to redeem in cash or shares and where the Company has stated the intent and ability to settle the redemption in shares, the Company divided the total value of the Series C Units outstanding as of December 31, 2015 of $29,639 by the closing price of the Company’s common stock as of December 31, 2015 of $88.21 per share. Assuming full exchange for common shares as of December 31, 2015, 336,006 shares would have been issued to the holders of the Series C Units.</w:t>
      </w:r>
    </w:p>
    <w:p>
      <w:pPr>
        <w:spacing w:after="0" w:line="193"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D Units into common shares upon redemption, where the Company has the option to redeem in cash or shares and where the Company has stated the intent and ability to settle the redemption in shares, the Company divided the total value of the Series D Units outstanding as of December 31, 2015 of $13,710 by the closing price of the Company’s common stock as of December 31, 2015 of $88.21 per share. Assuming full exchange for common shares as of December 31, 2015, 155,422 shares would have been issued to the holders of Series D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2"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earnings per share is as follows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For the Year Ended December 31,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3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income attributable to common stockholders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189,474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178,355</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172,076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360"/>
              <w:spacing w:after="0"/>
              <w:rPr>
                <w:sz w:val="20"/>
                <w:szCs w:val="20"/>
                <w:color w:val="auto"/>
              </w:rPr>
            </w:pPr>
            <w:r>
              <w:rPr>
                <w:rFonts w:ascii="Arial" w:cs="Arial" w:eastAsia="Arial" w:hAnsi="Arial"/>
                <w:sz w:val="18"/>
                <w:szCs w:val="18"/>
                <w:color w:val="auto"/>
              </w:rPr>
              <w:t>Earnings and dividends allocated to participating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6"/>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for basic computations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177,865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360"/>
              <w:spacing w:after="0"/>
              <w:rPr>
                <w:sz w:val="20"/>
                <w:szCs w:val="20"/>
                <w:color w:val="auto"/>
              </w:rPr>
            </w:pPr>
            <w:r>
              <w:rPr>
                <w:rFonts w:ascii="Arial" w:cs="Arial" w:eastAsia="Arial" w:hAnsi="Arial"/>
                <w:sz w:val="18"/>
                <w:szCs w:val="18"/>
                <w:color w:val="auto"/>
              </w:rPr>
              <w:t>Earnings and dividends allocated to participating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w w:val="98"/>
              </w:rPr>
              <w:t>Income allocated to noncontrolling interest—Preferred Operating Partnership</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(Series A Units) and Operating Partnership</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14,790</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380" w:type="dxa"/>
            <w:vAlign w:val="bottom"/>
          </w:tcPr>
          <w:p>
            <w:pPr>
              <w:ind w:left="360"/>
              <w:spacing w:after="0" w:line="199" w:lineRule="exact"/>
              <w:rPr>
                <w:sz w:val="20"/>
                <w:szCs w:val="20"/>
                <w:color w:val="auto"/>
              </w:rPr>
            </w:pPr>
            <w:r>
              <w:rPr>
                <w:rFonts w:ascii="Arial" w:cs="Arial" w:eastAsia="Arial" w:hAnsi="Arial"/>
                <w:sz w:val="18"/>
                <w:szCs w:val="18"/>
                <w:color w:val="auto"/>
              </w:rPr>
              <w:t>Fixed component of income allocated to noncontrolling interest—Preferred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540"/>
              <w:spacing w:after="0"/>
              <w:rPr>
                <w:sz w:val="20"/>
                <w:szCs w:val="20"/>
                <w:color w:val="auto"/>
              </w:rPr>
            </w:pPr>
            <w:r>
              <w:rPr>
                <w:rFonts w:ascii="Arial" w:cs="Arial" w:eastAsia="Arial" w:hAnsi="Arial"/>
                <w:sz w:val="18"/>
                <w:szCs w:val="18"/>
                <w:color w:val="auto"/>
              </w:rPr>
              <w:t>Operating Partnership (Series A Units)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(5,088)</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diluted computations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number of common shares outstanding—basic</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119,816,743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5"/>
              </w:rPr>
              <w:t>115,713,807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111,349,361</w:t>
            </w:r>
          </w:p>
        </w:tc>
        <w:tc>
          <w:tcPr>
            <w:tcW w:w="0" w:type="dxa"/>
            <w:vAlign w:val="bottom"/>
          </w:tcPr>
          <w:p>
            <w:pPr>
              <w:spacing w:after="0"/>
              <w:rPr>
                <w:sz w:val="1"/>
                <w:szCs w:val="1"/>
                <w:color w:val="auto"/>
              </w:rPr>
            </w:pPr>
          </w:p>
        </w:tc>
      </w:tr>
      <w:tr>
        <w:trPr>
          <w:trHeight w:val="211"/>
        </w:trPr>
        <w:tc>
          <w:tcPr>
            <w:tcW w:w="6380" w:type="dxa"/>
            <w:vAlign w:val="bottom"/>
          </w:tcPr>
          <w:p>
            <w:pPr>
              <w:ind w:left="360"/>
              <w:spacing w:after="0"/>
              <w:rPr>
                <w:sz w:val="20"/>
                <w:szCs w:val="20"/>
                <w:color w:val="auto"/>
              </w:rPr>
            </w:pPr>
            <w:r>
              <w:rPr>
                <w:rFonts w:ascii="Arial" w:cs="Arial" w:eastAsia="Arial" w:hAnsi="Arial"/>
                <w:sz w:val="18"/>
                <w:szCs w:val="18"/>
                <w:color w:val="auto"/>
              </w:rPr>
              <w:t>Series A Units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875,480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961,747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 Units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5,451,357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4,335,837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380" w:type="dxa"/>
            <w:vAlign w:val="bottom"/>
          </w:tcPr>
          <w:p>
            <w:pPr>
              <w:ind w:left="360"/>
              <w:spacing w:after="0"/>
              <w:rPr>
                <w:sz w:val="20"/>
                <w:szCs w:val="20"/>
                <w:color w:val="auto"/>
              </w:rPr>
            </w:pPr>
            <w:r>
              <w:rPr>
                <w:rFonts w:ascii="Arial" w:cs="Arial" w:eastAsia="Arial" w:hAnsi="Arial"/>
                <w:sz w:val="18"/>
                <w:szCs w:val="18"/>
                <w:color w:val="auto"/>
              </w:rPr>
              <w:t>Unvested restricted stock awards included for treasury stock method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related to exchangeable senior notes and dilutive stock options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775,289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423,876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60"/>
              <w:spacing w:after="0"/>
              <w:rPr>
                <w:sz w:val="20"/>
                <w:szCs w:val="20"/>
                <w:color w:val="auto"/>
              </w:rPr>
            </w:pPr>
            <w:r>
              <w:rPr>
                <w:rFonts w:ascii="Arial" w:cs="Arial" w:eastAsia="Arial" w:hAnsi="Arial"/>
                <w:sz w:val="18"/>
                <w:szCs w:val="18"/>
                <w:color w:val="auto"/>
              </w:rPr>
              <w:t>Average number of common shares outstanding—diluted</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126,918,869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w w:val="85"/>
              </w:rPr>
              <w:t>121,435,267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113,105,094</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80" w:type="dxa"/>
            <w:vAlign w:val="bottom"/>
          </w:tcPr>
          <w:p>
            <w:pPr>
              <w:ind w:left="36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6"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In April 2014, the Financial Accounting Standards Board (“FASB”) issued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Disposals of Components of an Entity.</w:t>
      </w:r>
      <w:r>
        <w:rPr>
          <w:rFonts w:ascii="Arial" w:cs="Arial" w:eastAsia="Arial" w:hAnsi="Arial"/>
          <w:sz w:val="18"/>
          <w:szCs w:val="18"/>
          <w:color w:val="auto"/>
        </w:rPr>
        <w:t>” Under this guidance, only disposals representing a strategic shift in operations should be presented as discontinued operations. The guidance also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new disclosures of both discontinued operations and certain other disposals that do not meet the definition of a discontinued operation. The Company adopted this guidance effective January 1, 2015. The Company has not previously had discontinued operations and as such, this guidance did not have a significant impact on its consolidated financial statements.</w:t>
      </w:r>
    </w:p>
    <w:p>
      <w:pPr>
        <w:spacing w:after="0" w:line="19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amends the guidance for revenue recognition to replace numerous, industry-specific requirements and converges areas under this topic with those of the International Financial Reporting Standards. ASU 2014-09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ASU 2014-09 was originally effective for reporting periods beginning after December 15, 2016. Entities can transition to the standard either retrospectively or as a cumulative-effect adjustment as of the date of adoption. In July 2015, the FASB approved a one-year deferral of the effective date of the standard. The new standard will now become effective for annual and interim periods beginning after December 15, 2017 with early adoption on the original effective date permitted. The Company has not yet selected a transition method. The Company is currently assessing the impact of the adoption of ASU 2014-09 on the Company’s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2"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80" w:firstLine="457"/>
        <w:spacing w:after="0" w:line="292" w:lineRule="auto"/>
        <w:rPr>
          <w:sz w:val="20"/>
          <w:szCs w:val="20"/>
          <w:color w:val="auto"/>
        </w:rPr>
      </w:pPr>
      <w:r>
        <w:rPr>
          <w:rFonts w:ascii="Arial" w:cs="Arial" w:eastAsia="Arial" w:hAnsi="Arial"/>
          <w:sz w:val="16"/>
          <w:szCs w:val="16"/>
          <w:color w:val="auto"/>
        </w:rPr>
        <w:t>In February 2015, the FASB issued ASU 2015-02, “</w:t>
      </w:r>
      <w:r>
        <w:rPr>
          <w:rFonts w:ascii="Arial" w:cs="Arial" w:eastAsia="Arial" w:hAnsi="Arial"/>
          <w:sz w:val="16"/>
          <w:szCs w:val="16"/>
          <w:i w:val="1"/>
          <w:iCs w:val="1"/>
          <w:color w:val="auto"/>
        </w:rPr>
        <w:t>Consolidation (Topic 810): Amendments to the Consolidation Analysis.”</w:t>
      </w:r>
      <w:r>
        <w:rPr>
          <w:rFonts w:ascii="Arial" w:cs="Arial" w:eastAsia="Arial" w:hAnsi="Arial"/>
          <w:sz w:val="16"/>
          <w:szCs w:val="16"/>
          <w:color w:val="auto"/>
        </w:rPr>
        <w:t xml:space="preserve"> This guidance is effective for annual reporting periods beginning after December 15, 2015, including interim periods within that reporting period. ASU 2015-02 amends the criteria for determining if a service provider possesses a variable interest in a variable interest entity (“VIE”), and eliminates the presumption that a general partner should consolidate a limited partnership. The Company does not expect the adoption of this standard to materially impact its consolidated financial statements.</w:t>
      </w:r>
    </w:p>
    <w:p>
      <w:pPr>
        <w:spacing w:after="0" w:line="160"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In April 2015, the FASB issued ASU 2015-03, “</w:t>
      </w:r>
      <w:r>
        <w:rPr>
          <w:rFonts w:ascii="Arial" w:cs="Arial" w:eastAsia="Arial" w:hAnsi="Arial"/>
          <w:sz w:val="18"/>
          <w:szCs w:val="18"/>
          <w:i w:val="1"/>
          <w:iCs w:val="1"/>
          <w:color w:val="auto"/>
        </w:rPr>
        <w:t>Interest—Imputation of Interest: Simplifying the Presentation of Debt Issuance Costs,</w:t>
      </w:r>
      <w:r>
        <w:rPr>
          <w:rFonts w:ascii="Arial" w:cs="Arial" w:eastAsia="Arial" w:hAnsi="Arial"/>
          <w:sz w:val="18"/>
          <w:szCs w:val="18"/>
          <w:color w:val="auto"/>
        </w:rPr>
        <w:t>” which requires debt issuance costs related to a recognized debt liability to be presented as a direct deduction from the carrying amount of that debt liability. The new guidance only impacts financial statement presentation. The guidance is effective in the first quarter of 2016 and allows for early adoption. The Company adopted this guidance October 1, 2015. The Company adopted ASU 2015-03 on a retrospective basis. As a result $20,120 of unamortized debt issuance costs that had been included in the Other assets line on the consolidated balance sheets as of December 31, 2014 are now presented as direct deductions from the carrying amounts of the related debt liabilities.</w:t>
      </w:r>
    </w:p>
    <w:p>
      <w:pPr>
        <w:spacing w:after="0" w:line="195" w:lineRule="exact"/>
        <w:rPr>
          <w:sz w:val="20"/>
          <w:szCs w:val="20"/>
          <w:color w:val="auto"/>
        </w:rPr>
      </w:pPr>
    </w:p>
    <w:p>
      <w:pPr>
        <w:ind w:firstLine="457"/>
        <w:spacing w:after="0" w:line="247" w:lineRule="auto"/>
        <w:rPr>
          <w:sz w:val="20"/>
          <w:szCs w:val="20"/>
          <w:color w:val="auto"/>
        </w:rPr>
      </w:pPr>
      <w:r>
        <w:rPr>
          <w:rFonts w:ascii="Arial" w:cs="Arial" w:eastAsia="Arial" w:hAnsi="Arial"/>
          <w:sz w:val="18"/>
          <w:szCs w:val="18"/>
          <w:color w:val="auto"/>
        </w:rPr>
        <w:t>In April 2015, the FASB issued ASU 2015-05, “</w:t>
      </w:r>
      <w:r>
        <w:rPr>
          <w:rFonts w:ascii="Arial" w:cs="Arial" w:eastAsia="Arial" w:hAnsi="Arial"/>
          <w:sz w:val="18"/>
          <w:szCs w:val="18"/>
          <w:i w:val="1"/>
          <w:iCs w:val="1"/>
          <w:color w:val="auto"/>
        </w:rPr>
        <w:t>Intangibles—Goodwill and Other—Internal-Use Software (Subtopic 350-40)—Customers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Fees Paid in a Cloud Computing Arrangement,</w:t>
      </w:r>
      <w:r>
        <w:rPr>
          <w:rFonts w:ascii="Arial" w:cs="Arial" w:eastAsia="Arial" w:hAnsi="Arial"/>
          <w:sz w:val="18"/>
          <w:szCs w:val="18"/>
          <w:color w:val="auto"/>
        </w:rPr>
        <w:t>” which provides guidance regarding the accounting for fees paid by a customer in cloud computing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If a cloud computing arrangement includes a software license, the payment of fees should be accounted for in the same manner as the acquisition of other software licenses. If there is no software license, the fees should be accounted for as a service contract. The guidance is effective in fiscal years beginning after December 15, 2015 and early adoption is permitted. An entity can elect to adopt the amendments either (1) prospectively to all arrangements entered into or materially modified after the effective date or (2) retrospectively. The Company does not expect the adoption of this guidance to have a material impact on its consolidated financial statements.</w:t>
      </w:r>
    </w:p>
    <w:p>
      <w:pPr>
        <w:spacing w:after="0" w:line="198"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 xml:space="preserve">In August 2015, the FASB issued ASU 2015-15, </w:t>
      </w:r>
      <w:r>
        <w:rPr>
          <w:rFonts w:ascii="Arial" w:cs="Arial" w:eastAsia="Arial" w:hAnsi="Arial"/>
          <w:sz w:val="18"/>
          <w:szCs w:val="18"/>
          <w:i w:val="1"/>
          <w:iCs w:val="1"/>
          <w:color w:val="auto"/>
        </w:rPr>
        <w:t>“Interest—Imputation of Interest (Subtopic 835-30) Presentation and Subsequent Measurement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Issuance Costs Associated with Line-of-Credit Arrangements,” </w:t>
      </w:r>
      <w:r>
        <w:rPr>
          <w:rFonts w:ascii="Arial" w:cs="Arial" w:eastAsia="Arial" w:hAnsi="Arial"/>
          <w:sz w:val="18"/>
          <w:szCs w:val="18"/>
          <w:color w:val="auto"/>
        </w:rPr>
        <w:t>which provides guidance regarding the classification of debt issuance costs associated with lines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Specifically, deferring and presenting debt issuance costs as an asset and subsequently amortizing the deferred debt issuance costs ratably over the term of the line-of-credit arrangement, regardless of whether there are any outstanding borrowings on the line-of-credit arrangement is allowed. The Company adopted this guidance effective October 1, 2015. The Company continued to present the debt issuance costs and related accumulated amortization relating to its lines of credit as assets.</w:t>
      </w:r>
    </w:p>
    <w:p>
      <w:pPr>
        <w:spacing w:after="0" w:line="334" w:lineRule="exact"/>
        <w:rPr>
          <w:sz w:val="20"/>
          <w:szCs w:val="20"/>
          <w:color w:val="auto"/>
        </w:rPr>
      </w:pPr>
    </w:p>
    <w:p>
      <w:pPr>
        <w:ind w:left="460" w:hanging="454"/>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ASSETS</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real estate assets are summarized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04"/>
        </w:trPr>
        <w:tc>
          <w:tcPr>
            <w:tcW w:w="4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Land—operating</w:t>
            </w:r>
          </w:p>
        </w:tc>
        <w:tc>
          <w:tcPr>
            <w:tcW w:w="2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1,384,009</w:t>
            </w:r>
          </w:p>
        </w:tc>
        <w:tc>
          <w:tcPr>
            <w:tcW w:w="9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1,132,175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8"/>
                <w:szCs w:val="18"/>
                <w:color w:val="auto"/>
              </w:rPr>
              <w:t>Land—development</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17,313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4,886,397</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8"/>
                <w:szCs w:val="18"/>
                <w:color w:val="auto"/>
              </w:rPr>
              <w:t>Intangible assets—tenant relationships</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95,891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72,293</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8,877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17"/>
        </w:trPr>
        <w:tc>
          <w:tcPr>
            <w:tcW w:w="4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6,392,487</w:t>
            </w:r>
          </w:p>
        </w:tc>
        <w:tc>
          <w:tcPr>
            <w:tcW w:w="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(728,087)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(604,336)</w:t>
            </w:r>
          </w:p>
        </w:tc>
        <w:tc>
          <w:tcPr>
            <w:tcW w:w="0" w:type="dxa"/>
            <w:vAlign w:val="bottom"/>
          </w:tcPr>
          <w:p>
            <w:pPr>
              <w:spacing w:after="0"/>
              <w:rPr>
                <w:sz w:val="1"/>
                <w:szCs w:val="1"/>
                <w:color w:val="auto"/>
              </w:rPr>
            </w:pPr>
          </w:p>
        </w:tc>
      </w:tr>
      <w:tr>
        <w:trPr>
          <w:trHeight w:val="217"/>
        </w:trPr>
        <w:tc>
          <w:tcPr>
            <w:tcW w:w="4800" w:type="dxa"/>
            <w:vAlign w:val="bottom"/>
          </w:tcPr>
          <w:p>
            <w:pPr>
              <w:ind w:left="360"/>
              <w:spacing w:after="0"/>
              <w:rPr>
                <w:sz w:val="20"/>
                <w:szCs w:val="20"/>
                <w:color w:val="auto"/>
              </w:rPr>
            </w:pPr>
            <w:r>
              <w:rPr>
                <w:rFonts w:ascii="Arial" w:cs="Arial" w:eastAsia="Arial" w:hAnsi="Arial"/>
                <w:sz w:val="18"/>
                <w:szCs w:val="18"/>
                <w:color w:val="auto"/>
              </w:rPr>
              <w:t>Net operating real estate assets</w:t>
            </w:r>
          </w:p>
        </w:tc>
        <w:tc>
          <w:tcPr>
            <w:tcW w:w="2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5,664,400</w:t>
            </w:r>
          </w:p>
        </w:tc>
        <w:tc>
          <w:tcPr>
            <w:tcW w:w="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development/redevelopment</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24,909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17"/>
        </w:trPr>
        <w:tc>
          <w:tcPr>
            <w:tcW w:w="4800" w:type="dxa"/>
            <w:vAlign w:val="bottom"/>
          </w:tcPr>
          <w:p>
            <w:pPr>
              <w:ind w:left="360"/>
              <w:spacing w:after="0"/>
              <w:rPr>
                <w:sz w:val="20"/>
                <w:szCs w:val="20"/>
                <w:color w:val="auto"/>
              </w:rPr>
            </w:pPr>
            <w:r>
              <w:rPr>
                <w:rFonts w:ascii="Arial" w:cs="Arial" w:eastAsia="Arial" w:hAnsi="Arial"/>
                <w:sz w:val="18"/>
                <w:szCs w:val="18"/>
                <w:color w:val="auto"/>
              </w:rPr>
              <w:t>Net real estate assets</w:t>
            </w:r>
          </w:p>
        </w:tc>
        <w:tc>
          <w:tcPr>
            <w:tcW w:w="2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5,689,309</w:t>
            </w:r>
          </w:p>
        </w:tc>
        <w:tc>
          <w:tcPr>
            <w:tcW w:w="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2"/>
              </w:rPr>
              <w:t>Real estate assets held for sale included in net real estate assets</w:t>
            </w:r>
          </w:p>
        </w:tc>
        <w:tc>
          <w:tcPr>
            <w:tcW w:w="2600" w:type="dxa"/>
            <w:vAlign w:val="bottom"/>
            <w:gridSpan w:val="2"/>
            <w:shd w:val="clear" w:color="auto" w:fill="CCEEFF"/>
          </w:tcPr>
          <w:p>
            <w:pPr>
              <w:ind w:left="2340"/>
              <w:spacing w:after="0" w:line="204"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80"/>
              <w:spacing w:after="0" w:line="204" w:lineRule="exact"/>
              <w:rPr>
                <w:sz w:val="20"/>
                <w:szCs w:val="20"/>
                <w:color w:val="auto"/>
              </w:rPr>
            </w:pPr>
            <w:r>
              <w:rPr>
                <w:rFonts w:ascii="Arial" w:cs="Arial" w:eastAsia="Arial" w:hAnsi="Arial"/>
                <w:sz w:val="18"/>
                <w:szCs w:val="18"/>
                <w:color w:val="auto"/>
              </w:rPr>
              <w:t>10,774</w:t>
            </w:r>
          </w:p>
        </w:tc>
        <w:tc>
          <w:tcPr>
            <w:tcW w:w="2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340" w:type="dxa"/>
            <w:vAlign w:val="bottom"/>
            <w:vMerge w:val="restart"/>
          </w:tcPr>
          <w:p>
            <w:pPr>
              <w:jc w:val="right"/>
              <w:ind w:right="1712"/>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8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The real estate assets held for sale consist of a portfolio of six stores located in Ohio and Indiana, a single store located in Indiana, and a portion of land at an operating store in New Jersey. The estimated fair value less selling costs of each of these assets is greater than the carrying value of the assets, and therefore no loss has been recorded. The six-store portfolio is under contract, and the sale is expected to close by the second quarter of 2016. The single store located in Indiana is currently listed for sale but is not yet under contract. The Company expects that this property will be sold by the end of 2016. The land in New Jersey is also under contract and the sale is expected to close by the end of 2016. These assets held for sale are included in the rental operations segment of the Company’s segment information.</w:t>
      </w:r>
    </w:p>
    <w:p>
      <w:pPr>
        <w:spacing w:after="0" w:line="195" w:lineRule="exact"/>
        <w:rPr>
          <w:sz w:val="20"/>
          <w:szCs w:val="20"/>
          <w:color w:val="auto"/>
        </w:rPr>
      </w:pPr>
    </w:p>
    <w:p>
      <w:pPr>
        <w:ind w:right="420" w:firstLine="457"/>
        <w:spacing w:after="0" w:line="292" w:lineRule="auto"/>
        <w:rPr>
          <w:sz w:val="20"/>
          <w:szCs w:val="20"/>
          <w:color w:val="auto"/>
        </w:rPr>
      </w:pPr>
      <w:r>
        <w:rPr>
          <w:rFonts w:ascii="Arial" w:cs="Arial" w:eastAsia="Arial" w:hAnsi="Arial"/>
          <w:sz w:val="16"/>
          <w:szCs w:val="16"/>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$11,695, $12,996, and $12,065 for the years ended December 31, 2015, 2014 and 2013, respectively. The remaining balance of the unamortized lease rights will be amortized over the next 3 to 46 years.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2"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 AND DISPOSITIONS</w:t>
      </w:r>
    </w:p>
    <w:p>
      <w:pPr>
        <w:spacing w:after="0" w:line="116" w:lineRule="exact"/>
        <w:rPr>
          <w:sz w:val="20"/>
          <w:szCs w:val="20"/>
          <w:color w:val="auto"/>
        </w:rPr>
      </w:pPr>
    </w:p>
    <w:p>
      <w:pPr>
        <w:ind w:right="20" w:firstLine="457"/>
        <w:spacing w:after="0" w:line="263" w:lineRule="auto"/>
        <w:rPr>
          <w:sz w:val="20"/>
          <w:szCs w:val="20"/>
          <w:color w:val="auto"/>
        </w:rPr>
      </w:pPr>
      <w:r>
        <w:rPr>
          <w:rFonts w:ascii="Arial" w:cs="Arial" w:eastAsia="Arial" w:hAnsi="Arial"/>
          <w:sz w:val="18"/>
          <w:szCs w:val="18"/>
          <w:color w:val="auto"/>
        </w:rPr>
        <w:t>The following table shows the Company’s acquisition of operating stores for the years ended December 31, 2015 and 2014, and does not include purchases of raw land or improvements made to existing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color w:val="auto"/>
              </w:rPr>
              <w:t>Consideration Paid</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w w:val="99"/>
              </w:rPr>
              <w:t>Acquisition Date Fair Value</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10"/>
              <w:spacing w:after="0" w:line="120" w:lineRule="exact"/>
              <w:rPr>
                <w:sz w:val="20"/>
                <w:szCs w:val="20"/>
                <w:color w:val="auto"/>
              </w:rPr>
            </w:pPr>
            <w:r>
              <w:rPr>
                <w:rFonts w:ascii="Arial" w:cs="Arial" w:eastAsia="Arial" w:hAnsi="Arial"/>
                <w:sz w:val="13"/>
                <w:szCs w:val="13"/>
                <w:color w:val="auto"/>
                <w:w w:val="88"/>
              </w:rPr>
              <w:t>Notes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7"/>
              </w:rPr>
              <w:t>Issued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1"/>
              </w:rPr>
              <w:t>Net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Number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92"/>
              </w:rPr>
              <w:t>Number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center"/>
              <w:ind w:right="120"/>
              <w:spacing w:after="0" w:line="145" w:lineRule="exact"/>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45" w:lineRule="exact"/>
              <w:rPr>
                <w:sz w:val="20"/>
                <w:szCs w:val="20"/>
                <w:color w:val="auto"/>
              </w:rPr>
            </w:pPr>
            <w:r>
              <w:rPr>
                <w:rFonts w:ascii="Arial" w:cs="Arial" w:eastAsia="Arial" w:hAnsi="Arial"/>
                <w:sz w:val="14"/>
                <w:szCs w:val="14"/>
                <w:color w:val="auto"/>
                <w:w w:val="89"/>
              </w:rPr>
              <w:t>to/</w:t>
            </w:r>
          </w:p>
        </w:tc>
        <w:tc>
          <w:tcPr>
            <w:tcW w:w="140" w:type="dxa"/>
            <w:vAlign w:val="bottom"/>
          </w:tcPr>
          <w:p>
            <w:pPr>
              <w:spacing w:after="0"/>
              <w:rPr>
                <w:sz w:val="12"/>
                <w:szCs w:val="12"/>
                <w:color w:val="auto"/>
              </w:rPr>
            </w:pPr>
          </w:p>
        </w:tc>
        <w:tc>
          <w:tcPr>
            <w:tcW w:w="640" w:type="dxa"/>
            <w:vAlign w:val="bottom"/>
            <w:gridSpan w:val="3"/>
          </w:tcPr>
          <w:p>
            <w:pPr>
              <w:spacing w:after="0" w:line="145" w:lineRule="exact"/>
              <w:rPr>
                <w:sz w:val="20"/>
                <w:szCs w:val="20"/>
                <w:color w:val="auto"/>
              </w:rPr>
            </w:pPr>
            <w:r>
              <w:rPr>
                <w:rFonts w:ascii="Arial" w:cs="Arial" w:eastAsia="Arial" w:hAnsi="Arial"/>
                <w:sz w:val="14"/>
                <w:szCs w:val="14"/>
                <w:color w:val="auto"/>
              </w:rPr>
              <w:t>Previous</w:t>
            </w:r>
          </w:p>
        </w:tc>
        <w:tc>
          <w:tcPr>
            <w:tcW w:w="760" w:type="dxa"/>
            <w:vAlign w:val="bottom"/>
            <w:gridSpan w:val="3"/>
          </w:tcPr>
          <w:p>
            <w:pPr>
              <w:spacing w:after="0" w:line="145" w:lineRule="exact"/>
              <w:rPr>
                <w:sz w:val="20"/>
                <w:szCs w:val="20"/>
                <w:color w:val="auto"/>
              </w:rPr>
            </w:pPr>
            <w:r>
              <w:rPr>
                <w:rFonts w:ascii="Arial" w:cs="Arial" w:eastAsia="Arial" w:hAnsi="Arial"/>
                <w:sz w:val="14"/>
                <w:szCs w:val="14"/>
                <w:color w:val="auto"/>
              </w:rPr>
              <w:t>Liabilities/</w:t>
            </w:r>
          </w:p>
        </w:tc>
        <w:tc>
          <w:tcPr>
            <w:tcW w:w="68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w w:val="97"/>
              </w:rPr>
              <w:t>Value of</w:t>
            </w:r>
          </w:p>
        </w:tc>
        <w:tc>
          <w:tcPr>
            <w:tcW w:w="74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of OP</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4"/>
              </w:rPr>
              <w:t>Closing</w:t>
            </w:r>
          </w:p>
        </w:tc>
        <w:tc>
          <w:tcPr>
            <w:tcW w:w="0" w:type="dxa"/>
            <w:vAlign w:val="bottom"/>
          </w:tcPr>
          <w:p>
            <w:pPr>
              <w:spacing w:after="0"/>
              <w:rPr>
                <w:sz w:val="1"/>
                <w:szCs w:val="1"/>
                <w:color w:val="auto"/>
              </w:rPr>
            </w:pPr>
          </w:p>
        </w:tc>
      </w:tr>
      <w:tr>
        <w:trPr>
          <w:trHeight w:val="145"/>
        </w:trPr>
        <w:tc>
          <w:tcPr>
            <w:tcW w:w="1080" w:type="dxa"/>
            <w:vAlign w:val="bottom"/>
            <w:vMerge w:val="restart"/>
          </w:tcPr>
          <w:p>
            <w:pPr>
              <w:spacing w:after="0"/>
              <w:rPr>
                <w:sz w:val="20"/>
                <w:szCs w:val="20"/>
                <w:color w:val="auto"/>
              </w:rPr>
            </w:pPr>
            <w:r>
              <w:rPr>
                <w:rFonts w:ascii="Arial" w:cs="Arial" w:eastAsia="Arial" w:hAnsi="Arial"/>
                <w:sz w:val="14"/>
                <w:szCs w:val="14"/>
                <w:color w:val="auto"/>
                <w:w w:val="94"/>
              </w:rPr>
              <w:t>Property Location</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rPr>
              <w:t>of</w:t>
            </w:r>
          </w:p>
        </w:tc>
        <w:tc>
          <w:tcPr>
            <w:tcW w:w="820" w:type="dxa"/>
            <w:vAlign w:val="bottom"/>
            <w:gridSpan w:val="2"/>
          </w:tcPr>
          <w:p>
            <w:pPr>
              <w:jc w:val="right"/>
              <w:ind w:right="190"/>
              <w:spacing w:after="0" w:line="145" w:lineRule="exact"/>
              <w:rPr>
                <w:sz w:val="20"/>
                <w:szCs w:val="20"/>
                <w:color w:val="auto"/>
              </w:rPr>
            </w:pPr>
            <w:r>
              <w:rPr>
                <w:rFonts w:ascii="Arial" w:cs="Arial" w:eastAsia="Arial" w:hAnsi="Arial"/>
                <w:sz w:val="14"/>
                <w:szCs w:val="14"/>
                <w:color w:val="auto"/>
              </w:rPr>
              <w:t>Date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Cash</w:t>
            </w:r>
          </w:p>
        </w:tc>
        <w:tc>
          <w:tcPr>
            <w:tcW w:w="80" w:type="dxa"/>
            <w:vAlign w:val="bottom"/>
          </w:tcPr>
          <w:p>
            <w:pPr>
              <w:spacing w:after="0"/>
              <w:rPr>
                <w:sz w:val="12"/>
                <w:szCs w:val="12"/>
                <w:color w:val="auto"/>
              </w:rPr>
            </w:pPr>
          </w:p>
        </w:tc>
        <w:tc>
          <w:tcPr>
            <w:tcW w:w="44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1"/>
              </w:rPr>
              <w:t>cash</w:t>
            </w:r>
          </w:p>
        </w:tc>
        <w:tc>
          <w:tcPr>
            <w:tcW w:w="100" w:type="dxa"/>
            <w:vAlign w:val="bottom"/>
          </w:tcPr>
          <w:p>
            <w:pPr>
              <w:spacing w:after="0"/>
              <w:rPr>
                <w:sz w:val="12"/>
                <w:szCs w:val="12"/>
                <w:color w:val="auto"/>
              </w:rPr>
            </w:pPr>
          </w:p>
        </w:tc>
        <w:tc>
          <w:tcPr>
            <w:tcW w:w="440" w:type="dxa"/>
            <w:vAlign w:val="bottom"/>
          </w:tcPr>
          <w:p>
            <w:pPr>
              <w:ind w:left="20"/>
              <w:spacing w:after="0" w:line="145" w:lineRule="exact"/>
              <w:rPr>
                <w:sz w:val="20"/>
                <w:szCs w:val="20"/>
                <w:color w:val="auto"/>
              </w:rPr>
            </w:pPr>
            <w:r>
              <w:rPr>
                <w:rFonts w:ascii="Arial" w:cs="Arial" w:eastAsia="Arial" w:hAnsi="Arial"/>
                <w:sz w:val="14"/>
                <w:szCs w:val="14"/>
                <w:color w:val="auto"/>
              </w:rPr>
              <w:t>Loan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0"/>
              <w:spacing w:after="0" w:line="145" w:lineRule="exact"/>
              <w:rPr>
                <w:sz w:val="20"/>
                <w:szCs w:val="20"/>
                <w:color w:val="auto"/>
              </w:rPr>
            </w:pPr>
            <w:r>
              <w:rPr>
                <w:rFonts w:ascii="Arial" w:cs="Arial" w:eastAsia="Arial" w:hAnsi="Arial"/>
                <w:sz w:val="14"/>
                <w:szCs w:val="14"/>
                <w:color w:val="auto"/>
                <w:w w:val="99"/>
              </w:rPr>
              <w:t>from</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0"/>
              </w:rPr>
              <w:t>equity</w:t>
            </w: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9"/>
              </w:rPr>
              <w:t>(Assets)</w:t>
            </w:r>
          </w:p>
        </w:tc>
        <w:tc>
          <w:tcPr>
            <w:tcW w:w="68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OP Units</w:t>
            </w:r>
          </w:p>
        </w:tc>
        <w:tc>
          <w:tcPr>
            <w:tcW w:w="74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Units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7"/>
              </w:rPr>
              <w:t>costs -</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8"/>
              </w:rPr>
              <w:t>Stores</w:t>
            </w:r>
          </w:p>
        </w:tc>
        <w:tc>
          <w:tcPr>
            <w:tcW w:w="820" w:type="dxa"/>
            <w:vAlign w:val="bottom"/>
            <w:gridSpan w:val="2"/>
          </w:tcPr>
          <w:p>
            <w:pPr>
              <w:jc w:val="right"/>
              <w:ind w:right="70"/>
              <w:spacing w:after="0"/>
              <w:rPr>
                <w:sz w:val="20"/>
                <w:szCs w:val="20"/>
                <w:color w:val="auto"/>
              </w:rPr>
            </w:pPr>
            <w:r>
              <w:rPr>
                <w:rFonts w:ascii="Arial" w:cs="Arial" w:eastAsia="Arial" w:hAnsi="Arial"/>
                <w:sz w:val="14"/>
                <w:szCs w:val="14"/>
                <w:color w:val="auto"/>
              </w:rPr>
              <w:t>Acquisition</w:t>
            </w:r>
          </w:p>
        </w:tc>
        <w:tc>
          <w:tcPr>
            <w:tcW w:w="560" w:type="dxa"/>
            <w:vAlign w:val="bottom"/>
          </w:tcPr>
          <w:p>
            <w:pPr>
              <w:jc w:val="right"/>
              <w:ind w:right="11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Paid</w:t>
            </w:r>
          </w:p>
        </w:tc>
        <w:tc>
          <w:tcPr>
            <w:tcW w:w="80" w:type="dxa"/>
            <w:vAlign w:val="bottom"/>
          </w:tcPr>
          <w:p>
            <w:pPr>
              <w:spacing w:after="0"/>
              <w:rPr>
                <w:sz w:val="14"/>
                <w:szCs w:val="14"/>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gain</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82"/>
              </w:rPr>
              <w:t>Assumed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w w:val="83"/>
              </w:rPr>
              <w:t>Seller</w:t>
            </w:r>
          </w:p>
        </w:tc>
        <w:tc>
          <w:tcPr>
            <w:tcW w:w="14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interest</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Assumed</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Issued</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Issued</w:t>
            </w:r>
          </w:p>
        </w:tc>
        <w:tc>
          <w:tcPr>
            <w:tcW w:w="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Land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Building</w:t>
            </w:r>
          </w:p>
        </w:tc>
        <w:tc>
          <w:tcPr>
            <w:tcW w:w="580" w:type="dxa"/>
            <w:vAlign w:val="bottom"/>
            <w:gridSpan w:val="2"/>
          </w:tcPr>
          <w:p>
            <w:pPr>
              <w:spacing w:after="0"/>
              <w:rPr>
                <w:sz w:val="20"/>
                <w:szCs w:val="20"/>
                <w:color w:val="auto"/>
              </w:rPr>
            </w:pPr>
            <w:r>
              <w:rPr>
                <w:rFonts w:ascii="Arial" w:cs="Arial" w:eastAsia="Arial" w:hAnsi="Arial"/>
                <w:sz w:val="14"/>
                <w:szCs w:val="14"/>
                <w:color w:val="auto"/>
                <w:w w:val="88"/>
              </w:rPr>
              <w:t>Intangible</w:t>
            </w:r>
          </w:p>
        </w:tc>
        <w:tc>
          <w:tcPr>
            <w:tcW w:w="12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expensed (1)</w:t>
            </w:r>
          </w:p>
        </w:tc>
        <w:tc>
          <w:tcPr>
            <w:tcW w:w="0" w:type="dxa"/>
            <w:vAlign w:val="bottom"/>
          </w:tcPr>
          <w:p>
            <w:pPr>
              <w:spacing w:after="0"/>
              <w:rPr>
                <w:sz w:val="1"/>
                <w:szCs w:val="1"/>
                <w:color w:val="auto"/>
              </w:rPr>
            </w:pPr>
          </w:p>
        </w:tc>
      </w:tr>
      <w:tr>
        <w:trPr>
          <w:trHeight w:val="20"/>
        </w:trPr>
        <w:tc>
          <w:tcPr>
            <w:tcW w:w="108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80" w:type="dxa"/>
            <w:vAlign w:val="bottom"/>
            <w:tcBorders>
              <w:right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California</w:t>
            </w:r>
          </w:p>
        </w:tc>
        <w:tc>
          <w:tcPr>
            <w:tcW w:w="4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12/11/2015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9,712</w:t>
            </w:r>
          </w:p>
        </w:tc>
        <w:tc>
          <w:tcPr>
            <w:tcW w:w="120" w:type="dxa"/>
            <w:vAlign w:val="bottom"/>
            <w:tcBorders>
              <w:lef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9,716</w:t>
            </w: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w:t>
            </w:r>
          </w:p>
        </w:tc>
        <w:tc>
          <w:tcPr>
            <w:tcW w:w="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center"/>
              <w:ind w:left="70"/>
              <w:spacing w:after="0" w:line="139"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center"/>
              <w:ind w:left="70"/>
              <w:spacing w:after="0" w:line="139" w:lineRule="exact"/>
              <w:rPr>
                <w:sz w:val="20"/>
                <w:szCs w:val="20"/>
                <w:color w:val="auto"/>
              </w:rPr>
            </w:pPr>
            <w:r>
              <w:rPr>
                <w:rFonts w:ascii="Arial" w:cs="Arial" w:eastAsia="Arial" w:hAnsi="Arial"/>
                <w:sz w:val="14"/>
                <w:szCs w:val="14"/>
                <w:color w:val="auto"/>
                <w:w w:val="99"/>
              </w:rPr>
              <w:t>—</w:t>
            </w: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2,679</w:t>
            </w:r>
          </w:p>
        </w:tc>
        <w:tc>
          <w:tcPr>
            <w:tcW w:w="140" w:type="dxa"/>
            <w:vAlign w:val="bottom"/>
            <w:tcBorders>
              <w:left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7,029</w:t>
            </w:r>
          </w:p>
        </w:tc>
        <w:tc>
          <w:tcPr>
            <w:tcW w:w="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vMerge w:val="continue"/>
            <w:shd w:val="clear" w:color="auto" w:fill="CCEEFF"/>
          </w:tcPr>
          <w:p>
            <w:pPr>
              <w:spacing w:after="0"/>
              <w:rPr>
                <w:sz w:val="12"/>
                <w:szCs w:val="12"/>
                <w:color w:val="auto"/>
              </w:rPr>
            </w:pPr>
          </w:p>
        </w:tc>
        <w:tc>
          <w:tcPr>
            <w:tcW w:w="1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North Carolina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12/8/2015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5,307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5,333</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1,372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3,925</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Oregon</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11/24/2015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10,011</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10,013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732</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9,157</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Florida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3</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11/19/2015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20,017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19,965</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17,662</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329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11/13/2015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14,397</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7,221</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91,434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6,643</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7,551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10/23/2015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8,707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8,685</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1,140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7,560</w:t>
            </w:r>
          </w:p>
        </w:tc>
        <w:tc>
          <w:tcPr>
            <w:tcW w:w="120" w:type="dxa"/>
            <w:vAlign w:val="bottom"/>
          </w:tcPr>
          <w:p>
            <w:pPr>
              <w:spacing w:after="0"/>
              <w:rPr>
                <w:sz w:val="12"/>
                <w:szCs w:val="12"/>
                <w:color w:val="auto"/>
              </w:rPr>
            </w:pPr>
          </w:p>
        </w:tc>
        <w:tc>
          <w:tcPr>
            <w:tcW w:w="4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New Jersey</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10/7/2015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7,430</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7,394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1,057</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146</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Various (2)</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94"/>
              </w:rPr>
              <w:t>122</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10/1/2015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86"/>
              </w:rPr>
              <w:t>1,230,976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86"/>
              </w:rPr>
              <w:t>1,272,256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(69,936)</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28,656</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376,848</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w w:val="86"/>
              </w:rPr>
              <w:t>179,700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978,368</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18,830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54,083</w:t>
            </w: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Maryland</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9/10/2015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6,165</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6,183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794</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5,178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119</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North Carolina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6/19/2015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6,987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6,926</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1,408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5,461</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Florida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6/18/2015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17,657</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12,677</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4,773</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71,054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17,220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327</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Florida (3)</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6/17/2015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6,076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1"/>
              </w:rPr>
              <w:t>1,100</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4,601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534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5,364</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Illinois</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6/8/2015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10,046</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9,970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964</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9,085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Massachusetts</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5/13/2015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12,512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12,515</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1,625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10,875</w:t>
            </w:r>
          </w:p>
        </w:tc>
        <w:tc>
          <w:tcPr>
            <w:tcW w:w="120" w:type="dxa"/>
            <w:vAlign w:val="bottom"/>
          </w:tcPr>
          <w:p>
            <w:pPr>
              <w:spacing w:after="0"/>
              <w:rPr>
                <w:sz w:val="12"/>
                <w:szCs w:val="12"/>
                <w:color w:val="auto"/>
              </w:rPr>
            </w:pPr>
          </w:p>
        </w:tc>
        <w:tc>
          <w:tcPr>
            <w:tcW w:w="4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Georgia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5/7/2015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6,498</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6,458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2,087</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4,295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North Carolina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5/5/2015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10,976</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4,050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6,867</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Georgia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4/24/2015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6,500</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6,451</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370</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6,014</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Arizona, Texas</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89"/>
              </w:rPr>
              <w:t>22</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4/15/2015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178,252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75,681</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822</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w w:val="86"/>
              </w:rPr>
              <w:t>101,749</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w w:val="93"/>
              </w:rPr>
              <w:t>1,504,277</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24,087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151,465</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2,121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579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4/14/2015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8,650</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8,580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619</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7,861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160</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California (4)</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3/30/2015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12,699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1,700</w:t>
            </w:r>
          </w:p>
        </w:tc>
        <w:tc>
          <w:tcPr>
            <w:tcW w:w="80" w:type="dxa"/>
            <w:vAlign w:val="bottom"/>
          </w:tcPr>
          <w:p>
            <w:pPr>
              <w:spacing w:after="0"/>
              <w:rPr>
                <w:sz w:val="12"/>
                <w:szCs w:val="12"/>
                <w:color w:val="auto"/>
              </w:rPr>
            </w:pPr>
          </w:p>
        </w:tc>
        <w:tc>
          <w:tcPr>
            <w:tcW w:w="4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1"/>
              </w:rPr>
              <w:t>1,629</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w w:val="88"/>
              </w:rPr>
              <w:t>11,009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20"/>
              <w:spacing w:after="0" w:line="145" w:lineRule="exact"/>
              <w:rPr>
                <w:sz w:val="20"/>
                <w:szCs w:val="20"/>
                <w:color w:val="auto"/>
              </w:rPr>
            </w:pPr>
            <w:r>
              <w:rPr>
                <w:rFonts w:ascii="Arial" w:cs="Arial" w:eastAsia="Arial" w:hAnsi="Arial"/>
                <w:sz w:val="14"/>
                <w:szCs w:val="14"/>
                <w:color w:val="auto"/>
                <w:w w:val="90"/>
              </w:rPr>
              <w:t>(1,264)</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11,479</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South Carolina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2</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3/30/2015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13,165</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13,143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1,763</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11,229</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144</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Virginia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3/17/2015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5,073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5,065</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4,797</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2/24/2015</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13,570</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13,519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1,511</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11,861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3</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1/13/2015</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41,904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41,806</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12,080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29,489</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2015 Totals</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w w:val="94"/>
              </w:rPr>
              <w:t>171</w:t>
            </w:r>
          </w:p>
        </w:tc>
        <w:tc>
          <w:tcPr>
            <w:tcW w:w="82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86"/>
              </w:rPr>
              <w:t>1,663,318</w:t>
            </w:r>
          </w:p>
        </w:tc>
        <w:tc>
          <w:tcPr>
            <w:tcW w:w="20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86"/>
              </w:rPr>
              <w:t>1,572,540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2,729</w:t>
            </w: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rPr>
              <w:t>$</w:t>
            </w: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88"/>
              </w:rPr>
              <w:t>15,610</w:t>
            </w:r>
          </w:p>
        </w:tc>
        <w:tc>
          <w:tcPr>
            <w:tcW w:w="20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shd w:val="clear" w:color="auto" w:fill="CCEEFF"/>
          </w:tcPr>
          <w:p>
            <w:pPr>
              <w:jc w:val="center"/>
              <w:ind w:right="20"/>
              <w:spacing w:after="0" w:line="145" w:lineRule="exact"/>
              <w:rPr>
                <w:sz w:val="20"/>
                <w:szCs w:val="20"/>
                <w:color w:val="auto"/>
              </w:rPr>
            </w:pPr>
            <w:r>
              <w:rPr>
                <w:rFonts w:ascii="Arial" w:cs="Arial" w:eastAsia="Arial" w:hAnsi="Arial"/>
                <w:sz w:val="14"/>
                <w:szCs w:val="14"/>
                <w:b w:val="1"/>
                <w:bCs w:val="1"/>
                <w:color w:val="auto"/>
                <w:w w:val="90"/>
              </w:rPr>
              <w:t>(1,264)</w:t>
            </w: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right w:val="single" w:sz="8" w:color="CCEEFF"/>
            </w:tcBorders>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(68,696)</w:t>
            </w: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u w:val="single" w:color="auto"/>
                <w:color w:val="auto"/>
                <w:w w:val="76"/>
              </w:rPr>
              <w:t>$</w:t>
            </w: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w w:val="86"/>
              </w:rPr>
              <w:t>142,399</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w w:val="93"/>
              </w:rPr>
              <w:t>2,043,613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86"/>
              </w:rPr>
              <w:t>248,370</w:t>
            </w:r>
          </w:p>
        </w:tc>
        <w:tc>
          <w:tcPr>
            <w:tcW w:w="20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rPr>
              <w:t>$</w:t>
            </w: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w w:val="89"/>
              </w:rPr>
              <w:t>1,335,829</w:t>
            </w:r>
          </w:p>
        </w:tc>
        <w:tc>
          <w:tcPr>
            <w:tcW w:w="1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23,780</w:t>
            </w:r>
          </w:p>
        </w:tc>
        <w:tc>
          <w:tcPr>
            <w:tcW w:w="24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b w:val="1"/>
                <w:bCs w:val="1"/>
                <w:color w:val="auto"/>
              </w:rPr>
              <w:t>55,344</w:t>
            </w:r>
          </w:p>
        </w:tc>
        <w:tc>
          <w:tcPr>
            <w:tcW w:w="0" w:type="dxa"/>
            <w:vAlign w:val="bottom"/>
          </w:tcPr>
          <w:p>
            <w:pPr>
              <w:spacing w:after="0"/>
              <w:rPr>
                <w:sz w:val="1"/>
                <w:szCs w:val="1"/>
                <w:color w:val="auto"/>
              </w:rPr>
            </w:pPr>
          </w:p>
        </w:tc>
      </w:tr>
      <w:tr>
        <w:trPr>
          <w:trHeight w:val="152"/>
        </w:trPr>
        <w:tc>
          <w:tcPr>
            <w:tcW w:w="1080" w:type="dxa"/>
            <w:vAlign w:val="bottom"/>
          </w:tcPr>
          <w:p>
            <w:pPr>
              <w:spacing w:after="0" w:line="151" w:lineRule="exact"/>
              <w:rPr>
                <w:sz w:val="20"/>
                <w:szCs w:val="20"/>
                <w:color w:val="auto"/>
              </w:rPr>
            </w:pPr>
            <w:r>
              <w:rPr>
                <w:rFonts w:ascii="Arial" w:cs="Arial" w:eastAsia="Arial" w:hAnsi="Arial"/>
                <w:sz w:val="14"/>
                <w:szCs w:val="14"/>
                <w:color w:val="auto"/>
              </w:rPr>
              <w:t>Florida</w:t>
            </w:r>
          </w:p>
        </w:tc>
        <w:tc>
          <w:tcPr>
            <w:tcW w:w="46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w w:val="76"/>
              </w:rPr>
              <w:t>4</w:t>
            </w:r>
          </w:p>
        </w:tc>
        <w:tc>
          <w:tcPr>
            <w:tcW w:w="740" w:type="dxa"/>
            <w:vAlign w:val="bottom"/>
          </w:tcPr>
          <w:p>
            <w:pPr>
              <w:jc w:val="center"/>
              <w:spacing w:after="0" w:line="151" w:lineRule="exact"/>
              <w:rPr>
                <w:sz w:val="20"/>
                <w:szCs w:val="20"/>
                <w:color w:val="auto"/>
              </w:rPr>
            </w:pPr>
            <w:r>
              <w:rPr>
                <w:rFonts w:ascii="Arial" w:cs="Arial" w:eastAsia="Arial" w:hAnsi="Arial"/>
                <w:sz w:val="14"/>
                <w:szCs w:val="14"/>
                <w:color w:val="auto"/>
                <w:w w:val="91"/>
              </w:rPr>
              <w:t>12/23/2014</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32,954</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19,122</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center"/>
              <w:ind w:left="70"/>
              <w:spacing w:after="0" w:line="151"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center"/>
              <w:ind w:left="70"/>
              <w:spacing w:after="0" w:line="151"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ind w:left="80"/>
              <w:spacing w:after="0" w:line="151" w:lineRule="exact"/>
              <w:rPr>
                <w:sz w:val="20"/>
                <w:szCs w:val="20"/>
                <w:color w:val="auto"/>
              </w:rPr>
            </w:pPr>
            <w:r>
              <w:rPr>
                <w:rFonts w:ascii="Arial" w:cs="Arial" w:eastAsia="Arial" w:hAnsi="Arial"/>
                <w:sz w:val="14"/>
                <w:szCs w:val="14"/>
                <w:color w:val="auto"/>
                <w:w w:val="83"/>
              </w:rPr>
              <w:t>13,710</w:t>
            </w:r>
          </w:p>
        </w:tc>
        <w:tc>
          <w:tcPr>
            <w:tcW w:w="140" w:type="dxa"/>
            <w:vAlign w:val="bottom"/>
          </w:tcPr>
          <w:p>
            <w:pPr>
              <w:spacing w:after="0"/>
              <w:rPr>
                <w:sz w:val="13"/>
                <w:szCs w:val="13"/>
                <w:color w:val="auto"/>
              </w:rPr>
            </w:pPr>
          </w:p>
        </w:tc>
        <w:tc>
          <w:tcPr>
            <w:tcW w:w="600" w:type="dxa"/>
            <w:vAlign w:val="bottom"/>
            <w:tcBorders>
              <w:top w:val="single" w:sz="8" w:color="auto"/>
            </w:tcBorders>
          </w:tcPr>
          <w:p>
            <w:pPr>
              <w:ind w:left="160"/>
              <w:spacing w:after="0" w:line="151" w:lineRule="exact"/>
              <w:rPr>
                <w:sz w:val="20"/>
                <w:szCs w:val="20"/>
                <w:color w:val="auto"/>
              </w:rPr>
            </w:pPr>
            <w:r>
              <w:rPr>
                <w:rFonts w:ascii="Arial" w:cs="Arial" w:eastAsia="Arial" w:hAnsi="Arial"/>
                <w:sz w:val="14"/>
                <w:szCs w:val="14"/>
                <w:color w:val="auto"/>
                <w:w w:val="82"/>
              </w:rPr>
              <w:t>548,390</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12,502</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19,640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482</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80" w:type="dxa"/>
            <w:vAlign w:val="bottom"/>
            <w:tcBorders>
              <w:right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New Jersey,</w:t>
            </w:r>
          </w:p>
        </w:tc>
        <w:tc>
          <w:tcPr>
            <w:tcW w:w="460" w:type="dxa"/>
            <w:vAlign w:val="bottom"/>
            <w:shd w:val="clear" w:color="auto" w:fill="CCEEFF"/>
          </w:tcPr>
          <w:p>
            <w:pPr>
              <w:spacing w:after="0"/>
              <w:rPr>
                <w:sz w:val="11"/>
                <w:szCs w:val="11"/>
                <w:color w:val="auto"/>
              </w:rPr>
            </w:pPr>
          </w:p>
        </w:tc>
        <w:tc>
          <w:tcPr>
            <w:tcW w:w="74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Virginia (5)</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74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12/18/2014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47,747</w:t>
            </w: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42,167</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70"/>
              <w:spacing w:after="0"/>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5,580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w:t>
            </w:r>
          </w:p>
        </w:tc>
        <w:tc>
          <w:tcPr>
            <w:tcW w:w="14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42,440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New York (6)</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12/11/2014</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20,115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20,125</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12,085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7,665</w:t>
            </w:r>
          </w:p>
        </w:tc>
        <w:tc>
          <w:tcPr>
            <w:tcW w:w="120" w:type="dxa"/>
            <w:vAlign w:val="bottom"/>
          </w:tcPr>
          <w:p>
            <w:pPr>
              <w:spacing w:after="0"/>
              <w:rPr>
                <w:sz w:val="12"/>
                <w:szCs w:val="12"/>
                <w:color w:val="auto"/>
              </w:rPr>
            </w:pPr>
          </w:p>
        </w:tc>
        <w:tc>
          <w:tcPr>
            <w:tcW w:w="4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Borders>
              <w:right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North Carolina,</w:t>
            </w:r>
          </w:p>
        </w:tc>
        <w:tc>
          <w:tcPr>
            <w:tcW w:w="460" w:type="dxa"/>
            <w:vAlign w:val="bottom"/>
            <w:shd w:val="clear" w:color="auto" w:fill="CCEEFF"/>
          </w:tcPr>
          <w:p>
            <w:pPr>
              <w:spacing w:after="0"/>
              <w:rPr>
                <w:sz w:val="11"/>
                <w:szCs w:val="11"/>
                <w:color w:val="auto"/>
              </w:rPr>
            </w:pPr>
          </w:p>
        </w:tc>
        <w:tc>
          <w:tcPr>
            <w:tcW w:w="74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w w:val="93"/>
              </w:rPr>
              <w:t>South Carolina,</w:t>
            </w:r>
          </w:p>
        </w:tc>
        <w:tc>
          <w:tcPr>
            <w:tcW w:w="460" w:type="dxa"/>
            <w:vAlign w:val="bottom"/>
            <w:shd w:val="clear" w:color="auto" w:fill="CCEEFF"/>
          </w:tcPr>
          <w:p>
            <w:pPr>
              <w:spacing w:after="0"/>
              <w:rPr>
                <w:sz w:val="12"/>
                <w:szCs w:val="12"/>
                <w:color w:val="auto"/>
              </w:rPr>
            </w:pPr>
          </w:p>
        </w:tc>
        <w:tc>
          <w:tcPr>
            <w:tcW w:w="74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Texas (7)</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74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12/11/2014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60,279</w:t>
            </w: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60,086</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center"/>
              <w:ind w:left="70"/>
              <w:spacing w:after="0"/>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19,661</w:t>
            </w:r>
          </w:p>
        </w:tc>
        <w:tc>
          <w:tcPr>
            <w:tcW w:w="14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36,339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California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3"/>
              </w:rPr>
              <w:t>12/9/2014</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9,298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6,300</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2,983</w:t>
            </w: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50,620</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4,508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4,599</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Colorado</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10/24/2014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6,253</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6,202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2,077</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4,087</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Georgia</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10/22/2014</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11,030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588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10,295</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Florida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9/3/2014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4,259</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4,225</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529</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81</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line="145" w:lineRule="exact"/>
              <w:rPr>
                <w:sz w:val="20"/>
                <w:szCs w:val="20"/>
                <w:color w:val="auto"/>
              </w:rPr>
            </w:pPr>
            <w:r>
              <w:rPr>
                <w:rFonts w:ascii="Arial" w:cs="Arial" w:eastAsia="Arial" w:hAnsi="Arial"/>
                <w:sz w:val="14"/>
                <w:szCs w:val="14"/>
                <w:color w:val="auto"/>
              </w:rPr>
              <w:t>Texas</w:t>
            </w:r>
          </w:p>
        </w:tc>
        <w:tc>
          <w:tcPr>
            <w:tcW w:w="460" w:type="dxa"/>
            <w:vAlign w:val="bottom"/>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w w:val="91"/>
              </w:rPr>
              <w:t>8/8/2014</w:t>
            </w: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11,246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6,134</w:t>
            </w:r>
          </w:p>
        </w:tc>
        <w:tc>
          <w:tcPr>
            <w:tcW w:w="80" w:type="dxa"/>
            <w:vAlign w:val="bottom"/>
          </w:tcPr>
          <w:p>
            <w:pPr>
              <w:spacing w:after="0"/>
              <w:rPr>
                <w:sz w:val="12"/>
                <w:szCs w:val="12"/>
                <w:color w:val="auto"/>
              </w:rPr>
            </w:pPr>
          </w:p>
        </w:tc>
        <w:tc>
          <w:tcPr>
            <w:tcW w:w="4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440" w:type="dxa"/>
            <w:vAlign w:val="bottom"/>
          </w:tcPr>
          <w:p>
            <w:pPr>
              <w:jc w:val="center"/>
              <w:ind w:left="50"/>
              <w:spacing w:after="0" w:line="145" w:lineRule="exact"/>
              <w:rPr>
                <w:sz w:val="20"/>
                <w:szCs w:val="20"/>
                <w:color w:val="auto"/>
              </w:rPr>
            </w:pPr>
            <w:r>
              <w:rPr>
                <w:rFonts w:ascii="Arial" w:cs="Arial" w:eastAsia="Arial" w:hAnsi="Arial"/>
                <w:sz w:val="14"/>
                <w:szCs w:val="14"/>
                <w:color w:val="auto"/>
                <w:w w:val="91"/>
              </w:rPr>
              <w:t>5,157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6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9,969</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181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80" w:type="dxa"/>
            <w:vAlign w:val="bottom"/>
            <w:tcBorders>
              <w:righ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Georgia</w:t>
            </w:r>
          </w:p>
        </w:tc>
        <w:tc>
          <w:tcPr>
            <w:tcW w:w="4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1</w:t>
            </w:r>
          </w:p>
        </w:tc>
        <w:tc>
          <w:tcPr>
            <w:tcW w:w="740" w:type="dxa"/>
            <w:vAlign w:val="bottom"/>
            <w:tcBorders>
              <w:left w:val="single" w:sz="8" w:color="CCEEFF"/>
              <w:right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8/6/2014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11,337</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center"/>
              <w:ind w:left="70"/>
              <w:spacing w:after="0" w:line="145" w:lineRule="exact"/>
              <w:rPr>
                <w:sz w:val="20"/>
                <w:szCs w:val="20"/>
                <w:color w:val="auto"/>
              </w:rPr>
            </w:pPr>
            <w:r>
              <w:rPr>
                <w:rFonts w:ascii="Arial" w:cs="Arial" w:eastAsia="Arial" w:hAnsi="Arial"/>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1,132</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10,080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111</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80" w:type="dxa"/>
            <w:vAlign w:val="bottom"/>
          </w:tcPr>
          <w:p>
            <w:pPr>
              <w:spacing w:after="0"/>
              <w:rPr>
                <w:sz w:val="20"/>
                <w:szCs w:val="20"/>
                <w:color w:val="auto"/>
              </w:rPr>
            </w:pPr>
            <w:r>
              <w:rPr>
                <w:rFonts w:ascii="Arial" w:cs="Arial" w:eastAsia="Arial" w:hAnsi="Arial"/>
                <w:sz w:val="14"/>
                <w:szCs w:val="14"/>
                <w:color w:val="auto"/>
              </w:rPr>
              <w:t>North Carolina</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6/18/2014</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7,307</w:t>
            </w:r>
          </w:p>
        </w:tc>
        <w:tc>
          <w:tcPr>
            <w:tcW w:w="80" w:type="dxa"/>
            <w:vAlign w:val="bottom"/>
          </w:tcPr>
          <w:p>
            <w:pPr>
              <w:spacing w:after="0"/>
              <w:rPr>
                <w:sz w:val="15"/>
                <w:szCs w:val="15"/>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440" w:type="dxa"/>
            <w:vAlign w:val="bottom"/>
          </w:tcPr>
          <w:p>
            <w:pPr>
              <w:jc w:val="center"/>
              <w:ind w:left="7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2,940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4,265</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2"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color w:val="auto"/>
              </w:rPr>
              <w:t>Consideration Paid</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w w:val="93"/>
              </w:rPr>
              <w:t>Acquisition Date Fair Value</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center"/>
              <w:spacing w:after="0" w:line="120" w:lineRule="exact"/>
              <w:rPr>
                <w:sz w:val="20"/>
                <w:szCs w:val="20"/>
                <w:color w:val="auto"/>
              </w:rPr>
            </w:pPr>
            <w:r>
              <w:rPr>
                <w:rFonts w:ascii="Arial" w:cs="Arial" w:eastAsia="Arial" w:hAnsi="Arial"/>
                <w:sz w:val="13"/>
                <w:szCs w:val="13"/>
                <w:color w:val="auto"/>
                <w:w w:val="94"/>
              </w:rPr>
              <w:t>Notes</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87"/>
              </w:rPr>
              <w:t>Issued</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Net</w:t>
            </w: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Number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w w:val="92"/>
              </w:rPr>
              <w:t>Number</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Non-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rPr>
              <w:t>to/</w:t>
            </w:r>
          </w:p>
        </w:tc>
        <w:tc>
          <w:tcPr>
            <w:tcW w:w="200" w:type="dxa"/>
            <w:vAlign w:val="bottom"/>
          </w:tcPr>
          <w:p>
            <w:pPr>
              <w:spacing w:after="0"/>
              <w:rPr>
                <w:sz w:val="12"/>
                <w:szCs w:val="12"/>
                <w:color w:val="auto"/>
              </w:rPr>
            </w:pPr>
          </w:p>
        </w:tc>
        <w:tc>
          <w:tcPr>
            <w:tcW w:w="5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77"/>
              </w:rPr>
              <w:t>Previous</w:t>
            </w:r>
          </w:p>
        </w:tc>
        <w:tc>
          <w:tcPr>
            <w:tcW w:w="72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97"/>
              </w:rPr>
              <w:t>Liabilities/</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of OP</w:t>
            </w:r>
          </w:p>
        </w:tc>
        <w:tc>
          <w:tcPr>
            <w:tcW w:w="74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of OP</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4"/>
              </w:rPr>
              <w:t>Closing</w:t>
            </w:r>
          </w:p>
        </w:tc>
        <w:tc>
          <w:tcPr>
            <w:tcW w:w="0" w:type="dxa"/>
            <w:vAlign w:val="bottom"/>
          </w:tcPr>
          <w:p>
            <w:pPr>
              <w:spacing w:after="0"/>
              <w:rPr>
                <w:sz w:val="1"/>
                <w:szCs w:val="1"/>
                <w:color w:val="auto"/>
              </w:rPr>
            </w:pPr>
          </w:p>
        </w:tc>
      </w:tr>
      <w:tr>
        <w:trPr>
          <w:trHeight w:val="145"/>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Property Location</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rPr>
              <w:t>of</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2"/>
              </w:rPr>
              <w:t>Date of</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Cash</w:t>
            </w:r>
          </w:p>
        </w:tc>
        <w:tc>
          <w:tcPr>
            <w:tcW w:w="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cash</w:t>
            </w:r>
          </w:p>
        </w:tc>
        <w:tc>
          <w:tcPr>
            <w:tcW w:w="58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Loan</w:t>
            </w:r>
          </w:p>
        </w:tc>
        <w:tc>
          <w:tcPr>
            <w:tcW w:w="80" w:type="dxa"/>
            <w:vAlign w:val="bottom"/>
          </w:tcPr>
          <w:p>
            <w:pPr>
              <w:spacing w:after="0"/>
              <w:rPr>
                <w:sz w:val="12"/>
                <w:szCs w:val="12"/>
                <w:color w:val="auto"/>
              </w:rPr>
            </w:pPr>
          </w:p>
        </w:tc>
        <w:tc>
          <w:tcPr>
            <w:tcW w:w="360" w:type="dxa"/>
            <w:vAlign w:val="bottom"/>
          </w:tcPr>
          <w:p>
            <w:pPr>
              <w:jc w:val="center"/>
              <w:spacing w:after="0" w:line="145" w:lineRule="exact"/>
              <w:rPr>
                <w:sz w:val="20"/>
                <w:szCs w:val="20"/>
                <w:color w:val="auto"/>
              </w:rPr>
            </w:pPr>
            <w:r>
              <w:rPr>
                <w:rFonts w:ascii="Arial" w:cs="Arial" w:eastAsia="Arial" w:hAnsi="Arial"/>
                <w:sz w:val="14"/>
                <w:szCs w:val="14"/>
                <w:color w:val="auto"/>
                <w:w w:val="99"/>
              </w:rPr>
              <w:t>from</w:t>
            </w:r>
          </w:p>
        </w:tc>
        <w:tc>
          <w:tcPr>
            <w:tcW w:w="200" w:type="dxa"/>
            <w:vAlign w:val="bottom"/>
          </w:tcPr>
          <w:p>
            <w:pPr>
              <w:spacing w:after="0"/>
              <w:rPr>
                <w:sz w:val="12"/>
                <w:szCs w:val="12"/>
                <w:color w:val="auto"/>
              </w:rPr>
            </w:pPr>
          </w:p>
        </w:tc>
        <w:tc>
          <w:tcPr>
            <w:tcW w:w="56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6"/>
              </w:rPr>
              <w:t>equity</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89"/>
              </w:rPr>
              <w:t>(Assets)</w:t>
            </w: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Units</w:t>
            </w:r>
          </w:p>
        </w:tc>
        <w:tc>
          <w:tcPr>
            <w:tcW w:w="74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Units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7"/>
              </w:rPr>
              <w:t>costs -</w:t>
            </w:r>
          </w:p>
        </w:tc>
        <w:tc>
          <w:tcPr>
            <w:tcW w:w="0" w:type="dxa"/>
            <w:vAlign w:val="bottom"/>
          </w:tcPr>
          <w:p>
            <w:pPr>
              <w:spacing w:after="0"/>
              <w:rPr>
                <w:sz w:val="1"/>
                <w:szCs w:val="1"/>
                <w:color w:val="auto"/>
              </w:rPr>
            </w:pPr>
          </w:p>
        </w:tc>
      </w:tr>
      <w:tr>
        <w:trPr>
          <w:trHeight w:val="164"/>
        </w:trPr>
        <w:tc>
          <w:tcPr>
            <w:tcW w:w="1540" w:type="dxa"/>
            <w:vAlign w:val="bottom"/>
            <w:gridSpan w:val="2"/>
            <w:vMerge w:val="continue"/>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8"/>
              </w:rPr>
              <w:t>Stores</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Acquisition</w:t>
            </w: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Paid</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gain</w:t>
            </w:r>
          </w:p>
        </w:tc>
        <w:tc>
          <w:tcPr>
            <w:tcW w:w="580" w:type="dxa"/>
            <w:vAlign w:val="bottom"/>
            <w:gridSpan w:val="2"/>
          </w:tcPr>
          <w:p>
            <w:pPr>
              <w:spacing w:after="0"/>
              <w:rPr>
                <w:sz w:val="20"/>
                <w:szCs w:val="20"/>
                <w:color w:val="auto"/>
              </w:rPr>
            </w:pPr>
            <w:r>
              <w:rPr>
                <w:rFonts w:ascii="Arial" w:cs="Arial" w:eastAsia="Arial" w:hAnsi="Arial"/>
                <w:sz w:val="14"/>
                <w:szCs w:val="14"/>
                <w:color w:val="auto"/>
                <w:w w:val="95"/>
              </w:rPr>
              <w:t>Assumed</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Seller</w:t>
            </w:r>
          </w:p>
        </w:tc>
        <w:tc>
          <w:tcPr>
            <w:tcW w:w="2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interest</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Assumed</w:t>
            </w: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Issued</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Issued</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Land</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Building</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Intangible</w:t>
            </w:r>
          </w:p>
        </w:tc>
        <w:tc>
          <w:tcPr>
            <w:tcW w:w="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expensed (1)</w:t>
            </w:r>
          </w:p>
        </w:tc>
        <w:tc>
          <w:tcPr>
            <w:tcW w:w="0" w:type="dxa"/>
            <w:vAlign w:val="bottom"/>
          </w:tcPr>
          <w:p>
            <w:pPr>
              <w:spacing w:after="0"/>
              <w:rPr>
                <w:sz w:val="1"/>
                <w:szCs w:val="1"/>
                <w:color w:val="auto"/>
              </w:rPr>
            </w:pPr>
          </w:p>
        </w:tc>
      </w:tr>
      <w:tr>
        <w:trPr>
          <w:trHeight w:val="138"/>
        </w:trPr>
        <w:tc>
          <w:tcPr>
            <w:tcW w:w="10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California</w:t>
            </w:r>
          </w:p>
        </w:tc>
        <w:tc>
          <w:tcPr>
            <w:tcW w:w="5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5/28/2014</w:t>
            </w: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17,614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294</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10"/>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14,079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3,333</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69,735</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4,707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12,604</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Washington</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3"/>
              </w:rPr>
              <w:t>4/30/2014</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4,388</w:t>
            </w:r>
          </w:p>
        </w:tc>
        <w:tc>
          <w:tcPr>
            <w:tcW w:w="7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4,388</w:t>
            </w:r>
          </w:p>
        </w:tc>
        <w:tc>
          <w:tcPr>
            <w:tcW w:w="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437</w:t>
            </w:r>
          </w:p>
        </w:tc>
        <w:tc>
          <w:tcPr>
            <w:tcW w:w="40" w:type="dxa"/>
            <w:vAlign w:val="bottom"/>
          </w:tcPr>
          <w:p>
            <w:pPr>
              <w:spacing w:after="0"/>
              <w:rPr>
                <w:sz w:val="12"/>
                <w:szCs w:val="12"/>
                <w:color w:val="auto"/>
              </w:rPr>
            </w:pPr>
          </w:p>
        </w:tc>
        <w:tc>
          <w:tcPr>
            <w:tcW w:w="7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3,808</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California (8)</w:t>
            </w:r>
          </w:p>
        </w:tc>
        <w:tc>
          <w:tcPr>
            <w:tcW w:w="4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3</w:t>
            </w:r>
          </w:p>
        </w:tc>
        <w:tc>
          <w:tcPr>
            <w:tcW w:w="7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4/25/2014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35,275</w:t>
            </w:r>
          </w:p>
        </w:tc>
        <w:tc>
          <w:tcPr>
            <w:tcW w:w="7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2,726</w:t>
            </w:r>
          </w:p>
        </w:tc>
        <w:tc>
          <w:tcPr>
            <w:tcW w:w="5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3,438</w:t>
            </w:r>
          </w:p>
        </w:tc>
        <w:tc>
          <w:tcPr>
            <w:tcW w:w="5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19,111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(580)</w:t>
            </w:r>
          </w:p>
        </w:tc>
        <w:tc>
          <w:tcPr>
            <w:tcW w:w="6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10,451</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226,285</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6,853</w:t>
            </w:r>
          </w:p>
        </w:tc>
        <w:tc>
          <w:tcPr>
            <w:tcW w:w="7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27,666</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Florida</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3"/>
              </w:rPr>
              <w:t>4/15/2014</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10,186</w:t>
            </w:r>
          </w:p>
        </w:tc>
        <w:tc>
          <w:tcPr>
            <w:tcW w:w="7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10,077</w:t>
            </w:r>
          </w:p>
        </w:tc>
        <w:tc>
          <w:tcPr>
            <w:tcW w:w="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1,640</w:t>
            </w:r>
          </w:p>
        </w:tc>
        <w:tc>
          <w:tcPr>
            <w:tcW w:w="7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8,358</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Georgia</w:t>
            </w:r>
          </w:p>
        </w:tc>
        <w:tc>
          <w:tcPr>
            <w:tcW w:w="4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4/3/2014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23,649</w:t>
            </w:r>
          </w:p>
        </w:tc>
        <w:tc>
          <w:tcPr>
            <w:tcW w:w="7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15,158</w:t>
            </w:r>
          </w:p>
        </w:tc>
        <w:tc>
          <w:tcPr>
            <w:tcW w:w="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8,334</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333,360</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2,961</w:t>
            </w:r>
          </w:p>
        </w:tc>
        <w:tc>
          <w:tcPr>
            <w:tcW w:w="7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19,819</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Alabama</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3"/>
              </w:rPr>
              <w:t>3/20/2014</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13,813</w:t>
            </w:r>
          </w:p>
        </w:tc>
        <w:tc>
          <w:tcPr>
            <w:tcW w:w="7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13,752</w:t>
            </w:r>
          </w:p>
        </w:tc>
        <w:tc>
          <w:tcPr>
            <w:tcW w:w="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2,381</w:t>
            </w:r>
          </w:p>
        </w:tc>
        <w:tc>
          <w:tcPr>
            <w:tcW w:w="7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11,224</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Connecticut</w:t>
            </w:r>
          </w:p>
        </w:tc>
        <w:tc>
          <w:tcPr>
            <w:tcW w:w="4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3/17/2014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15,138</w:t>
            </w:r>
          </w:p>
        </w:tc>
        <w:tc>
          <w:tcPr>
            <w:tcW w:w="7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15,169</w:t>
            </w:r>
          </w:p>
        </w:tc>
        <w:tc>
          <w:tcPr>
            <w:tcW w:w="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1,072</w:t>
            </w:r>
          </w:p>
        </w:tc>
        <w:tc>
          <w:tcPr>
            <w:tcW w:w="7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14,028</w:t>
            </w:r>
          </w:p>
        </w:tc>
        <w:tc>
          <w:tcPr>
            <w:tcW w:w="6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California (9)</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3/4/2014</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7,000</w:t>
            </w:r>
          </w:p>
        </w:tc>
        <w:tc>
          <w:tcPr>
            <w:tcW w:w="74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6,974</w:t>
            </w:r>
          </w:p>
        </w:tc>
        <w:tc>
          <w:tcPr>
            <w:tcW w:w="5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2,150</w:t>
            </w:r>
          </w:p>
        </w:tc>
        <w:tc>
          <w:tcPr>
            <w:tcW w:w="760" w:type="dxa"/>
            <w:vAlign w:val="bottom"/>
            <w:gridSpan w:val="3"/>
          </w:tcPr>
          <w:p>
            <w:pPr>
              <w:jc w:val="right"/>
              <w:ind w:right="120"/>
              <w:spacing w:after="0" w:line="145" w:lineRule="exact"/>
              <w:rPr>
                <w:sz w:val="20"/>
                <w:szCs w:val="20"/>
                <w:color w:val="auto"/>
              </w:rPr>
            </w:pPr>
            <w:r>
              <w:rPr>
                <w:rFonts w:ascii="Arial" w:cs="Arial" w:eastAsia="Arial" w:hAnsi="Arial"/>
                <w:sz w:val="14"/>
                <w:szCs w:val="14"/>
                <w:color w:val="auto"/>
              </w:rPr>
              <w:t>4,734</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Texas</w:t>
            </w:r>
          </w:p>
        </w:tc>
        <w:tc>
          <w:tcPr>
            <w:tcW w:w="4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2/5/2014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14,191</w:t>
            </w:r>
          </w:p>
        </w:tc>
        <w:tc>
          <w:tcPr>
            <w:tcW w:w="7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14,152</w:t>
            </w:r>
          </w:p>
        </w:tc>
        <w:tc>
          <w:tcPr>
            <w:tcW w:w="54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1,767</w:t>
            </w:r>
          </w:p>
        </w:tc>
        <w:tc>
          <w:tcPr>
            <w:tcW w:w="7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12,368</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40" w:type="dxa"/>
            <w:vAlign w:val="bottom"/>
            <w:gridSpan w:val="2"/>
          </w:tcPr>
          <w:p>
            <w:pPr>
              <w:spacing w:after="0" w:line="145" w:lineRule="exact"/>
              <w:rPr>
                <w:sz w:val="20"/>
                <w:szCs w:val="20"/>
                <w:color w:val="auto"/>
              </w:rPr>
            </w:pPr>
            <w:r>
              <w:rPr>
                <w:rFonts w:ascii="Arial" w:cs="Arial" w:eastAsia="Arial" w:hAnsi="Arial"/>
                <w:sz w:val="14"/>
                <w:szCs w:val="14"/>
                <w:color w:val="auto"/>
              </w:rPr>
              <w:t>Virginia</w:t>
            </w:r>
          </w:p>
        </w:tc>
        <w:tc>
          <w:tcPr>
            <w:tcW w:w="480" w:type="dxa"/>
            <w:vAlign w:val="bottom"/>
          </w:tcPr>
          <w:p>
            <w:pPr>
              <w:jc w:val="center"/>
              <w:spacing w:after="0" w:line="145" w:lineRule="exact"/>
              <w:rPr>
                <w:sz w:val="20"/>
                <w:szCs w:val="20"/>
                <w:color w:val="auto"/>
              </w:rPr>
            </w:pPr>
            <w:r>
              <w:rPr>
                <w:rFonts w:ascii="Arial" w:cs="Arial" w:eastAsia="Arial" w:hAnsi="Arial"/>
                <w:sz w:val="14"/>
                <w:szCs w:val="14"/>
                <w:color w:val="auto"/>
                <w:w w:val="89"/>
              </w:rPr>
              <w:t>17</w:t>
            </w: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1/7/2014</w:t>
            </w:r>
          </w:p>
        </w:tc>
        <w:tc>
          <w:tcPr>
            <w:tcW w:w="6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200,588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200,525</w:t>
            </w:r>
          </w:p>
        </w:tc>
        <w:tc>
          <w:tcPr>
            <w:tcW w:w="120" w:type="dxa"/>
            <w:vAlign w:val="bottom"/>
          </w:tcPr>
          <w:p>
            <w:pPr>
              <w:spacing w:after="0"/>
              <w:rPr>
                <w:sz w:val="12"/>
                <w:szCs w:val="12"/>
                <w:color w:val="auto"/>
              </w:rPr>
            </w:pPr>
          </w:p>
        </w:tc>
        <w:tc>
          <w:tcPr>
            <w:tcW w:w="40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ind w:left="22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53,878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142,840</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2,973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897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5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2014 Totals</w:t>
            </w:r>
          </w:p>
        </w:tc>
        <w:tc>
          <w:tcPr>
            <w:tcW w:w="4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w w:val="89"/>
              </w:rPr>
              <w:t>52</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563,670</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477,183</w:t>
            </w:r>
          </w:p>
        </w:tc>
        <w:tc>
          <w:tcPr>
            <w:tcW w:w="5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3,438</w:t>
            </w:r>
          </w:p>
        </w:tc>
        <w:tc>
          <w:tcPr>
            <w:tcW w:w="5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b w:val="1"/>
                <w:bCs w:val="1"/>
                <w:color w:val="auto"/>
                <w:w w:val="91"/>
              </w:rPr>
              <w:t>$ 38,347</w:t>
            </w:r>
          </w:p>
        </w:tc>
        <w:tc>
          <w:tcPr>
            <w:tcW w:w="4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 —</w:t>
            </w:r>
          </w:p>
        </w:tc>
        <w:tc>
          <w:tcPr>
            <w:tcW w:w="2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b w:val="1"/>
                <w:bCs w:val="1"/>
                <w:color w:val="auto"/>
              </w:rPr>
              <w:t>129</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b w:val="1"/>
                <w:bCs w:val="1"/>
                <w:color w:val="auto"/>
              </w:rPr>
              <w:t>5,762</w:t>
            </w:r>
          </w:p>
        </w:tc>
        <w:tc>
          <w:tcPr>
            <w:tcW w:w="66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w w:val="91"/>
              </w:rPr>
              <w:t>$ 38,811</w:t>
            </w:r>
          </w:p>
        </w:tc>
        <w:tc>
          <w:tcPr>
            <w:tcW w:w="7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b w:val="1"/>
                <w:bCs w:val="1"/>
                <w:color w:val="auto"/>
                <w:w w:val="93"/>
              </w:rPr>
              <w:t>1,228,390</w:t>
            </w:r>
          </w:p>
        </w:tc>
        <w:tc>
          <w:tcPr>
            <w:tcW w:w="5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139,174</w:t>
            </w:r>
          </w:p>
        </w:tc>
        <w:tc>
          <w:tcPr>
            <w:tcW w:w="76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410,432</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b w:val="1"/>
                <w:bCs w:val="1"/>
                <w:color w:val="auto"/>
              </w:rPr>
              <w:t>$   7,554</w:t>
            </w: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b w:val="1"/>
                <w:bCs w:val="1"/>
                <w:color w:val="auto"/>
              </w:rPr>
              <w:t>6,510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represents costs paid at closing. The amounts shown exclude other acquisition costs paid before or after the closing date.</w:t>
      </w:r>
    </w:p>
    <w:p>
      <w:pPr>
        <w:ind w:left="34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represents the acquisition of SmartStop Self Storage, Inc. (“SmartStop”). See below for more detailed information about this acquisition.</w:t>
      </w:r>
    </w:p>
    <w:p>
      <w:pPr>
        <w:ind w:left="340" w:right="34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determined the consideration paid for this store was below its market value, and recognized a $1,100 gain, representing the difference between the fair value of the store and the consideration paid.</w:t>
      </w:r>
    </w:p>
    <w:p>
      <w:pPr>
        <w:ind w:left="340" w:right="100" w:hanging="334"/>
        <w:spacing w:after="0" w:line="233"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represents the acquisition of a joint venture partners’ interest in Extra Space of Sacramento One LLC (“Sacramento One”), an existing joint venture, for $1,700 in cash. The result of the acquisition is that the Company owns 100% of Sacramento One, which owned one store located in California. Prior to the acquisition date, the Company accounted for its interest in Sacramento One as an equity-method investment, and the Company also held mortgage notes receivable from Sacramento One totalling $11,009, including related interest. The total acquisition date fair value of the Company’s previous equity interest was approximately $365 and is included in consideration transfered. The Company recognized a non-cash gain of $1,629 as a result of remeasuring the fair value of its equity interest held prior to the acquisition. The store is consolidated subsequent to the acquisition as the Company owns 100% of the store.</w:t>
      </w:r>
    </w:p>
    <w:p>
      <w:pPr>
        <w:ind w:left="34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in net liabilities/(assets) assumed is a $5,400 liability related to an earnout provision.</w:t>
      </w:r>
    </w:p>
    <w:p>
      <w:pPr>
        <w:ind w:left="34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represents the acquisition of a non-operating property that the Company plans to convert to a self-storage store.</w:t>
      </w:r>
    </w:p>
    <w:p>
      <w:pPr>
        <w:ind w:left="34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in closing costs is approximately $3,271 of defeasance costs.</w:t>
      </w:r>
    </w:p>
    <w:p>
      <w:pPr>
        <w:ind w:left="340" w:right="100" w:hanging="334"/>
        <w:spacing w:after="0" w:line="21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previously held no equity interest in two of the three properties acquired. The Company acquired its joint venture partner’s 60% interest in an existing joint venture which held one property in California, resulting in full ownership by the Company. Prior to the acquisition date, the Company accounted for its 40% interest in this joint venture as an equity method investment. The total acquisition date fair value of the previous equity interest was approximately $3,567 and is included as consideration transferred. The Company recognized a non-cash gain of $3,438 as a result of remeasuring its prior equity interest in this joint venture held before the acquisition. The three properties were acquired in exchange for approximately $2,726 of cash and 226,285 Series C Units valued at $10,451.</w:t>
      </w:r>
    </w:p>
    <w:p>
      <w:pPr>
        <w:spacing w:after="0" w:line="1" w:lineRule="exact"/>
        <w:rPr>
          <w:rFonts w:ascii="Arial" w:cs="Arial" w:eastAsia="Arial" w:hAnsi="Arial"/>
          <w:sz w:val="14"/>
          <w:szCs w:val="14"/>
          <w:color w:val="auto"/>
        </w:rPr>
      </w:pPr>
    </w:p>
    <w:p>
      <w:pPr>
        <w:ind w:left="340" w:hanging="334"/>
        <w:spacing w:after="0" w:line="303" w:lineRule="auto"/>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This property was owned by Spencer F. Kirk, the Company’s Chief Executive Officer, and Kenneth M. Woolley, the Company’s Executive Chairman. The Company acquired the building on March 4, 2014. In a separate transaction on March 5, 2014, the Company acquired the land for $2,150 from a third party unrelated to the Company’s executives and terminated the existing ground lease.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2"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SmartStop</w:t>
      </w:r>
    </w:p>
    <w:p>
      <w:pPr>
        <w:spacing w:after="0" w:line="116" w:lineRule="exact"/>
        <w:rPr>
          <w:sz w:val="20"/>
          <w:szCs w:val="20"/>
          <w:color w:val="auto"/>
        </w:rPr>
      </w:pPr>
    </w:p>
    <w:p>
      <w:pPr>
        <w:jc w:val="both"/>
        <w:ind w:right="160" w:firstLine="457"/>
        <w:spacing w:after="0" w:line="292" w:lineRule="auto"/>
        <w:rPr>
          <w:sz w:val="20"/>
          <w:szCs w:val="20"/>
          <w:color w:val="auto"/>
        </w:rPr>
      </w:pPr>
      <w:r>
        <w:rPr>
          <w:rFonts w:ascii="Arial" w:cs="Arial" w:eastAsia="Arial" w:hAnsi="Arial"/>
          <w:sz w:val="16"/>
          <w:szCs w:val="16"/>
          <w:color w:val="auto"/>
        </w:rPr>
        <w:t>On October 1, 2015, the Company completed its previously announced acquisition of SmartStop, a public non-traded REIT (the “Transaction”), pursuant to an Agreement and Plan of Merger, dated June 15, 2015 (the “Merger Agreement”). The Company completed the Transaction as part of its strategy to acquire stores and portfolios of stores that can increase stockholder value. Under the terms of the Merger Agreement, SmartStop shareholders received $13.75 per share in cash, which represented a total purchase price of approximately $1,391,272.</w:t>
      </w:r>
    </w:p>
    <w:p>
      <w:pPr>
        <w:spacing w:after="0" w:line="160"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In connection with the Transaction, it was agreed that certain assets would be excluded from the Company’s acquisition of SmartStop (the “Excluded Assets”). The Company had determined that the Excluded Assets were not complementary to the Company’s business or otherwise not of primary interest to the Company. These Excluded Assets were instead sold by SmartStop to Strategic 1031, LLC, a Delaware limited liability company (“Strategic 1031”), prior to the Transaction. The Excluded Assets included five SmartStop stores located in Canada, one parcel of land located in California that is under development, and SmartStop’s non-traded REIT platform. Strategic 1031 is owned by and controlled by SmartStop’s former Chief Executive Officer, President and Chairman of the Board of Directors.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purchase price to cash paid by the Company and total consideration transferred to acquire SmartStop:</w:t>
      </w:r>
    </w:p>
    <w:p>
      <w:pPr>
        <w:spacing w:after="0" w:line="254"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$ 1,391,272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amount paid for Excluded Assets by Strategic 1031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(90,360)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attributable to the Company</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$ 1,300,912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Total cash paid by the Company</w:t>
            </w: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4"/>
              </w:rPr>
              <w:t>$ 1,272,256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 Units issued to certain SmartStop unit holders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1,300,912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Cash paid for transaction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Cash paid for defeasance and prepayment fees</w:t>
            </w:r>
          </w:p>
        </w:tc>
        <w:tc>
          <w:tcPr>
            <w:tcW w:w="820" w:type="dxa"/>
            <w:vAlign w:val="bottom"/>
          </w:tcPr>
          <w:p>
            <w:pPr>
              <w:jc w:val="right"/>
              <w:spacing w:after="0"/>
              <w:rPr>
                <w:sz w:val="20"/>
                <w:szCs w:val="20"/>
                <w:color w:val="auto"/>
              </w:rPr>
            </w:pPr>
            <w:r>
              <w:rPr>
                <w:rFonts w:ascii="Arial" w:cs="Arial" w:eastAsia="Arial" w:hAnsi="Arial"/>
                <w:sz w:val="18"/>
                <w:szCs w:val="18"/>
                <w:color w:val="auto"/>
              </w:rPr>
              <w:t>38,360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Severance and share-based compensation to SmartStop employees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color w:val="auto"/>
              </w:rPr>
              <w:t>Total consideration transferred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$ 1,246,834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As part of this acquisition, we recorded an expense of $38,360 related to defeasance costs and prepayment penalties incurred related to the repayment of SmartStop’s existing debt as of the acquisition date. We incurred $8,053 of professional fees/closing costs, $6,338 of severance-related costs, and $1,327 of other payroll-related costs for a total of $54,078 that was paid at closing. Another $9,043 of other acquisition related costs were incurred that were not paid in connection with the closing for a total of $63,121.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2"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300" w:firstLine="457"/>
        <w:spacing w:after="0" w:line="254"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 The company is in the process of finalizing a third party valuation. As such the allocation of fair value between land, buildings and intangibles is subject to change. The Company’s allocation of consideration transferred for SmartStop is as follows:</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179,700</w:t>
            </w:r>
          </w:p>
        </w:tc>
        <w:tc>
          <w:tcPr>
            <w:tcW w:w="100" w:type="dxa"/>
            <w:vAlign w:val="bottom"/>
            <w:shd w:val="clear" w:color="auto" w:fill="CCEEFF"/>
          </w:tcPr>
          <w:p>
            <w:pPr>
              <w:spacing w:after="0"/>
              <w:rPr>
                <w:sz w:val="18"/>
                <w:szCs w:val="18"/>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Buildings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978,368</w:t>
            </w:r>
          </w:p>
        </w:tc>
        <w:tc>
          <w:tcPr>
            <w:tcW w:w="100" w:type="dxa"/>
            <w:vAlign w:val="bottom"/>
          </w:tcPr>
          <w:p>
            <w:pPr>
              <w:spacing w:after="0"/>
              <w:rPr>
                <w:sz w:val="18"/>
                <w:szCs w:val="18"/>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shd w:val="clear" w:color="auto" w:fill="CCEEFF"/>
          </w:tcPr>
          <w:p>
            <w:pPr>
              <w:spacing w:after="0"/>
              <w:rPr>
                <w:sz w:val="18"/>
                <w:szCs w:val="18"/>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Investments in unconsolidated real estate ventures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60,981</w:t>
            </w:r>
          </w:p>
        </w:tc>
        <w:tc>
          <w:tcPr>
            <w:tcW w:w="100" w:type="dxa"/>
            <w:vAlign w:val="bottom"/>
          </w:tcPr>
          <w:p>
            <w:pPr>
              <w:spacing w:after="0"/>
              <w:rPr>
                <w:sz w:val="18"/>
                <w:szCs w:val="18"/>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r>
      <w:tr>
        <w:trPr>
          <w:trHeight w:val="217"/>
        </w:trPr>
        <w:tc>
          <w:tcPr>
            <w:tcW w:w="518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1,272,379</w:t>
            </w:r>
          </w:p>
        </w:tc>
        <w:tc>
          <w:tcPr>
            <w:tcW w:w="100" w:type="dxa"/>
            <w:vAlign w:val="bottom"/>
          </w:tcPr>
          <w:p>
            <w:pPr>
              <w:spacing w:after="0"/>
              <w:rPr>
                <w:sz w:val="18"/>
                <w:szCs w:val="18"/>
                <w:color w:val="auto"/>
              </w:rPr>
            </w:pPr>
          </w:p>
        </w:tc>
      </w:tr>
      <w:tr>
        <w:trPr>
          <w:trHeight w:val="212"/>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 assumed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00" w:type="dxa"/>
            <w:vAlign w:val="bottom"/>
            <w:shd w:val="clear" w:color="auto" w:fill="CCEEFF"/>
          </w:tcPr>
          <w:p>
            <w:pPr>
              <w:spacing w:after="0"/>
              <w:rPr>
                <w:sz w:val="18"/>
                <w:szCs w:val="18"/>
                <w:color w:val="auto"/>
              </w:rPr>
            </w:pPr>
          </w:p>
        </w:tc>
      </w:tr>
      <w:tr>
        <w:trPr>
          <w:trHeight w:val="218"/>
        </w:trPr>
        <w:tc>
          <w:tcPr>
            <w:tcW w:w="518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1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8"/>
                <w:szCs w:val="18"/>
                <w:color w:val="auto"/>
              </w:rPr>
            </w:pPr>
          </w:p>
        </w:tc>
      </w:tr>
      <w:tr>
        <w:trPr>
          <w:trHeight w:val="211"/>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assets acquired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1,246,834</w:t>
            </w:r>
          </w:p>
        </w:tc>
        <w:tc>
          <w:tcPr>
            <w:tcW w:w="10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The Company agreed to loan Strategic 1031 $84,331 to finance the purchase of the Excluded Assets. The loans are secured by an interest in the Excluded Assets and accrue interest at 7.0% per annum. The loans have a term of 365 days after the closing of the Transaction, due on September 30, 2016. These loans receivable are included in Other assets on the Company’s consolidated balance sheets.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16"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noted above, during the year ended December 31, 2015, the Company acquired 171 operating stores, including the 122 stores acquired in conjunction with the acquisition of SmartStop. The following pro forma financial information includes 137 of the 171 operating stores acquired. 34 stores were excluded as it was impractical to obtain the historical information from the previous owners and in total they represent and immaterial amount of total revenues. The following pro forma financial information is based on the combined historical financial statements of the Company and 137 of the stores acquired, and presents the Company’s results as if the acquisitions had occurred as of January 1, 2014 (unaudited):</w:t>
      </w:r>
    </w:p>
    <w:p>
      <w:pPr>
        <w:spacing w:after="0" w:line="17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For the Year Ended</w:t>
      </w:r>
    </w:p>
    <w:p>
      <w:pPr>
        <w:jc w:val="center"/>
        <w:ind w:left="6460"/>
        <w:spacing w:after="0" w:line="226" w:lineRule="auto"/>
        <w:rPr>
          <w:sz w:val="20"/>
          <w:szCs w:val="20"/>
          <w:color w:val="auto"/>
        </w:rPr>
      </w:pPr>
      <w:r>
        <w:rPr>
          <w:rFonts w:ascii="Arial" w:cs="Arial" w:eastAsia="Arial" w:hAnsi="Arial"/>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left="221"/>
              <w:spacing w:after="0" w:line="139"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r>
      <w:tr>
        <w:trPr>
          <w:trHeight w:val="138"/>
        </w:trPr>
        <w:tc>
          <w:tcPr>
            <w:tcW w:w="65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w w:val="94"/>
              </w:rPr>
              <w:t>Pro Forma</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40"/>
              <w:spacing w:after="0" w:line="139"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Borders>
              <w:bottom w:val="single" w:sz="8" w:color="CCEEFF"/>
            </w:tcBorders>
          </w:tcPr>
          <w:p>
            <w:pPr>
              <w:spacing w:after="0"/>
              <w:rPr>
                <w:sz w:val="12"/>
                <w:szCs w:val="12"/>
                <w:color w:val="auto"/>
              </w:rPr>
            </w:pPr>
          </w:p>
        </w:tc>
      </w:tr>
      <w:tr>
        <w:trPr>
          <w:trHeight w:val="204"/>
        </w:trPr>
        <w:tc>
          <w:tcPr>
            <w:tcW w:w="6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revenues</w:t>
            </w:r>
          </w:p>
        </w:tc>
        <w:tc>
          <w:tcPr>
            <w:tcW w:w="72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9"/>
              </w:rPr>
              <w:t>$ 860,550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9"/>
              </w:rPr>
              <w:t>$ 746,601</w:t>
            </w:r>
          </w:p>
        </w:tc>
        <w:tc>
          <w:tcPr>
            <w:tcW w:w="80" w:type="dxa"/>
            <w:vAlign w:val="bottom"/>
            <w:shd w:val="clear" w:color="auto" w:fill="CCEEFF"/>
          </w:tcPr>
          <w:p>
            <w:pPr>
              <w:spacing w:after="0"/>
              <w:rPr>
                <w:sz w:val="17"/>
                <w:szCs w:val="17"/>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$ 253,476</w:t>
            </w:r>
          </w:p>
        </w:tc>
        <w:tc>
          <w:tcPr>
            <w:tcW w:w="1100" w:type="dxa"/>
            <w:vAlign w:val="bottom"/>
            <w:gridSpan w:val="3"/>
          </w:tcPr>
          <w:p>
            <w:pPr>
              <w:jc w:val="center"/>
              <w:ind w:left="141"/>
              <w:spacing w:after="0"/>
              <w:rPr>
                <w:sz w:val="20"/>
                <w:szCs w:val="20"/>
                <w:color w:val="auto"/>
              </w:rPr>
            </w:pPr>
            <w:r>
              <w:rPr>
                <w:rFonts w:ascii="Arial" w:cs="Arial" w:eastAsia="Arial" w:hAnsi="Arial"/>
                <w:sz w:val="18"/>
                <w:szCs w:val="18"/>
                <w:color w:val="auto"/>
                <w:w w:val="89"/>
              </w:rPr>
              <w:t>$ 163,898</w:t>
            </w:r>
          </w:p>
        </w:tc>
      </w:tr>
    </w:tbl>
    <w:p>
      <w:pPr>
        <w:spacing w:after="0" w:line="187" w:lineRule="exact"/>
        <w:rPr>
          <w:sz w:val="20"/>
          <w:szCs w:val="20"/>
          <w:color w:val="auto"/>
        </w:rPr>
      </w:pPr>
    </w:p>
    <w:p>
      <w:pPr>
        <w:ind w:right="80" w:firstLine="457"/>
        <w:spacing w:after="0" w:line="292" w:lineRule="auto"/>
        <w:rPr>
          <w:sz w:val="20"/>
          <w:szCs w:val="20"/>
          <w:color w:val="auto"/>
        </w:rPr>
      </w:pPr>
      <w:r>
        <w:rPr>
          <w:rFonts w:ascii="Arial" w:cs="Arial" w:eastAsia="Arial" w:hAnsi="Arial"/>
          <w:sz w:val="16"/>
          <w:szCs w:val="16"/>
          <w:color w:val="auto"/>
        </w:rPr>
        <w:t>The Total revenues for SmartStop in the table above represent the revenues of SmartStop for the period prior to acquisition, less revenues attributed to the Excluded Assets. The Net income attributable to common stockholders for SmartStop in the table above represents primarily the expenses of SmartStop for the period prior to acquisition (less expenses related to the Excluded Assets), plus estimated additional depreciation, amortization, interest expenses and the elimination of non-recurring acquisition costs recorded by SmartStop and the Company.</w:t>
      </w:r>
    </w:p>
    <w:p>
      <w:pPr>
        <w:spacing w:after="0" w:line="160" w:lineRule="exact"/>
        <w:rPr>
          <w:sz w:val="20"/>
          <w:szCs w:val="20"/>
          <w:color w:val="auto"/>
        </w:rPr>
      </w:pPr>
    </w:p>
    <w:p>
      <w:pPr>
        <w:ind w:right="280" w:firstLine="457"/>
        <w:spacing w:after="0" w:line="249" w:lineRule="auto"/>
        <w:rPr>
          <w:sz w:val="20"/>
          <w:szCs w:val="20"/>
          <w:color w:val="auto"/>
        </w:rPr>
      </w:pPr>
      <w:r>
        <w:rPr>
          <w:rFonts w:ascii="Arial" w:cs="Arial" w:eastAsia="Arial" w:hAnsi="Arial"/>
          <w:sz w:val="18"/>
          <w:szCs w:val="18"/>
          <w:color w:val="auto"/>
        </w:rPr>
        <w:t>The unaudited pro forma results do not reflect any operating efficiency or potential cost savings which may result from the acquisition of SmartStop. Accordingly, these unaudited pro forma results are presented for informational purposes only and are not necessarily indicative of what the actual results of operation of the combined company would have been if the acquisition had occurred at the beginning of the period presented nor are they indicative of future results of operations and are not necessarily indicative of either future results of operations or results that might have been achieved had the acquisition been consummated as of January 1, 2014.</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2"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8"/>
          <w:szCs w:val="18"/>
          <w:color w:val="auto"/>
        </w:rPr>
        <w:t>The following table summarizes the revenues and earnings related to the 171 stores acquired during 2015 since their acquisition dates, which are included in the Company’s consolidated income statement for the year ended December 31, 2015:</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w:t>
            </w:r>
          </w:p>
        </w:tc>
      </w:tr>
      <w:tr>
        <w:trPr>
          <w:trHeight w:val="145"/>
        </w:trPr>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Year Ended</w:t>
            </w:r>
          </w:p>
        </w:tc>
      </w:tr>
      <w:tr>
        <w:trPr>
          <w:trHeight w:val="168"/>
        </w:trPr>
        <w:tc>
          <w:tcPr>
            <w:tcW w:w="4980" w:type="dxa"/>
            <w:vAlign w:val="bottom"/>
          </w:tcPr>
          <w:p>
            <w:pPr>
              <w:spacing w:after="0"/>
              <w:rPr>
                <w:sz w:val="14"/>
                <w:szCs w:val="14"/>
                <w:color w:val="auto"/>
              </w:rPr>
            </w:pPr>
          </w:p>
        </w:tc>
        <w:tc>
          <w:tcPr>
            <w:tcW w:w="2780" w:type="dxa"/>
            <w:vAlign w:val="bottom"/>
            <w:gridSpan w:val="4"/>
          </w:tcPr>
          <w:p>
            <w:pPr>
              <w:jc w:val="center"/>
              <w:ind w:left="1361"/>
              <w:spacing w:after="0"/>
              <w:rPr>
                <w:sz w:val="20"/>
                <w:szCs w:val="20"/>
                <w:color w:val="auto"/>
              </w:rPr>
            </w:pPr>
            <w:r>
              <w:rPr>
                <w:rFonts w:ascii="Arial" w:cs="Arial" w:eastAsia="Arial" w:hAnsi="Arial"/>
                <w:sz w:val="14"/>
                <w:szCs w:val="14"/>
                <w:b w:val="1"/>
                <w:bCs w:val="1"/>
                <w:color w:val="auto"/>
                <w:w w:val="90"/>
              </w:rPr>
              <w:t>December 31, 2015</w:t>
            </w:r>
          </w:p>
        </w:tc>
      </w:tr>
      <w:tr>
        <w:trPr>
          <w:trHeight w:val="204"/>
        </w:trPr>
        <w:tc>
          <w:tcPr>
            <w:tcW w:w="49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Total revenues</w:t>
            </w: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46,490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19"/>
                <w:szCs w:val="19"/>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 and Disposals</w:t>
      </w:r>
    </w:p>
    <w:p>
      <w:pPr>
        <w:spacing w:after="0" w:line="116" w:lineRule="exact"/>
        <w:rPr>
          <w:sz w:val="20"/>
          <w:szCs w:val="20"/>
          <w:color w:val="auto"/>
        </w:rPr>
      </w:pPr>
    </w:p>
    <w:p>
      <w:pPr>
        <w:ind w:right="140" w:firstLine="457"/>
        <w:spacing w:after="0" w:line="300" w:lineRule="auto"/>
        <w:rPr>
          <w:sz w:val="20"/>
          <w:szCs w:val="20"/>
          <w:color w:val="auto"/>
        </w:rPr>
      </w:pPr>
      <w:r>
        <w:rPr>
          <w:rFonts w:ascii="Arial" w:cs="Arial" w:eastAsia="Arial" w:hAnsi="Arial"/>
          <w:sz w:val="16"/>
          <w:szCs w:val="16"/>
          <w:color w:val="auto"/>
        </w:rPr>
        <w:t>On December 11, 2013, the Company sold 50% of its ownership in a parcel of undeveloped land held for sale located in California for $2,025. The buyer holds their 50% interest as a tenant in common. No gain or loss was recorded as a result of the sale. As the Company’s interest is now held as a tenant in common, the value of the land was reclassified from land to investment in unconsolidated real estate ventures on the Company’s consolidated balance sheets.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6, 2013, the Company sold a store located in Florida for $3,250 in cash. As a result of this transaction, a gain of $160 was recorded.</w:t>
      </w:r>
    </w:p>
    <w:p>
      <w:pPr>
        <w:spacing w:after="0" w:line="238" w:lineRule="exact"/>
        <w:rPr>
          <w:sz w:val="20"/>
          <w:szCs w:val="20"/>
          <w:color w:val="auto"/>
        </w:rPr>
      </w:pPr>
    </w:p>
    <w:p>
      <w:pPr>
        <w:ind w:right="400" w:firstLine="457"/>
        <w:spacing w:after="0" w:line="263" w:lineRule="auto"/>
        <w:rPr>
          <w:sz w:val="20"/>
          <w:szCs w:val="20"/>
          <w:color w:val="auto"/>
        </w:rPr>
      </w:pPr>
      <w:r>
        <w:rPr>
          <w:rFonts w:ascii="Arial" w:cs="Arial" w:eastAsia="Arial" w:hAnsi="Arial"/>
          <w:sz w:val="18"/>
          <w:szCs w:val="18"/>
          <w:color w:val="auto"/>
        </w:rPr>
        <w:t>In June 2013, the Company recorded a gain of $800 due to the condemnation of a portion of land at one store in California that resulted from eminent domain.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16, 2013, the Company sold a store located in New York for $950. No gain or loss was recorded as a result of the sale.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Earnouts from Prior Acquisitions</w:t>
      </w:r>
    </w:p>
    <w:p>
      <w:pPr>
        <w:spacing w:after="0" w:line="116"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During 2012, the Company acquired a portfolio of ten stores located in New Jersey and New York. As part of this acquisition, the Company agreed to make an additional cash payment to the sellers if the acquired stores exceeded a specified amount of net rental income two years after the acquisition date. At the acquisition date, the Company believed that it was unlikely that any significant payment would be made as a result of this earnout provision. The rental growth of the stores was significantly higher than expected, resulting in a payment to the sellers of $7,785. This amount is included in gain (loss) on real estate transactions and earnout from prior acquisitions on the Company’s consolidated statements of operations for the year ended December 31, 2014.</w:t>
      </w:r>
    </w:p>
    <w:p>
      <w:pPr>
        <w:spacing w:after="0" w:line="16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During 2011, the Company acquired a store located in Florida. As part of this acquisition, the Company agreed to make an additional cash payment to the sellers if the acquired store exceeded a specified amount of net rental income for any twelve-month period prior to June 30, 2015. At the acquisition date, $133 was recorded as the estimated amount that would be due, and the Company believed that it was unlikely that any significant additional payment would be made as a result of this earnout provision. Because the rental growth of the stores was trending significantly higher than expected, the Company estimated that an additional earnout payment of $2,500 would be due to the seller as of December 31, 2014. This amount is included in gain (loss) on real estate transactions and earnout from prior acquisitions on the Company’s consolidated statements of operations for the year ended December 31, 2014. During the year ended December 31, 2015, the Company recorded a gain of $400 to adjust the existing liability to the actual amount owed to the sellers as of June 30, 2015. This gain is included in gain (loss) on real estate transactions and earnout from prior acquisitions on the Company’s consolidated statements of operations for the year ended December 31,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2"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right="5480" w:hanging="454"/>
        <w:spacing w:after="0" w:line="471" w:lineRule="auto"/>
        <w:tabs>
          <w:tab w:leader="none" w:pos="45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IN UNCONSOLIDATED REAL ESTATE VENTURES </w:t>
      </w:r>
      <w:r>
        <w:rPr>
          <w:rFonts w:ascii="Arial" w:cs="Arial" w:eastAsia="Arial" w:hAnsi="Arial"/>
          <w:sz w:val="16"/>
          <w:szCs w:val="16"/>
          <w:color w:val="auto"/>
        </w:rPr>
        <w:t>Investments in unconsolidated real estate ventures consist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Equity</w:t>
            </w:r>
          </w:p>
        </w:tc>
        <w:tc>
          <w:tcPr>
            <w:tcW w:w="17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Excess Profit</w:t>
            </w:r>
          </w:p>
        </w:tc>
        <w:tc>
          <w:tcPr>
            <w:tcW w:w="200" w:type="dxa"/>
            <w:vAlign w:val="bottom"/>
          </w:tcPr>
          <w:p>
            <w:pPr>
              <w:spacing w:after="0"/>
              <w:rPr>
                <w:sz w:val="14"/>
                <w:szCs w:val="14"/>
                <w:color w:val="auto"/>
              </w:rPr>
            </w:pPr>
          </w:p>
        </w:tc>
        <w:tc>
          <w:tcPr>
            <w:tcW w:w="2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Investment Balance at December 31,</w:t>
            </w:r>
          </w:p>
        </w:tc>
      </w:tr>
      <w:tr>
        <w:trPr>
          <w:trHeight w:val="138"/>
        </w:trPr>
        <w:tc>
          <w:tcPr>
            <w:tcW w:w="5180" w:type="dxa"/>
            <w:vAlign w:val="bottom"/>
          </w:tcPr>
          <w:p>
            <w:pPr>
              <w:spacing w:after="0"/>
              <w:rPr>
                <w:sz w:val="12"/>
                <w:szCs w:val="12"/>
                <w:color w:val="auto"/>
              </w:rPr>
            </w:pPr>
          </w:p>
        </w:tc>
        <w:tc>
          <w:tcPr>
            <w:tcW w:w="1580" w:type="dxa"/>
            <w:vAlign w:val="bottom"/>
            <w:gridSpan w:val="2"/>
          </w:tcPr>
          <w:p>
            <w:pPr>
              <w:jc w:val="center"/>
              <w:ind w:right="740"/>
              <w:spacing w:after="0" w:line="139" w:lineRule="exact"/>
              <w:rPr>
                <w:sz w:val="20"/>
                <w:szCs w:val="20"/>
                <w:color w:val="auto"/>
              </w:rPr>
            </w:pPr>
            <w:r>
              <w:rPr>
                <w:rFonts w:ascii="Arial" w:cs="Arial" w:eastAsia="Arial" w:hAnsi="Arial"/>
                <w:sz w:val="14"/>
                <w:szCs w:val="14"/>
                <w:b w:val="1"/>
                <w:bCs w:val="1"/>
                <w:color w:val="auto"/>
                <w:w w:val="94"/>
              </w:rPr>
              <w:t>Ownership %</w:t>
            </w:r>
          </w:p>
        </w:tc>
        <w:tc>
          <w:tcPr>
            <w:tcW w:w="1700" w:type="dxa"/>
            <w:vAlign w:val="bottom"/>
            <w:gridSpan w:val="2"/>
          </w:tcPr>
          <w:p>
            <w:pPr>
              <w:jc w:val="center"/>
              <w:ind w:right="740"/>
              <w:spacing w:after="0" w:line="139" w:lineRule="exact"/>
              <w:rPr>
                <w:sz w:val="20"/>
                <w:szCs w:val="20"/>
                <w:color w:val="auto"/>
              </w:rPr>
            </w:pPr>
            <w:r>
              <w:rPr>
                <w:rFonts w:ascii="Arial" w:cs="Arial" w:eastAsia="Arial" w:hAnsi="Arial"/>
                <w:sz w:val="14"/>
                <w:szCs w:val="14"/>
                <w:b w:val="1"/>
                <w:bCs w:val="1"/>
                <w:color w:val="auto"/>
                <w:w w:val="94"/>
              </w:rPr>
              <w:t>Participation %</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04"/>
        </w:trPr>
        <w:tc>
          <w:tcPr>
            <w:tcW w:w="5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VRS Self Storage LLC (“VRS”)</w:t>
            </w:r>
          </w:p>
        </w:tc>
        <w:tc>
          <w:tcPr>
            <w:tcW w:w="84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45%</w:t>
            </w: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54%</w:t>
            </w: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39,091</w:t>
            </w:r>
          </w:p>
        </w:tc>
        <w:tc>
          <w:tcPr>
            <w:tcW w:w="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40,363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Storage Portfolio I LLC (“SP I”)</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25-40%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PRISA Self Storage LLC (“PRISA”)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10,309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PRISA II Self Storage LLC (“PRISA II”)</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18"/>
                <w:szCs w:val="18"/>
                <w:color w:val="auto"/>
              </w:rPr>
            </w:pPr>
          </w:p>
        </w:tc>
      </w:tr>
      <w:tr>
        <w:trPr>
          <w:trHeight w:val="224"/>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Two LLC (“ESW II”)</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CEEFF"/>
          </w:tcPr>
          <w:p>
            <w:pPr>
              <w:spacing w:after="0"/>
              <w:rPr>
                <w:sz w:val="19"/>
                <w:szCs w:val="19"/>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8"/>
                <w:szCs w:val="18"/>
                <w:color w:val="auto"/>
              </w:rPr>
            </w:pPr>
          </w:p>
        </w:tc>
      </w:tr>
      <w:tr>
        <w:trPr>
          <w:trHeight w:val="199"/>
        </w:trPr>
        <w:tc>
          <w:tcPr>
            <w:tcW w:w="51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Clarendon Storage Associates Limited Partnership</w:t>
            </w: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(“Clarendon”)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CEEFF"/>
          </w:tcPr>
          <w:p>
            <w:pPr>
              <w:spacing w:after="0"/>
              <w:rPr>
                <w:sz w:val="19"/>
                <w:szCs w:val="19"/>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Extra Space Northern Properties Six LLC (“ESNPS”)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7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minority owned properties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18-50%</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19-50%</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r>
      <w:tr>
        <w:trPr>
          <w:trHeight w:val="217"/>
        </w:trPr>
        <w:tc>
          <w:tcPr>
            <w:tcW w:w="5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87,045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85,711</w:t>
            </w:r>
          </w:p>
        </w:tc>
        <w:tc>
          <w:tcPr>
            <w:tcW w:w="100" w:type="dxa"/>
            <w:vAlign w:val="bottom"/>
          </w:tcPr>
          <w:p>
            <w:pPr>
              <w:spacing w:after="0"/>
              <w:rPr>
                <w:sz w:val="18"/>
                <w:szCs w:val="18"/>
                <w:color w:val="auto"/>
              </w:rPr>
            </w:pPr>
          </w:p>
        </w:tc>
      </w:tr>
      <w:tr>
        <w:trPr>
          <w:trHeight w:val="22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Strategic Storage Growth Trust</w:t>
            </w: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15,962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7"/>
        </w:trPr>
        <w:tc>
          <w:tcPr>
            <w:tcW w:w="5180" w:type="dxa"/>
            <w:vAlign w:val="bottom"/>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103,007</w:t>
            </w: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85,711</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8" w:lineRule="exact"/>
        <w:rPr>
          <w:sz w:val="20"/>
          <w:szCs w:val="20"/>
          <w:color w:val="auto"/>
        </w:rPr>
      </w:pPr>
    </w:p>
    <w:p>
      <w:pPr>
        <w:ind w:right="640" w:firstLine="457"/>
        <w:spacing w:after="0" w:line="363" w:lineRule="auto"/>
        <w:rPr>
          <w:sz w:val="20"/>
          <w:szCs w:val="20"/>
          <w:color w:val="auto"/>
        </w:rPr>
      </w:pPr>
      <w:r>
        <w:rPr>
          <w:rFonts w:ascii="Arial" w:cs="Arial" w:eastAsia="Arial" w:hAnsi="Arial"/>
          <w:sz w:val="15"/>
          <w:szCs w:val="15"/>
          <w:color w:val="auto"/>
        </w:rPr>
        <w:t>In accordance with ASC 810, the Company reviews all of its joint venture relationships quarterly to ensure that there are no entities that require consolidation. As of December 31, 2015, there were no previously unconsolidated entities that were required to be consolidated as a result of this review.</w:t>
      </w:r>
    </w:p>
    <w:p>
      <w:pPr>
        <w:spacing w:after="0" w:line="112"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On December 30, 2015, the Company entered into a new joint venture, ESS-H Bloomfield Investment LLC (“Bloomfield”). Bloomfield owns a single store in New Jersey. The Company contributed $2,885 for a 50% interest in Bloomfield. The Company’s investment in Bloomfield is included in Other minority owned properties in the table above.</w:t>
      </w:r>
    </w:p>
    <w:p>
      <w:pPr>
        <w:spacing w:after="0" w:line="188"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 December 2013 and May 2014, the Company acquired twelve stores located in California from entities associated with Grupe Properties Co. Inc. (“Grupe.”) As part of the Grupe acquisition, the Company acquired its joint venture partners’ 60% to 65% equity interests in six stores. The Company previously held the remaining 35% to 40% interests in these stores through six separate joint ventures with Grupe. Prior to the acquisition, the Company accounted for its interests in these joint ventures as equity-method investments. The Company recognized a non-cash gain of $3,438 during the year ended December 31, 2014 as a result of re-measuring the fair value of its equity interest in one of these joint ventures held before the acquisition. During the year ended December 31, 2014, the Company recorded a gain of $584 as a result of the final cash distributions received from the other five joint ventures associated with the acquisitions that were completed during 2013. The Company recognized non-cash gains of $9,339 during the year ended December 31, 2013 as a result of re-measuring its prior equity interests in five joint ventures held before the acquisition.</w:t>
      </w:r>
    </w:p>
    <w:p>
      <w:pPr>
        <w:spacing w:after="0" w:line="171" w:lineRule="exact"/>
        <w:rPr>
          <w:sz w:val="20"/>
          <w:szCs w:val="20"/>
          <w:color w:val="auto"/>
        </w:rPr>
      </w:pPr>
    </w:p>
    <w:p>
      <w:pPr>
        <w:ind w:right="420" w:firstLine="457"/>
        <w:spacing w:after="0" w:line="263" w:lineRule="auto"/>
        <w:rPr>
          <w:sz w:val="20"/>
          <w:szCs w:val="20"/>
          <w:color w:val="auto"/>
        </w:rPr>
      </w:pPr>
      <w:r>
        <w:rPr>
          <w:rFonts w:ascii="Arial" w:cs="Arial" w:eastAsia="Arial" w:hAnsi="Arial"/>
          <w:sz w:val="18"/>
          <w:szCs w:val="18"/>
          <w:color w:val="auto"/>
        </w:rPr>
        <w:t>On November 1, 2013, the Company acquired its joint venture partner’s 49% interest in HSRE-ESP IA, LLC (“HSRE”), an existing joint venture, for $43,475 in cash and the assumption of a $96,516 loan.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2"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result of this acquisition is that the Company owns a 99% interest in HSRE. The joint venture partner retained a 1% interest, valued at $870, which was recorded at fair value based on the fair value of the assets in the joint venture and is included in other noncontrolling interests on the Company’s consolidated balance sheets. HSRE</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owns 19 stores in various states. The stores are now consolidated as the Company owns the majority interest in the joint venture. Prior to the acquisition date, the Company accounted for its 50% interest in the joint venture as an equity-method investment. The acquisition date fair value of the previous equity interest was approximately $43,500, and is included as consideration transferred. The Company recognized a non-cash gain of $34,137 during the year ended December 31, 2013 as a result of re-measuring its prior equity interest in HSRE held before the acquisition. On June 11, 2015, the Company acquired its joint venture partners’ remaining 1% interest in HSRE for $1,267. Since the Company retained its controlling interest, this transaction was accounted for as an equity transaction. The carrying amount of the noncontrolling interest was reduced to zero to reflect this purchase, and the difference between the price paid by the Company and the carrying amount of the noncontrolling interest was recorded as an adjustment to equity attributable to the Company.</w:t>
      </w:r>
    </w:p>
    <w:p>
      <w:pPr>
        <w:spacing w:after="0" w:line="170" w:lineRule="exact"/>
        <w:rPr>
          <w:sz w:val="20"/>
          <w:szCs w:val="20"/>
          <w:color w:val="auto"/>
        </w:rPr>
      </w:pPr>
    </w:p>
    <w:p>
      <w:pPr>
        <w:ind w:right="200" w:firstLine="457"/>
        <w:spacing w:after="0" w:line="292" w:lineRule="auto"/>
        <w:rPr>
          <w:sz w:val="20"/>
          <w:szCs w:val="20"/>
          <w:color w:val="auto"/>
        </w:rPr>
      </w:pPr>
      <w:r>
        <w:rPr>
          <w:rFonts w:ascii="Arial" w:cs="Arial" w:eastAsia="Arial" w:hAnsi="Arial"/>
          <w:sz w:val="16"/>
          <w:szCs w:val="16"/>
          <w:color w:val="auto"/>
        </w:rPr>
        <w:t>On February 13, 2013, the Company acquired its joint venture partner’s 48% equity interest in Extra Space of Eastern Avenue LLC (“Eastern Avenue”), which owned one store located in Maryland, for approximately $5,979. Prior to the acquisition, the remaining 52% interest was owned by the Company, which accounted for its investment in Eastern Avenue using the equity method. The Company recorded a non-cash gain of $2,215 related to this transaction, which represents the increase in fair value of the Company’s interest in Eastern Avenue from its formation to the acquisition date.</w:t>
      </w:r>
    </w:p>
    <w:p>
      <w:pPr>
        <w:spacing w:after="0" w:line="160" w:lineRule="exact"/>
        <w:rPr>
          <w:sz w:val="20"/>
          <w:szCs w:val="20"/>
          <w:color w:val="auto"/>
        </w:rPr>
      </w:pPr>
    </w:p>
    <w:p>
      <w:pPr>
        <w:jc w:val="both"/>
        <w:ind w:right="40" w:firstLine="457"/>
        <w:spacing w:after="0" w:line="292" w:lineRule="auto"/>
        <w:rPr>
          <w:sz w:val="20"/>
          <w:szCs w:val="20"/>
          <w:color w:val="auto"/>
        </w:rPr>
      </w:pPr>
      <w:r>
        <w:rPr>
          <w:rFonts w:ascii="Arial" w:cs="Arial" w:eastAsia="Arial" w:hAnsi="Arial"/>
          <w:sz w:val="16"/>
          <w:szCs w:val="16"/>
          <w:color w:val="auto"/>
        </w:rPr>
        <w:t>On February 13, 2013, the Company acquired its joint venture partner’s 61% equity interest in Extra Space of Montrose Avenue LLC (“Montrose”), which owned one store located in Illinois, for approximately $6,878. Prior to the acquisition, the remaining 39% interest was owned by the Company, which accounted for its investment in Montrose using the equity method. The Company recorded a non-cash gain of $341 related to this transaction, which represents the increase in fair value of the Company’s interest in the joint venture from its formation to the acquisition date.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in earnings of unconsolidated real estate ventures consists of the following:</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8"/>
          </w:tcPr>
          <w:p>
            <w:pPr>
              <w:ind w:left="300"/>
              <w:spacing w:after="0"/>
              <w:rPr>
                <w:sz w:val="20"/>
                <w:szCs w:val="20"/>
                <w:color w:val="auto"/>
              </w:rPr>
            </w:pPr>
            <w:r>
              <w:rPr>
                <w:rFonts w:ascii="Arial" w:cs="Arial" w:eastAsia="Arial" w:hAnsi="Arial"/>
                <w:sz w:val="14"/>
                <w:szCs w:val="14"/>
                <w:b w:val="1"/>
                <w:bCs w:val="1"/>
                <w:color w:val="auto"/>
              </w:rPr>
              <w:t>For the Year Ended December 31,</w:t>
            </w:r>
          </w:p>
        </w:tc>
      </w:tr>
      <w:tr>
        <w:trPr>
          <w:trHeight w:val="138"/>
        </w:trPr>
        <w:tc>
          <w:tcPr>
            <w:tcW w:w="52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39"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04"/>
        </w:trPr>
        <w:tc>
          <w:tcPr>
            <w:tcW w:w="5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Equity in earnings of VRS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4,041</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3,510</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7"/>
                <w:szCs w:val="17"/>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 II</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color w:val="auto"/>
              </w:rPr>
              <w:t>Equity in earnings of WCOT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Clarendon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color w:val="auto"/>
              </w:rPr>
              <w:t>Equity in earnings of ESSM</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r>
      <w:tr>
        <w:trPr>
          <w:trHeight w:val="211"/>
        </w:trPr>
        <w:tc>
          <w:tcPr>
            <w:tcW w:w="5220" w:type="dxa"/>
            <w:vAlign w:val="bottom"/>
          </w:tcPr>
          <w:p>
            <w:pPr>
              <w:spacing w:after="0"/>
              <w:rPr>
                <w:sz w:val="20"/>
                <w:szCs w:val="20"/>
                <w:color w:val="auto"/>
              </w:rPr>
            </w:pPr>
            <w:r>
              <w:rPr>
                <w:rFonts w:ascii="Arial" w:cs="Arial" w:eastAsia="Arial" w:hAnsi="Arial"/>
                <w:sz w:val="18"/>
                <w:szCs w:val="18"/>
                <w:color w:val="auto"/>
              </w:rPr>
              <w:t>Equity in earnings of ESNPS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HSRE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r>
      <w:tr>
        <w:trPr>
          <w:trHeight w:val="218"/>
        </w:trPr>
        <w:tc>
          <w:tcPr>
            <w:tcW w:w="5220" w:type="dxa"/>
            <w:vAlign w:val="bottom"/>
          </w:tcPr>
          <w:p>
            <w:pPr>
              <w:spacing w:after="0"/>
              <w:rPr>
                <w:sz w:val="20"/>
                <w:szCs w:val="20"/>
                <w:color w:val="auto"/>
              </w:rPr>
            </w:pPr>
            <w:r>
              <w:rPr>
                <w:rFonts w:ascii="Arial" w:cs="Arial" w:eastAsia="Arial" w:hAnsi="Arial"/>
                <w:sz w:val="18"/>
                <w:szCs w:val="18"/>
                <w:color w:val="auto"/>
              </w:rPr>
              <w:t>Equity in earnings of other minority owned properties</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r>
      <w:tr>
        <w:trPr>
          <w:trHeight w:val="211"/>
        </w:trPr>
        <w:tc>
          <w:tcPr>
            <w:tcW w:w="5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11,653</w:t>
            </w:r>
          </w:p>
        </w:tc>
        <w:tc>
          <w:tcPr>
            <w:tcW w:w="10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firstLine="457"/>
        <w:spacing w:after="0" w:line="263" w:lineRule="auto"/>
        <w:rPr>
          <w:sz w:val="20"/>
          <w:szCs w:val="20"/>
          <w:color w:val="auto"/>
        </w:rPr>
      </w:pPr>
      <w:r>
        <w:rPr>
          <w:rFonts w:ascii="Arial" w:cs="Arial" w:eastAsia="Arial" w:hAnsi="Arial"/>
          <w:sz w:val="18"/>
          <w:szCs w:val="18"/>
          <w:color w:val="auto"/>
        </w:rPr>
        <w:t>Equity in earnings of ESW II, SP I and VRS includes the amortization of the Company’s excess purchase price of $26,806 of these equity investments over its original basis. The excess basis is amortized over 40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2"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Information (unaudited) related to the real estate ventures’ debt at December 31, 2015, is presented below:</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Loan Amount</w:t>
            </w:r>
          </w:p>
        </w:tc>
        <w:tc>
          <w:tcPr>
            <w:tcW w:w="74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Interest Rate</w:t>
            </w: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VRS—Swapped to fixed</w:t>
            </w:r>
          </w:p>
        </w:tc>
        <w:tc>
          <w:tcPr>
            <w:tcW w:w="15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   52,100</w:t>
            </w:r>
          </w:p>
        </w:tc>
        <w:tc>
          <w:tcPr>
            <w:tcW w:w="7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line="204" w:lineRule="exact"/>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5"/>
              </w:rPr>
              <w:t>June 2020</w:t>
            </w: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SP I—Fixed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88,975</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4.66%</w:t>
            </w:r>
          </w:p>
        </w:tc>
        <w:tc>
          <w:tcPr>
            <w:tcW w:w="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April 2018</w:t>
            </w: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PRISA</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Unleveraged</w:t>
            </w: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PRISA II</w:t>
            </w:r>
          </w:p>
        </w:tc>
        <w:tc>
          <w:tcPr>
            <w:tcW w:w="150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Unleveraged</w:t>
            </w: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ESW II—Swapped to fixed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2019</w:t>
            </w: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WCOT—Swapped to fixed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August 2019</w:t>
            </w: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Clarendon—Swapped to fixed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5.93%</w:t>
            </w:r>
          </w:p>
        </w:tc>
        <w:tc>
          <w:tcPr>
            <w:tcW w:w="14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September 2018</w:t>
            </w: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ESSM—Variable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13,629</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May 2021</w:t>
            </w: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ESW—Variable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2020</w:t>
            </w: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ESNPS—Variable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34,500</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July 2025</w:t>
            </w: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minority owned properties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Various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457"/>
        <w:spacing w:after="0" w:line="263" w:lineRule="auto"/>
        <w:rPr>
          <w:sz w:val="20"/>
          <w:szCs w:val="20"/>
          <w:color w:val="auto"/>
        </w:rPr>
      </w:pPr>
      <w:r>
        <w:rPr>
          <w:rFonts w:ascii="Arial" w:cs="Arial" w:eastAsia="Arial" w:hAnsi="Arial"/>
          <w:sz w:val="18"/>
          <w:szCs w:val="18"/>
          <w:color w:val="auto"/>
        </w:rPr>
        <w:t>Combined, condensed unaudited financial information of VRS, SP I, PRISA, PRISA II, ESW II, WCOT, ESW and ESNPS as of December 31, 2015 and 2014, and for the years ended December 31, 2015, 2014 and 2013, follows:</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11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6"/>
              <w:spacing w:after="0" w:line="139"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39"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93"/>
              </w:rPr>
              <w:t>Balance Sheets:</w:t>
            </w:r>
          </w:p>
        </w:tc>
        <w:tc>
          <w:tcPr>
            <w:tcW w:w="5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1,389,974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1,442,755</w:t>
            </w:r>
          </w:p>
        </w:tc>
        <w:tc>
          <w:tcPr>
            <w:tcW w:w="0" w:type="dxa"/>
            <w:vAlign w:val="bottom"/>
          </w:tcPr>
          <w:p>
            <w:pPr>
              <w:spacing w:after="0"/>
              <w:rPr>
                <w:sz w:val="1"/>
                <w:szCs w:val="1"/>
                <w:color w:val="auto"/>
              </w:rPr>
            </w:pPr>
          </w:p>
        </w:tc>
      </w:tr>
      <w:tr>
        <w:trPr>
          <w:trHeight w:val="211"/>
        </w:trPr>
        <w:tc>
          <w:tcPr>
            <w:tcW w:w="6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34,636</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1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1,423,677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1,477,391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301,267</w:t>
            </w:r>
          </w:p>
        </w:tc>
        <w:tc>
          <w:tcPr>
            <w:tcW w:w="0" w:type="dxa"/>
            <w:vAlign w:val="bottom"/>
          </w:tcPr>
          <w:p>
            <w:pPr>
              <w:spacing w:after="0"/>
              <w:rPr>
                <w:sz w:val="1"/>
                <w:szCs w:val="1"/>
                <w:color w:val="auto"/>
              </w:rPr>
            </w:pPr>
          </w:p>
        </w:tc>
      </w:tr>
      <w:tr>
        <w:trPr>
          <w:trHeight w:val="211"/>
        </w:trPr>
        <w:tc>
          <w:tcPr>
            <w:tcW w:w="62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25,715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11"/>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1,098,232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1,152,634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1,423,677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1,477,391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r>
      <w:tr>
        <w:trPr>
          <w:trHeight w:val="13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0" w:type="dxa"/>
            <w:vAlign w:val="bottom"/>
            <w:tcBorders>
              <w:top w:val="single" w:sz="8" w:color="auto"/>
            </w:tcBorders>
          </w:tcPr>
          <w:p>
            <w:pPr>
              <w:jc w:val="right"/>
              <w:ind w:right="164"/>
              <w:spacing w:after="0" w:line="139"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960" w:type="dxa"/>
            <w:vAlign w:val="bottom"/>
            <w:tcBorders>
              <w:top w:val="single" w:sz="8" w:color="CCEEFF"/>
            </w:tcBorders>
            <w:gridSpan w:val="2"/>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Statements of Income:</w:t>
            </w:r>
          </w:p>
        </w:tc>
        <w:tc>
          <w:tcPr>
            <w:tcW w:w="2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11"/>
        </w:trPr>
        <w:tc>
          <w:tcPr>
            <w:tcW w:w="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Rents and other income</w:t>
            </w:r>
          </w:p>
        </w:tc>
        <w:tc>
          <w:tcPr>
            <w:tcW w:w="23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$ 286,857</w:t>
            </w: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$ 273,231</w:t>
            </w:r>
          </w:p>
        </w:tc>
        <w:tc>
          <w:tcPr>
            <w:tcW w:w="3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$ 260,487</w:t>
            </w:r>
          </w:p>
        </w:tc>
        <w:tc>
          <w:tcPr>
            <w:tcW w:w="120" w:type="dxa"/>
            <w:vAlign w:val="bottom"/>
            <w:tcBorders>
              <w:top w:val="single" w:sz="8" w:color="CCEEFF"/>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(155,851)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(153,973)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(149,595)</w:t>
            </w:r>
          </w:p>
        </w:tc>
      </w:tr>
      <w:tr>
        <w:trPr>
          <w:trHeight w:val="218"/>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$ 191,501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$ 119,258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2015, PRISA II sold a single store located in New York and recorded a gain of $60,495.</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consolidated VIEs for the years ended December 31, 2015 or 2014.</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2"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assets are summarized as follows:</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51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r>
      <w:tr>
        <w:trPr>
          <w:trHeight w:val="204"/>
        </w:trPr>
        <w:tc>
          <w:tcPr>
            <w:tcW w:w="5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Equipment and fixtures</w:t>
            </w:r>
          </w:p>
        </w:tc>
        <w:tc>
          <w:tcPr>
            <w:tcW w:w="3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30,547</w:t>
            </w: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24,913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(19,609)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(15,183)</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Deferred financing costs, net-lines of Credit</w:t>
            </w: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1,735</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11,463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8,891</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46,774</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31,946</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Strategic 1031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84,331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Other notes receivable</w:t>
            </w: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4,350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9,661</w:t>
            </w: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3,590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Fair value of interest rate swaps</w:t>
            </w: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4,996</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3,583</w:t>
            </w:r>
          </w:p>
        </w:tc>
      </w:tr>
      <w:tr>
        <w:trPr>
          <w:trHeight w:val="26"/>
        </w:trPr>
        <w:tc>
          <w:tcPr>
            <w:tcW w:w="5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5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170,349</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75,894</w:t>
            </w:r>
          </w:p>
        </w:tc>
      </w:tr>
      <w:tr>
        <w:trPr>
          <w:trHeight w:val="20"/>
        </w:trPr>
        <w:tc>
          <w:tcPr>
            <w:tcW w:w="5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right="240" w:firstLine="457"/>
        <w:spacing w:after="0" w:line="263" w:lineRule="auto"/>
        <w:rPr>
          <w:sz w:val="20"/>
          <w:szCs w:val="20"/>
          <w:color w:val="auto"/>
        </w:rPr>
      </w:pPr>
      <w:r>
        <w:rPr>
          <w:rFonts w:ascii="Arial" w:cs="Arial" w:eastAsia="Arial" w:hAnsi="Arial"/>
          <w:sz w:val="18"/>
          <w:szCs w:val="18"/>
          <w:color w:val="auto"/>
        </w:rPr>
        <w:t>The notes receivable from Strategic 1031 represents the $84,331 principal amount loaned to Strategic 1031 to finance Strategic 1031’s acquisition of the Excluded Assets in conjunction with the Company’s acquisition of SmartStop.</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8040" w:type="dxa"/>
            <w:vAlign w:val="bottom"/>
            <w:gridSpan w:val="3"/>
          </w:tcPr>
          <w:p>
            <w:pPr>
              <w:ind w:left="300"/>
              <w:spacing w:after="0"/>
              <w:rPr>
                <w:sz w:val="20"/>
                <w:szCs w:val="20"/>
                <w:color w:val="auto"/>
              </w:rPr>
            </w:pPr>
            <w:r>
              <w:rPr>
                <w:rFonts w:ascii="Arial" w:cs="Arial" w:eastAsia="Arial" w:hAnsi="Arial"/>
                <w:sz w:val="18"/>
                <w:szCs w:val="18"/>
                <w:b w:val="1"/>
                <w:bCs w:val="1"/>
                <w:color w:val="auto"/>
              </w:rPr>
              <w:t>NOTES PAYABLE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60" w:type="dxa"/>
            <w:vAlign w:val="bottom"/>
          </w:tcPr>
          <w:p>
            <w:pPr>
              <w:spacing w:after="0"/>
              <w:rPr>
                <w:sz w:val="24"/>
                <w:szCs w:val="24"/>
                <w:color w:val="auto"/>
              </w:rPr>
            </w:pPr>
          </w:p>
        </w:tc>
        <w:tc>
          <w:tcPr>
            <w:tcW w:w="8040" w:type="dxa"/>
            <w:vAlign w:val="bottom"/>
            <w:gridSpan w:val="3"/>
          </w:tcPr>
          <w:p>
            <w:pPr>
              <w:ind w:left="300"/>
              <w:spacing w:after="0"/>
              <w:rPr>
                <w:sz w:val="20"/>
                <w:szCs w:val="20"/>
                <w:color w:val="auto"/>
              </w:rPr>
            </w:pPr>
            <w:r>
              <w:rPr>
                <w:rFonts w:ascii="Arial" w:cs="Arial" w:eastAsia="Arial" w:hAnsi="Arial"/>
                <w:sz w:val="18"/>
                <w:szCs w:val="18"/>
                <w:color w:val="auto"/>
              </w:rPr>
              <w:t>The components of notes payable are summarized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52"/>
        </w:trPr>
        <w:tc>
          <w:tcPr>
            <w:tcW w:w="8200" w:type="dxa"/>
            <w:vAlign w:val="bottom"/>
            <w:tcBorders>
              <w:top w:val="single" w:sz="8" w:color="CCEEFF"/>
            </w:tcBorders>
            <w:gridSpan w:val="4"/>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Fixed Rate</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6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00" w:type="dxa"/>
            <w:vAlign w:val="bottom"/>
            <w:gridSpan w:val="4"/>
          </w:tcPr>
          <w:p>
            <w:pPr>
              <w:spacing w:after="0" w:line="199" w:lineRule="exact"/>
              <w:rPr>
                <w:sz w:val="20"/>
                <w:szCs w:val="20"/>
                <w:color w:val="auto"/>
              </w:rPr>
            </w:pPr>
            <w:r>
              <w:rPr>
                <w:rFonts w:ascii="Arial" w:cs="Arial" w:eastAsia="Arial" w:hAnsi="Arial"/>
                <w:sz w:val="18"/>
                <w:szCs w:val="18"/>
                <w:color w:val="auto"/>
                <w:w w:val="99"/>
              </w:rPr>
              <w:t>Mortgage loans with banks (including loans subject to interest rate swaps) bearing interest at fixed rates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8040" w:type="dxa"/>
            <w:vAlign w:val="bottom"/>
            <w:gridSpan w:val="3"/>
          </w:tcPr>
          <w:p>
            <w:pPr>
              <w:ind w:left="20"/>
              <w:spacing w:after="0"/>
              <w:rPr>
                <w:sz w:val="20"/>
                <w:szCs w:val="20"/>
                <w:color w:val="auto"/>
              </w:rPr>
            </w:pPr>
            <w:r>
              <w:rPr>
                <w:rFonts w:ascii="Arial" w:cs="Arial" w:eastAsia="Arial" w:hAnsi="Arial"/>
                <w:sz w:val="18"/>
                <w:szCs w:val="18"/>
                <w:color w:val="auto"/>
              </w:rPr>
              <w:t>between 2.8% and 6.7%. The loans are collateralized by mortgages on real estate assets and the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8040" w:type="dxa"/>
            <w:vAlign w:val="bottom"/>
            <w:gridSpan w:val="3"/>
          </w:tcPr>
          <w:p>
            <w:pPr>
              <w:ind w:left="20"/>
              <w:spacing w:after="0"/>
              <w:rPr>
                <w:sz w:val="20"/>
                <w:szCs w:val="20"/>
                <w:color w:val="auto"/>
              </w:rPr>
            </w:pPr>
            <w:r>
              <w:rPr>
                <w:rFonts w:ascii="Arial" w:cs="Arial" w:eastAsia="Arial" w:hAnsi="Arial"/>
                <w:sz w:val="18"/>
                <w:szCs w:val="18"/>
                <w:color w:val="auto"/>
              </w:rPr>
              <w:t>assignment of rents. Principal and interest payments are made monthly with all outstanding principal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040" w:type="dxa"/>
            <w:vAlign w:val="bottom"/>
            <w:gridSpan w:val="3"/>
          </w:tcPr>
          <w:p>
            <w:pPr>
              <w:ind w:left="20"/>
              <w:spacing w:after="0"/>
              <w:rPr>
                <w:sz w:val="20"/>
                <w:szCs w:val="20"/>
                <w:color w:val="auto"/>
              </w:rPr>
            </w:pPr>
            <w:r>
              <w:rPr>
                <w:rFonts w:ascii="Arial" w:cs="Arial" w:eastAsia="Arial" w:hAnsi="Arial"/>
                <w:sz w:val="18"/>
                <w:szCs w:val="18"/>
                <w:color w:val="auto"/>
              </w:rPr>
              <w:t>and interest due between March 2016 and February 2023.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1,613,490</w:t>
            </w:r>
          </w:p>
        </w:tc>
        <w:tc>
          <w:tcPr>
            <w:tcW w:w="8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1,164,303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200" w:type="dxa"/>
            <w:vAlign w:val="bottom"/>
            <w:gridSpan w:val="4"/>
            <w:shd w:val="clear" w:color="auto" w:fill="CCEEFF"/>
          </w:tcPr>
          <w:p>
            <w:pPr>
              <w:spacing w:after="0" w:line="199" w:lineRule="exact"/>
              <w:rPr>
                <w:sz w:val="20"/>
                <w:szCs w:val="20"/>
                <w:color w:val="auto"/>
              </w:rPr>
            </w:pPr>
            <w:r>
              <w:rPr>
                <w:rFonts w:ascii="Arial" w:cs="Arial" w:eastAsia="Arial" w:hAnsi="Arial"/>
                <w:sz w:val="18"/>
                <w:szCs w:val="18"/>
                <w:color w:val="auto"/>
                <w:w w:val="98"/>
              </w:rPr>
              <w:t>Unsecured loan with bank (loan subject to an interest rate swap) bearing interest at a fixed rate of 3.1%.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Principal and interest payments are made monthly with outstanding principal and interest due March</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73,825</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7"/>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Variable Rate</w:t>
            </w:r>
          </w:p>
        </w:tc>
        <w:tc>
          <w:tcPr>
            <w:tcW w:w="7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Mortgage loans with banks bearing floating interest rates based on 1 month LIBOR. Interest rates based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on LIBOR are between LIBOR plus 1.6% (2.0% at December 31, 2015 and 1.8% at December 31,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2014) and LIBOR plus 2.0% (2.4% at December 31, 2015 and 2.2% at December 31, 2014). The loans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are collateralized by mortgages on real estate assets and the assignment of rents. Principal and 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payments are made monthly with all outstanding principal and interest due between July 2016 and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 w:type="dxa"/>
            <w:vAlign w:val="bottom"/>
            <w:shd w:val="clear" w:color="auto" w:fill="CCEEFF"/>
          </w:tcPr>
          <w:p>
            <w:pPr>
              <w:spacing w:after="0"/>
              <w:rPr>
                <w:sz w:val="19"/>
                <w:szCs w:val="19"/>
                <w:color w:val="auto"/>
              </w:rPr>
            </w:pPr>
          </w:p>
        </w:tc>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1,094,985</w:t>
            </w:r>
          </w:p>
        </w:tc>
        <w:tc>
          <w:tcPr>
            <w:tcW w:w="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00" w:type="dxa"/>
            <w:vAlign w:val="bottom"/>
            <w:gridSpan w:val="4"/>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2,782,300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Plus: Premium on notes payable</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gridSpan w:val="4"/>
          </w:tcPr>
          <w:p>
            <w:pPr>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(24,605)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(16,367)</w:t>
            </w:r>
          </w:p>
        </w:tc>
        <w:tc>
          <w:tcPr>
            <w:tcW w:w="0" w:type="dxa"/>
            <w:vAlign w:val="bottom"/>
          </w:tcPr>
          <w:p>
            <w:pPr>
              <w:spacing w:after="0"/>
              <w:rPr>
                <w:sz w:val="1"/>
                <w:szCs w:val="1"/>
                <w:color w:val="auto"/>
              </w:rPr>
            </w:pPr>
          </w:p>
        </w:tc>
      </w:tr>
      <w:tr>
        <w:trPr>
          <w:trHeight w:val="211"/>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2,758,567</w:t>
            </w:r>
          </w:p>
        </w:tc>
        <w:tc>
          <w:tcPr>
            <w:tcW w:w="8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40" w:type="dxa"/>
            <w:vAlign w:val="bottom"/>
            <w:gridSpan w:val="3"/>
            <w:vMerge w:val="restart"/>
          </w:tcPr>
          <w:p>
            <w:pPr>
              <w:ind w:left="5460"/>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60" w:type="dxa"/>
            <w:vAlign w:val="bottom"/>
          </w:tcPr>
          <w:p>
            <w:pPr>
              <w:spacing w:after="0"/>
              <w:rPr>
                <w:sz w:val="24"/>
                <w:szCs w:val="24"/>
                <w:color w:val="auto"/>
              </w:rPr>
            </w:pPr>
          </w:p>
        </w:tc>
        <w:tc>
          <w:tcPr>
            <w:tcW w:w="8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000" w:type="dxa"/>
            <w:vAlign w:val="bottom"/>
            <w:gridSpan w:val="3"/>
          </w:tcPr>
          <w:p>
            <w:pPr>
              <w:ind w:left="460"/>
              <w:spacing w:after="0"/>
              <w:rPr>
                <w:sz w:val="20"/>
                <w:szCs w:val="20"/>
                <w:color w:val="auto"/>
              </w:rPr>
            </w:pPr>
            <w:r>
              <w:rPr>
                <w:rFonts w:ascii="Arial" w:cs="Arial" w:eastAsia="Arial" w:hAnsi="Arial"/>
                <w:sz w:val="18"/>
                <w:szCs w:val="18"/>
                <w:color w:val="auto"/>
                <w:w w:val="96"/>
              </w:rPr>
              <w:t>The following table summarizes the scheduled maturities of notes payable at December 31, 2015: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2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6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40" w:firstLine="457"/>
        <w:spacing w:after="0" w:line="250" w:lineRule="auto"/>
        <w:rPr>
          <w:sz w:val="20"/>
          <w:szCs w:val="20"/>
          <w:color w:val="auto"/>
        </w:rPr>
      </w:pPr>
      <w:r>
        <w:rPr>
          <w:rFonts w:ascii="Arial" w:cs="Arial" w:eastAsia="Arial" w:hAnsi="Arial"/>
          <w:sz w:val="18"/>
          <w:szCs w:val="18"/>
          <w:color w:val="auto"/>
        </w:rPr>
        <w:t>Certain mortgage and construction loans with variable interest rates are subject to interest rate floors starting at 1.90%. Real estate assets are pledged as collateral for the notes payable. Of the Company’s $2,782,300 principal amount in notes payable outstanding at December 31, 2015, $2,430,623 were recourse due to guarantees or other security provisions. The Company is subject to certain restrictive covenants relating to the outstanding notes payable. The Company was in compliance with all financial covenants at December 31, 2015.</w:t>
      </w:r>
    </w:p>
    <w:p>
      <w:pPr>
        <w:spacing w:after="0" w:line="333" w:lineRule="exact"/>
        <w:rPr>
          <w:sz w:val="20"/>
          <w:szCs w:val="20"/>
          <w:color w:val="auto"/>
        </w:rPr>
      </w:pPr>
    </w:p>
    <w:p>
      <w:pPr>
        <w:ind w:left="460" w:hanging="454"/>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16"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16" w:lineRule="exact"/>
        <w:rPr>
          <w:sz w:val="20"/>
          <w:szCs w:val="20"/>
          <w:color w:val="auto"/>
        </w:rPr>
      </w:pPr>
    </w:p>
    <w:p>
      <w:pPr>
        <w:ind w:right="160" w:firstLine="457"/>
        <w:spacing w:after="0" w:line="250"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3" w:lineRule="exact"/>
        <w:rPr>
          <w:sz w:val="20"/>
          <w:szCs w:val="20"/>
          <w:color w:val="auto"/>
        </w:rPr>
      </w:pPr>
    </w:p>
    <w:p>
      <w:pPr>
        <w:ind w:right="200" w:firstLine="457"/>
        <w:spacing w:after="0" w:line="288"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years ended December 31, 2015, 2014 and 2013, such derivatives were used to hedge the variable cash flows associated with existing variable-rate debt. During 2016, the Company estimates that an additional $12,440 will be reclassified as an increase to interest expense.</w:t>
      </w:r>
    </w:p>
    <w:p>
      <w:pPr>
        <w:spacing w:after="0" w:line="163" w:lineRule="exact"/>
        <w:rPr>
          <w:sz w:val="20"/>
          <w:szCs w:val="20"/>
          <w:color w:val="auto"/>
        </w:rPr>
      </w:pPr>
    </w:p>
    <w:p>
      <w:pPr>
        <w:ind w:right="720" w:firstLine="457"/>
        <w:spacing w:after="0" w:line="263" w:lineRule="auto"/>
        <w:rPr>
          <w:sz w:val="20"/>
          <w:szCs w:val="20"/>
          <w:color w:val="auto"/>
        </w:rPr>
      </w:pPr>
      <w:r>
        <w:rPr>
          <w:rFonts w:ascii="Arial" w:cs="Arial" w:eastAsia="Arial" w:hAnsi="Arial"/>
          <w:sz w:val="18"/>
          <w:szCs w:val="18"/>
          <w:color w:val="auto"/>
        </w:rPr>
        <w:t>The following table summarizes the terms of the Company’s 29 derivative financial instruments, which have a total combined notional amount of $1,743,790 as of December 31,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Hedge Product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Range of Notional</w:t>
            </w: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Strike</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Effective Dates</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 Dates</w:t>
            </w:r>
          </w:p>
        </w:tc>
        <w:tc>
          <w:tcPr>
            <w:tcW w:w="0" w:type="dxa"/>
            <w:vAlign w:val="bottom"/>
          </w:tcPr>
          <w:p>
            <w:pPr>
              <w:spacing w:after="0"/>
              <w:rPr>
                <w:sz w:val="1"/>
                <w:szCs w:val="1"/>
                <w:color w:val="auto"/>
              </w:rPr>
            </w:pPr>
          </w:p>
        </w:tc>
      </w:tr>
      <w:tr>
        <w:trPr>
          <w:trHeight w:val="168"/>
        </w:trPr>
        <w:tc>
          <w:tcPr>
            <w:tcW w:w="272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Amounts</w:t>
            </w:r>
          </w:p>
        </w:tc>
        <w:tc>
          <w:tcPr>
            <w:tcW w:w="238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2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Swap Agreements</w:t>
            </w: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$5,058 – $126,000</w:t>
            </w:r>
          </w:p>
        </w:tc>
        <w:tc>
          <w:tcPr>
            <w:tcW w:w="1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90"/>
              </w:rPr>
              <w:t>0.8% – 3.9%</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10/3/2011 – 11/1/2015</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9"/>
              </w:rPr>
              <w:t>9/20/2018 – 2/1/2023</w:t>
            </w:r>
          </w:p>
        </w:tc>
        <w:tc>
          <w:tcPr>
            <w:tcW w:w="0" w:type="dxa"/>
            <w:vAlign w:val="bottom"/>
          </w:tcPr>
          <w:p>
            <w:pPr>
              <w:spacing w:after="0"/>
              <w:rPr>
                <w:sz w:val="1"/>
                <w:szCs w:val="1"/>
                <w:color w:val="auto"/>
              </w:rPr>
            </w:pPr>
          </w:p>
        </w:tc>
      </w:tr>
      <w:tr>
        <w:trPr>
          <w:trHeight w:val="356"/>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jc w:val="right"/>
              <w:ind w:right="1038"/>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4"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presents the fair value of the Company’s derivative financial instruments as well as their classification on the consolidated balance sheets:</w:t>
      </w:r>
    </w:p>
    <w:p>
      <w:pPr>
        <w:spacing w:after="0" w:line="26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28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b w:val="1"/>
                <w:bCs w:val="1"/>
                <w:color w:val="auto"/>
                <w:w w:val="91"/>
              </w:rPr>
              <w:t>Asset (Liability) Derivatives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8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99"/>
              </w:rPr>
              <w:t>December 31, 2015</w:t>
            </w:r>
          </w:p>
        </w:tc>
        <w:tc>
          <w:tcPr>
            <w:tcW w:w="2060" w:type="dxa"/>
            <w:vAlign w:val="bottom"/>
            <w:tcBorders>
              <w:bottom w:val="single" w:sz="8" w:color="auto"/>
            </w:tcBorders>
            <w:gridSpan w:val="2"/>
          </w:tcPr>
          <w:p>
            <w:pPr>
              <w:ind w:left="920"/>
              <w:spacing w:after="0" w:line="139" w:lineRule="exact"/>
              <w:rPr>
                <w:sz w:val="20"/>
                <w:szCs w:val="20"/>
                <w:color w:val="auto"/>
              </w:rPr>
            </w:pPr>
            <w:r>
              <w:rPr>
                <w:rFonts w:ascii="Arial" w:cs="Arial" w:eastAsia="Arial" w:hAnsi="Arial"/>
                <w:sz w:val="14"/>
                <w:szCs w:val="14"/>
                <w:b w:val="1"/>
                <w:bCs w:val="1"/>
                <w:color w:val="auto"/>
                <w:w w:val="88"/>
              </w:rPr>
              <w:t>December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jc w:val="center"/>
              <w:ind w:right="541"/>
              <w:spacing w:after="0" w:line="139" w:lineRule="exact"/>
              <w:rPr>
                <w:sz w:val="20"/>
                <w:szCs w:val="20"/>
                <w:color w:val="auto"/>
              </w:rPr>
            </w:pPr>
            <w:r>
              <w:rPr>
                <w:rFonts w:ascii="Arial" w:cs="Arial" w:eastAsia="Arial" w:hAnsi="Arial"/>
                <w:sz w:val="14"/>
                <w:szCs w:val="14"/>
                <w:b w:val="1"/>
                <w:bCs w:val="1"/>
                <w:color w:val="auto"/>
                <w:w w:val="95"/>
              </w:rPr>
              <w:t>Fair Value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8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Other assets</w:t>
            </w:r>
          </w:p>
        </w:tc>
        <w:tc>
          <w:tcPr>
            <w:tcW w:w="2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8"/>
              <w:spacing w:after="0" w:line="204" w:lineRule="exact"/>
              <w:rPr>
                <w:sz w:val="20"/>
                <w:szCs w:val="20"/>
                <w:color w:val="auto"/>
              </w:rPr>
            </w:pPr>
            <w:r>
              <w:rPr>
                <w:rFonts w:ascii="Arial" w:cs="Arial" w:eastAsia="Arial" w:hAnsi="Arial"/>
                <w:sz w:val="18"/>
                <w:szCs w:val="18"/>
                <w:color w:val="auto"/>
              </w:rPr>
              <w:t>4,996</w:t>
            </w:r>
          </w:p>
        </w:tc>
        <w:tc>
          <w:tcPr>
            <w:tcW w:w="1420" w:type="dxa"/>
            <w:vAlign w:val="bottom"/>
            <w:tcBorders>
              <w:top w:val="single" w:sz="8" w:color="auto"/>
            </w:tcBorders>
            <w:shd w:val="clear" w:color="auto" w:fill="CCEEFF"/>
          </w:tcPr>
          <w:p>
            <w:pPr>
              <w:ind w:left="920"/>
              <w:spacing w:after="0" w:line="204"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(6,991)</w:t>
            </w:r>
          </w:p>
        </w:tc>
        <w:tc>
          <w:tcPr>
            <w:tcW w:w="1420" w:type="dxa"/>
            <w:vAlign w:val="bottom"/>
          </w:tcPr>
          <w:p>
            <w:pPr>
              <w:ind w:left="9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16" w:lineRule="exact"/>
        <w:rPr>
          <w:sz w:val="20"/>
          <w:szCs w:val="20"/>
          <w:color w:val="auto"/>
        </w:rPr>
      </w:pPr>
    </w:p>
    <w:p>
      <w:pPr>
        <w:ind w:right="620" w:firstLine="457"/>
        <w:spacing w:after="0" w:line="263"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Classification 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12"/>
          </w:tcPr>
          <w:p>
            <w:pPr>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12"/>
        </w:trPr>
        <w:tc>
          <w:tcPr>
            <w:tcW w:w="22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gridSpan w:val="4"/>
          </w:tcPr>
          <w:p>
            <w:pPr>
              <w:ind w:left="60"/>
              <w:spacing w:after="0" w:line="92" w:lineRule="exact"/>
              <w:rPr>
                <w:sz w:val="20"/>
                <w:szCs w:val="20"/>
                <w:color w:val="auto"/>
              </w:rPr>
            </w:pPr>
            <w:r>
              <w:rPr>
                <w:rFonts w:ascii="Arial" w:cs="Arial" w:eastAsia="Arial" w:hAnsi="Arial"/>
                <w:sz w:val="10"/>
                <w:szCs w:val="10"/>
                <w:b w:val="1"/>
                <w:bCs w:val="1"/>
                <w:color w:val="auto"/>
              </w:rPr>
              <w:t>Income (Expense)</w:t>
            </w:r>
          </w:p>
        </w:tc>
        <w:tc>
          <w:tcPr>
            <w:tcW w:w="580" w:type="dxa"/>
            <w:vAlign w:val="bottom"/>
          </w:tcPr>
          <w:p>
            <w:pPr>
              <w:spacing w:after="0"/>
              <w:rPr>
                <w:sz w:val="9"/>
                <w:szCs w:val="9"/>
                <w:color w:val="auto"/>
              </w:rPr>
            </w:pPr>
          </w:p>
        </w:tc>
        <w:tc>
          <w:tcPr>
            <w:tcW w:w="660" w:type="dxa"/>
            <w:vAlign w:val="bottom"/>
            <w:tcBorders>
              <w:top w:val="single" w:sz="8" w:color="auto"/>
            </w:tcBorders>
            <w:gridSpan w:val="2"/>
          </w:tcPr>
          <w:p>
            <w:pPr>
              <w:jc w:val="right"/>
              <w:ind w:right="130"/>
              <w:spacing w:after="0" w:line="99" w:lineRule="exact"/>
              <w:rPr>
                <w:sz w:val="20"/>
                <w:szCs w:val="20"/>
                <w:color w:val="auto"/>
              </w:rPr>
            </w:pPr>
            <w:r>
              <w:rPr>
                <w:rFonts w:ascii="Arial" w:cs="Arial" w:eastAsia="Arial" w:hAnsi="Arial"/>
                <w:sz w:val="11"/>
                <w:szCs w:val="11"/>
                <w:b w:val="1"/>
                <w:bCs w:val="1"/>
                <w:color w:val="auto"/>
              </w:rPr>
              <w:t>2015</w:t>
            </w: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3"/>
          </w:tcPr>
          <w:p>
            <w:pPr>
              <w:jc w:val="right"/>
              <w:ind w:right="46"/>
              <w:spacing w:after="0" w:line="99" w:lineRule="exact"/>
              <w:rPr>
                <w:sz w:val="20"/>
                <w:szCs w:val="20"/>
                <w:color w:val="auto"/>
              </w:rPr>
            </w:pPr>
            <w:r>
              <w:rPr>
                <w:rFonts w:ascii="Arial" w:cs="Arial" w:eastAsia="Arial" w:hAnsi="Arial"/>
                <w:sz w:val="11"/>
                <w:szCs w:val="11"/>
                <w:b w:val="1"/>
                <w:bCs w:val="1"/>
                <w:color w:val="auto"/>
              </w:rPr>
              <w:t>2014</w:t>
            </w: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3"/>
          </w:tcPr>
          <w:p>
            <w:pPr>
              <w:jc w:val="right"/>
              <w:ind w:right="72"/>
              <w:spacing w:after="0" w:line="99" w:lineRule="exact"/>
              <w:rPr>
                <w:sz w:val="20"/>
                <w:szCs w:val="20"/>
                <w:color w:val="auto"/>
              </w:rPr>
            </w:pPr>
            <w:r>
              <w:rPr>
                <w:rFonts w:ascii="Arial" w:cs="Arial" w:eastAsia="Arial" w:hAnsi="Arial"/>
                <w:sz w:val="11"/>
                <w:szCs w:val="11"/>
                <w:b w:val="1"/>
                <w:bCs w:val="1"/>
                <w:color w:val="auto"/>
              </w:rPr>
              <w:t>2013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color w:val="auto"/>
              </w:rPr>
              <w:t>Swap Agreements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80"/>
              <w:spacing w:after="0" w:line="191" w:lineRule="exact"/>
              <w:rPr>
                <w:sz w:val="20"/>
                <w:szCs w:val="20"/>
                <w:color w:val="auto"/>
              </w:rPr>
            </w:pPr>
            <w:r>
              <w:rPr>
                <w:rFonts w:ascii="Arial" w:cs="Arial" w:eastAsia="Arial" w:hAnsi="Arial"/>
                <w:sz w:val="18"/>
                <w:szCs w:val="18"/>
                <w:color w:val="auto"/>
                <w:w w:val="84"/>
              </w:rPr>
              <w:t>Interest expense</w:t>
            </w:r>
          </w:p>
        </w:tc>
        <w:tc>
          <w:tcPr>
            <w:tcW w:w="580" w:type="dxa"/>
            <w:vAlign w:val="bottom"/>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w w:val="81"/>
              </w:rPr>
              <w:t>$ (12,487</w:t>
            </w: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w w:val="81"/>
              </w:rPr>
              <w:t>$ (8,780</w:t>
            </w:r>
          </w:p>
        </w:tc>
        <w:tc>
          <w:tcPr>
            <w:tcW w:w="260" w:type="dxa"/>
            <w:vAlign w:val="bottom"/>
            <w:shd w:val="clear" w:color="auto" w:fill="CCEEFF"/>
          </w:tcPr>
          <w:p>
            <w:pPr>
              <w:jc w:val="right"/>
              <w:ind w:right="182"/>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w w:val="84"/>
              </w:rPr>
              <w:t>$ (8,917</w:t>
            </w:r>
          </w:p>
        </w:tc>
        <w:tc>
          <w:tcPr>
            <w:tcW w:w="12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gridSpan w:val="6"/>
          </w:tcPr>
          <w:p>
            <w:pPr>
              <w:jc w:val="center"/>
              <w:ind w:right="282"/>
              <w:spacing w:after="0"/>
              <w:rPr>
                <w:sz w:val="20"/>
                <w:szCs w:val="20"/>
                <w:color w:val="auto"/>
              </w:rPr>
            </w:pPr>
            <w:r>
              <w:rPr>
                <w:rFonts w:ascii="Arial" w:cs="Arial" w:eastAsia="Arial" w:hAnsi="Arial"/>
                <w:sz w:val="14"/>
                <w:szCs w:val="14"/>
                <w:b w:val="1"/>
                <w:bCs w:val="1"/>
                <w:color w:val="auto"/>
                <w:w w:val="88"/>
              </w:rPr>
              <w:t>Gain (loss)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8"/>
          </w:tcPr>
          <w:p>
            <w:pPr>
              <w:jc w:val="center"/>
              <w:ind w:right="152"/>
              <w:spacing w:after="0"/>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gridSpan w:val="6"/>
          </w:tcPr>
          <w:p>
            <w:pPr>
              <w:jc w:val="center"/>
              <w:ind w:right="302"/>
              <w:spacing w:after="0"/>
              <w:rPr>
                <w:sz w:val="20"/>
                <w:szCs w:val="20"/>
                <w:color w:val="auto"/>
              </w:rPr>
            </w:pPr>
            <w:r>
              <w:rPr>
                <w:rFonts w:ascii="Arial" w:cs="Arial" w:eastAsia="Arial" w:hAnsi="Arial"/>
                <w:sz w:val="14"/>
                <w:szCs w:val="14"/>
                <w:b w:val="1"/>
                <w:bCs w:val="1"/>
                <w:color w:val="auto"/>
                <w:w w:val="92"/>
              </w:rPr>
              <w:t>recognized in OCI</w:t>
            </w:r>
          </w:p>
        </w:tc>
        <w:tc>
          <w:tcPr>
            <w:tcW w:w="260" w:type="dxa"/>
            <w:vAlign w:val="bottom"/>
          </w:tcPr>
          <w:p>
            <w:pPr>
              <w:spacing w:after="0"/>
              <w:rPr>
                <w:sz w:val="14"/>
                <w:szCs w:val="14"/>
                <w:color w:val="auto"/>
              </w:rPr>
            </w:pPr>
          </w:p>
        </w:tc>
        <w:tc>
          <w:tcPr>
            <w:tcW w:w="1800" w:type="dxa"/>
            <w:vAlign w:val="bottom"/>
            <w:gridSpan w:val="5"/>
            <w:vMerge w:val="restart"/>
          </w:tcPr>
          <w:p>
            <w:pPr>
              <w:jc w:val="center"/>
              <w:ind w:right="482"/>
              <w:spacing w:after="0"/>
              <w:rPr>
                <w:sz w:val="20"/>
                <w:szCs w:val="20"/>
                <w:color w:val="auto"/>
              </w:rPr>
            </w:pPr>
            <w:r>
              <w:rPr>
                <w:rFonts w:ascii="Arial" w:cs="Arial" w:eastAsia="Arial" w:hAnsi="Arial"/>
                <w:sz w:val="14"/>
                <w:szCs w:val="14"/>
                <w:b w:val="1"/>
                <w:bCs w:val="1"/>
                <w:color w:val="auto"/>
                <w:w w:val="90"/>
              </w:rPr>
              <w:t>Location of 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8"/>
          </w:tcPr>
          <w:p>
            <w:pPr>
              <w:jc w:val="center"/>
              <w:ind w:right="152"/>
              <w:spacing w:after="0"/>
              <w:rPr>
                <w:sz w:val="20"/>
                <w:szCs w:val="20"/>
                <w:color w:val="auto"/>
              </w:rPr>
            </w:pPr>
            <w:r>
              <w:rPr>
                <w:rFonts w:ascii="Arial" w:cs="Arial" w:eastAsia="Arial" w:hAnsi="Arial"/>
                <w:sz w:val="14"/>
                <w:szCs w:val="14"/>
                <w:b w:val="1"/>
                <w:bCs w:val="1"/>
                <w:color w:val="auto"/>
                <w:w w:val="91"/>
              </w:rPr>
              <w:t>reclassifed from OCI</w:t>
            </w: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80" w:type="dxa"/>
            <w:vAlign w:val="bottom"/>
            <w:tcBorders>
              <w:top w:val="single" w:sz="8" w:color="auto"/>
            </w:tcBorders>
            <w:gridSpan w:val="5"/>
          </w:tcPr>
          <w:p>
            <w:pPr>
              <w:jc w:val="center"/>
              <w:spacing w:after="0" w:line="125" w:lineRule="exact"/>
              <w:rPr>
                <w:sz w:val="20"/>
                <w:szCs w:val="20"/>
                <w:color w:val="auto"/>
              </w:rPr>
            </w:pPr>
            <w:r>
              <w:rPr>
                <w:rFonts w:ascii="Arial" w:cs="Arial" w:eastAsia="Arial" w:hAnsi="Arial"/>
                <w:sz w:val="14"/>
                <w:szCs w:val="14"/>
                <w:b w:val="1"/>
                <w:bCs w:val="1"/>
                <w:color w:val="auto"/>
                <w:w w:val="91"/>
              </w:rPr>
              <w:t>For the Year Ended</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7"/>
          </w:tcPr>
          <w:p>
            <w:pPr>
              <w:jc w:val="center"/>
              <w:ind w:right="52"/>
              <w:spacing w:after="0" w:line="125" w:lineRule="exact"/>
              <w:rPr>
                <w:sz w:val="20"/>
                <w:szCs w:val="20"/>
                <w:color w:val="auto"/>
              </w:rPr>
            </w:pPr>
            <w:r>
              <w:rPr>
                <w:rFonts w:ascii="Arial" w:cs="Arial" w:eastAsia="Arial" w:hAnsi="Arial"/>
                <w:sz w:val="14"/>
                <w:szCs w:val="14"/>
                <w:b w:val="1"/>
                <w:bCs w:val="1"/>
                <w:color w:val="auto"/>
                <w:w w:val="91"/>
              </w:rPr>
              <w:t>For the 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000" w:type="dxa"/>
            <w:vAlign w:val="bottom"/>
          </w:tcPr>
          <w:p>
            <w:pPr>
              <w:spacing w:after="0"/>
              <w:rPr>
                <w:sz w:val="13"/>
                <w:szCs w:val="13"/>
                <w:color w:val="auto"/>
              </w:rPr>
            </w:pPr>
          </w:p>
        </w:tc>
        <w:tc>
          <w:tcPr>
            <w:tcW w:w="2200" w:type="dxa"/>
            <w:vAlign w:val="bottom"/>
            <w:gridSpan w:val="6"/>
          </w:tcPr>
          <w:p>
            <w:pPr>
              <w:jc w:val="center"/>
              <w:ind w:right="302"/>
              <w:spacing w:after="0" w:line="159" w:lineRule="exact"/>
              <w:rPr>
                <w:sz w:val="20"/>
                <w:szCs w:val="20"/>
                <w:color w:val="auto"/>
              </w:rPr>
            </w:pPr>
            <w:r>
              <w:rPr>
                <w:rFonts w:ascii="Arial" w:cs="Arial" w:eastAsia="Arial" w:hAnsi="Arial"/>
                <w:sz w:val="14"/>
                <w:szCs w:val="14"/>
                <w:b w:val="1"/>
                <w:bCs w:val="1"/>
                <w:color w:val="auto"/>
                <w:w w:val="90"/>
              </w:rPr>
              <w:t>December 31,</w:t>
            </w:r>
          </w:p>
        </w:tc>
        <w:tc>
          <w:tcPr>
            <w:tcW w:w="2060" w:type="dxa"/>
            <w:vAlign w:val="bottom"/>
            <w:gridSpan w:val="6"/>
          </w:tcPr>
          <w:p>
            <w:pPr>
              <w:jc w:val="center"/>
              <w:ind w:right="202"/>
              <w:spacing w:after="0" w:line="159" w:lineRule="exact"/>
              <w:rPr>
                <w:sz w:val="20"/>
                <w:szCs w:val="20"/>
                <w:color w:val="auto"/>
              </w:rPr>
            </w:pPr>
            <w:r>
              <w:rPr>
                <w:rFonts w:ascii="Arial" w:cs="Arial" w:eastAsia="Arial" w:hAnsi="Arial"/>
                <w:sz w:val="14"/>
                <w:szCs w:val="14"/>
                <w:b w:val="1"/>
                <w:bCs w:val="1"/>
                <w:color w:val="auto"/>
                <w:w w:val="92"/>
              </w:rPr>
              <w:t>reclassified from OCI</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8"/>
          </w:tcPr>
          <w:p>
            <w:pPr>
              <w:jc w:val="center"/>
              <w:ind w:right="152"/>
              <w:spacing w:after="0" w:line="15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8"/>
        </w:trPr>
        <w:tc>
          <w:tcPr>
            <w:tcW w:w="22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top w:val="single" w:sz="8" w:color="auto"/>
            </w:tcBorders>
          </w:tcPr>
          <w:p>
            <w:pPr>
              <w:jc w:val="right"/>
              <w:ind w:right="107"/>
              <w:spacing w:after="0" w:line="139"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130"/>
              <w:spacing w:after="0" w:line="139"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5"/>
          </w:tcPr>
          <w:p>
            <w:pPr>
              <w:jc w:val="center"/>
              <w:ind w:right="462"/>
              <w:spacing w:after="0" w:line="139" w:lineRule="exact"/>
              <w:rPr>
                <w:sz w:val="20"/>
                <w:szCs w:val="20"/>
                <w:color w:val="auto"/>
              </w:rPr>
            </w:pPr>
            <w:r>
              <w:rPr>
                <w:rFonts w:ascii="Arial" w:cs="Arial" w:eastAsia="Arial" w:hAnsi="Arial"/>
                <w:sz w:val="14"/>
                <w:szCs w:val="14"/>
                <w:b w:val="1"/>
                <w:bCs w:val="1"/>
                <w:color w:val="auto"/>
                <w:w w:val="89"/>
              </w:rPr>
              <w:t>into income</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52"/>
              <w:spacing w:after="0" w:line="139"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Swap</w:t>
            </w:r>
          </w:p>
        </w:tc>
        <w:tc>
          <w:tcPr>
            <w:tcW w:w="1960" w:type="dxa"/>
            <w:vAlign w:val="bottom"/>
            <w:tcBorders>
              <w:top w:val="single" w:sz="8" w:color="CCEEFF"/>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Agreements</w:t>
            </w:r>
          </w:p>
        </w:tc>
        <w:tc>
          <w:tcPr>
            <w:tcW w:w="10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(17,669</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center"/>
              <w:spacing w:after="0" w:line="204"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(18,557</w:t>
            </w:r>
          </w:p>
        </w:tc>
        <w:tc>
          <w:tcPr>
            <w:tcW w:w="320" w:type="dxa"/>
            <w:vAlign w:val="bottom"/>
            <w:tcBorders>
              <w:top w:val="single" w:sz="8" w:color="CCEEFF"/>
            </w:tcBorders>
            <w:shd w:val="clear" w:color="auto" w:fill="CCEEFF"/>
          </w:tcPr>
          <w:p>
            <w:pPr>
              <w:jc w:val="right"/>
              <w:ind w:right="242"/>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3"/>
            <w:shd w:val="clear" w:color="auto" w:fill="CCEEFF"/>
          </w:tcPr>
          <w:p>
            <w:pPr>
              <w:ind w:left="160"/>
              <w:spacing w:after="0" w:line="204" w:lineRule="exact"/>
              <w:rPr>
                <w:sz w:val="20"/>
                <w:szCs w:val="20"/>
                <w:color w:val="auto"/>
              </w:rPr>
            </w:pPr>
            <w:r>
              <w:rPr>
                <w:rFonts w:ascii="Arial" w:cs="Arial" w:eastAsia="Arial" w:hAnsi="Arial"/>
                <w:sz w:val="18"/>
                <w:szCs w:val="18"/>
                <w:color w:val="auto"/>
                <w:w w:val="84"/>
              </w:rPr>
              <w:t>Interest expense</w:t>
            </w:r>
          </w:p>
        </w:tc>
        <w:tc>
          <w:tcPr>
            <w:tcW w:w="5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center"/>
              <w:spacing w:after="0" w:line="204"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(12,487</w:t>
            </w:r>
          </w:p>
        </w:tc>
        <w:tc>
          <w:tcPr>
            <w:tcW w:w="300" w:type="dxa"/>
            <w:vAlign w:val="bottom"/>
            <w:tcBorders>
              <w:top w:val="single" w:sz="8" w:color="CCEEFF"/>
            </w:tcBorders>
            <w:gridSpan w:val="2"/>
            <w:shd w:val="clear" w:color="auto" w:fill="CCEEFF"/>
          </w:tcPr>
          <w:p>
            <w:pPr>
              <w:jc w:val="right"/>
              <w:ind w:right="222"/>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(8,780</w:t>
            </w:r>
          </w:p>
        </w:tc>
        <w:tc>
          <w:tcPr>
            <w:tcW w:w="1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16" w:lineRule="exact"/>
        <w:rPr>
          <w:sz w:val="20"/>
          <w:szCs w:val="20"/>
          <w:color w:val="auto"/>
        </w:rPr>
      </w:pPr>
    </w:p>
    <w:p>
      <w:pPr>
        <w:jc w:val="both"/>
        <w:ind w:right="340" w:firstLine="457"/>
        <w:spacing w:after="0" w:line="254"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8" w:lineRule="exact"/>
        <w:rPr>
          <w:sz w:val="20"/>
          <w:szCs w:val="20"/>
          <w:color w:val="auto"/>
        </w:rPr>
      </w:pPr>
    </w:p>
    <w:p>
      <w:pPr>
        <w:ind w:right="300" w:firstLine="457"/>
        <w:spacing w:after="0" w:line="254"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8"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As of December 31, 2015, the fair value of derivatives in a net liability position, which includes accrued interest but excludes any adjustment for nonperformance risk, related to these agreements was $6,991. As of December 31, 2015, the Company had not posted any collateral related to these agreements. If the Company had breached any of these provisions as of December 31, 2015, it could have been required to settle its obligations under the agreements at their termination value of $2,995, including accrued interest.</w:t>
      </w:r>
    </w:p>
    <w:p>
      <w:pPr>
        <w:spacing w:after="0" w:line="333" w:lineRule="exact"/>
        <w:rPr>
          <w:sz w:val="20"/>
          <w:szCs w:val="20"/>
          <w:color w:val="auto"/>
        </w:rPr>
      </w:pPr>
    </w:p>
    <w:p>
      <w:pPr>
        <w:ind w:left="460" w:hanging="454"/>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116"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2"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Partnership (“Note 3”). Note 3 had a fixed rate of 6.91% through July 31, 2010, and then was payable at a variable rate equal to the three-month LIBOR plus 2.40% per annum. Effective July 11, 2011, the Trust III entered into an interest rate swap that fixes the interest rate to be paid at 4.99% per annum and matures July 11, 2018. The interest on Note 3, payable quarterly, will be used by the Trust III to pay dividends on the trust preferred securities. The trust preferred securities became redeemable by the Trust III with no prepayment premium on July 27, 2010.</w:t>
      </w:r>
    </w:p>
    <w:p>
      <w:pPr>
        <w:spacing w:after="0" w:line="160"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During May 2005, ESS Statutory Trust II (the “Trust II”), a newly formed Delaware statutory trust and a wholly-owned, unconsolidated subsidiary of the Operating Partnership of the Company,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had a fixed rate of 6.67% through June 30, 2010, and then was payable at a variable rate equal to the three-month LIBOR plus 2.40% per annum. Effective July 11, 2011, the Trust II entered into an interest rate swap that fixes the interest rate to be paid at 4.99% per annum and matures July 11, 2018. The interest on Note 2, payable quarterly, will be used by the Trust II to pay dividends on the trust preferred securities. The trust preferred securities became redeemable by the Trust II with no prepayment premium on June 30, 2010.</w:t>
      </w:r>
    </w:p>
    <w:p>
      <w:pPr>
        <w:spacing w:after="0" w:line="155"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During April 2005, ESS Statutory Trust I (the “Trust”), a newly formed Delaware statutory trust and a wholly-owned, unconsolidated subsidiary of the Operating Partnership of the Company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Effective June 30, 2010, the Trust entered into an interest rate swap that fixes the interest rate to be paid at 5.14% per annum and matures on June 30, 2018. The interest on the Note, payable quarterly, will be used by the Trust to pay dividends on the trust preferred securities. The trust preferred securities are redeemable by the Trust with no prepayment premium.</w:t>
      </w:r>
    </w:p>
    <w:p>
      <w:pPr>
        <w:spacing w:after="0" w:line="171"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Trust, Trust II and Trust III (together,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Trusts by the Company. The Company has also recorded its investment in the Trusts’ common securities as other assets.</w:t>
      </w:r>
    </w:p>
    <w:p>
      <w:pPr>
        <w:spacing w:after="0" w:line="171"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93" w:lineRule="exact"/>
        <w:rPr>
          <w:sz w:val="20"/>
          <w:szCs w:val="20"/>
          <w:color w:val="auto"/>
        </w:rPr>
      </w:pPr>
    </w:p>
    <w:p>
      <w:pPr>
        <w:ind w:right="900" w:firstLine="457"/>
        <w:spacing w:after="0" w:line="263" w:lineRule="auto"/>
        <w:rPr>
          <w:sz w:val="20"/>
          <w:szCs w:val="20"/>
          <w:color w:val="auto"/>
        </w:rPr>
      </w:pPr>
      <w:r>
        <w:rPr>
          <w:rFonts w:ascii="Arial" w:cs="Arial" w:eastAsia="Arial" w:hAnsi="Arial"/>
          <w:sz w:val="18"/>
          <w:szCs w:val="18"/>
          <w:color w:val="auto"/>
        </w:rPr>
        <w:t>The notes payable to trusts are presented net of unamortized deferred financing costs of $2,399 and $2,531 as of December 31, 2015 and 2014,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2"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60" w:firstLine="457"/>
        <w:spacing w:after="0" w:line="263" w:lineRule="auto"/>
        <w:rPr>
          <w:sz w:val="20"/>
          <w:szCs w:val="20"/>
          <w:color w:val="auto"/>
        </w:rPr>
      </w:pPr>
      <w:r>
        <w:rPr>
          <w:rFonts w:ascii="Arial" w:cs="Arial" w:eastAsia="Arial" w:hAnsi="Arial"/>
          <w:sz w:val="18"/>
          <w:szCs w:val="18"/>
          <w:color w:val="auto"/>
        </w:rPr>
        <w:t>Following is a tabular comparison of the liabilities the Company has recorded as a result of its involvements with the Trusts to the maximum exposure to loss the Company is subject to related to the Trusts as of December 31, 2015:</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Notes payable</w:t>
            </w:r>
          </w:p>
        </w:tc>
        <w:tc>
          <w:tcPr>
            <w:tcW w:w="300" w:type="dxa"/>
            <w:vAlign w:val="bottom"/>
          </w:tcPr>
          <w:p>
            <w:pPr>
              <w:spacing w:after="0"/>
              <w:rPr>
                <w:sz w:val="14"/>
                <w:szCs w:val="14"/>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Investment</w:t>
            </w:r>
          </w:p>
        </w:tc>
        <w:tc>
          <w:tcPr>
            <w:tcW w:w="120" w:type="dxa"/>
            <w:vAlign w:val="bottom"/>
          </w:tcPr>
          <w:p>
            <w:pPr>
              <w:spacing w:after="0"/>
              <w:rPr>
                <w:sz w:val="14"/>
                <w:szCs w:val="14"/>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Maximum</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to Trusts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exposure to loss</w:t>
            </w: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Trust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36,083</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1,083</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35,000</w:t>
            </w: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color w:val="auto"/>
              </w:rPr>
              <w:t>Trust II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42,269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41,000</w:t>
            </w: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117,191</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60" w:hanging="454"/>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EXCHANGEABLE SENIOR NOTES</w:t>
      </w:r>
    </w:p>
    <w:p>
      <w:pPr>
        <w:spacing w:after="0" w:line="116" w:lineRule="exact"/>
        <w:rPr>
          <w:sz w:val="20"/>
          <w:szCs w:val="20"/>
          <w:color w:val="auto"/>
        </w:rPr>
      </w:pPr>
    </w:p>
    <w:p>
      <w:pPr>
        <w:jc w:val="both"/>
        <w:ind w:right="20" w:firstLine="457"/>
        <w:spacing w:after="0" w:line="299" w:lineRule="auto"/>
        <w:rPr>
          <w:sz w:val="20"/>
          <w:szCs w:val="20"/>
          <w:color w:val="auto"/>
        </w:rPr>
      </w:pPr>
      <w:r>
        <w:rPr>
          <w:rFonts w:ascii="Arial" w:cs="Arial" w:eastAsia="Arial" w:hAnsi="Arial"/>
          <w:sz w:val="15"/>
          <w:szCs w:val="15"/>
          <w:color w:val="auto"/>
        </w:rPr>
        <w:t>In September 2015, the Operating Partnership issued $575,000 of its 3.125% Exchangeable Senior Notes due 2035. Costs incurred to issue the 2015 Notes were approximately $11,992, consisting primarily of a 2% underwriting fee. These costs are being amortized as an adjustment to interest expense over five years, which represents the estimated term based on the first available redemption date, and are included in other assets in the condensed consolidated balance sheets.</w:t>
      </w:r>
    </w:p>
    <w:p>
      <w:pPr>
        <w:ind w:right="260"/>
        <w:spacing w:after="0" w:line="282" w:lineRule="auto"/>
        <w:rPr>
          <w:sz w:val="20"/>
          <w:szCs w:val="20"/>
          <w:color w:val="auto"/>
        </w:rPr>
      </w:pPr>
      <w:r>
        <w:rPr>
          <w:rFonts w:ascii="Arial" w:cs="Arial" w:eastAsia="Arial" w:hAnsi="Arial"/>
          <w:sz w:val="16"/>
          <w:szCs w:val="16"/>
          <w:color w:val="auto"/>
        </w:rPr>
        <w:t>The 2015 Notes are general unsecured senior obligations of the Operating Partnership and are fully guaranteed by the Company. Interest is payable on April 1 and October 1 of each year beginning April 1, 2016, until the maturity date of October 1, 2035. The Notes bear interest at 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December 31, 2015 was approximately 10.48 shares of the Company’s common stock per $1,000 principal amount of the 2015 Notes.</w:t>
      </w:r>
    </w:p>
    <w:p>
      <w:pPr>
        <w:spacing w:after="0" w:line="17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171"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On June 21, 2013, the Operating Partnership issued $250,000 of its 2.375% Exchangeable Senior Notes due 2033 at a 1.5% discount, or $3,750. Costs incurred to issue the 2013 Notes were approximately $1,672. These costs are being amortized as an adjustment to interest expense over five years, which represents the estimated term based on the first available redemption date, and are included in other assets in the condensed consolidated balance sheets. The 2013 Notes are general unsecured senior obligations of the Operating Partnership and are fully guaranteed by the Company. Interest is payable on January 1 and July 1 of each year beginning January 1, 2014, until the maturity date of July 1, 2033. The 2013 Notes bear interest at 2.375% per annum and contain an exchange settlement feature, which provides that the 2013 Notes may, under certain circumstances, be exchangeable for cash (for the principal amount of the 2013 Notes) and, with respect to any excess exchange value, for cash, shares of the Company’s common stock, or a combination of cash and shares of the Company’s common stock, at the Company’s option. The exchange rate of the 2013 Notes as of December 31, 2015 was approximately 18.18 shares of the Company’s common stock per $1,000 principal amount of the 2013 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2"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Additionally, the 2013 Notes and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exceeded 130% of the exchange price for the required time period for the 2013 Notes during the quarter ended December 31, 2015. Therefore, holders of the 2013 Notes may elect to exchange such notes during the quarter ending March 31, 2016. The price of the Company’s common stock did not exceed 130% of the exchange price for the required time period for the 2015 Notes during the quarter ended December 31, 2015.</w:t>
      </w:r>
    </w:p>
    <w:p>
      <w:pPr>
        <w:spacing w:after="0" w:line="167" w:lineRule="exact"/>
        <w:rPr>
          <w:sz w:val="20"/>
          <w:szCs w:val="20"/>
          <w:color w:val="auto"/>
        </w:rPr>
      </w:pPr>
    </w:p>
    <w:p>
      <w:pPr>
        <w:ind w:right="80" w:firstLine="457"/>
        <w:spacing w:after="0" w:line="307" w:lineRule="auto"/>
        <w:rPr>
          <w:sz w:val="20"/>
          <w:szCs w:val="20"/>
          <w:color w:val="auto"/>
        </w:rPr>
      </w:pPr>
      <w:r>
        <w:rPr>
          <w:rFonts w:ascii="Arial" w:cs="Arial" w:eastAsia="Arial" w:hAnsi="Arial"/>
          <w:sz w:val="15"/>
          <w:szCs w:val="15"/>
          <w:color w:val="auto"/>
        </w:rPr>
        <w:t>The Operating Partnership may redeem the 2013 Notes at any time to preserve the Company’s status as a REIT. In addition, on or after July 5, 2018, the Operating Partnership may redeem the 2013 Notes for cash, in whole or in part, at 100% of the principal amount plus accrued and unpaid interest, upon at least 30 days but not more than 60 days prior written notice to the holders of the 2013 Notes. The holders of the 2013 Notes have the right to require the Operating Partnership to repurchase the 2013 Notes for cash, in whole or in part, on July 1 of the years 2018, 2023 and 2028, and upon the occurrence of certain designated events, in each case for a repurchase price equal to 100% of the principal amount of the 2013 Notes plus accrued and unpaid interest. Certain events are considered “Events of Default,” as defined in the indenture governing the 2013 Notes, which may result in the accelerated maturity of the 2013 Notes.</w:t>
      </w:r>
    </w:p>
    <w:p>
      <w:pPr>
        <w:spacing w:after="0" w:line="154" w:lineRule="exact"/>
        <w:rPr>
          <w:sz w:val="20"/>
          <w:szCs w:val="20"/>
          <w:color w:val="auto"/>
        </w:rPr>
      </w:pPr>
    </w:p>
    <w:p>
      <w:pPr>
        <w:ind w:right="220" w:firstLine="457"/>
        <w:spacing w:after="0" w:line="283" w:lineRule="auto"/>
        <w:rPr>
          <w:sz w:val="20"/>
          <w:szCs w:val="20"/>
          <w:color w:val="auto"/>
        </w:rPr>
      </w:pPr>
      <w:r>
        <w:rPr>
          <w:rFonts w:ascii="Arial" w:cs="Arial" w:eastAsia="Arial" w:hAnsi="Arial"/>
          <w:sz w:val="16"/>
          <w:szCs w:val="16"/>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2013 Notes and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are being amortized as interest expense over the remaining period of the debt through its first redemption date, July 1, 2018 for the 2013 Notes and October 1, 2020 for the 2015 Notes. The effective interest rate on the liability components of both the 2013 Notes and the 2015 Notes is 4.0%, which approximates the market rate of interest of similar debt without exchange features (i.e. nonconvertible debt) at the time of issuance.</w:t>
      </w:r>
    </w:p>
    <w:p>
      <w:pPr>
        <w:spacing w:after="0" w:line="171" w:lineRule="exact"/>
        <w:rPr>
          <w:sz w:val="20"/>
          <w:szCs w:val="20"/>
          <w:color w:val="auto"/>
        </w:rPr>
      </w:pPr>
    </w:p>
    <w:p>
      <w:pPr>
        <w:ind w:right="460" w:firstLine="457"/>
        <w:spacing w:after="0" w:line="263" w:lineRule="auto"/>
        <w:rPr>
          <w:sz w:val="20"/>
          <w:szCs w:val="20"/>
          <w:color w:val="auto"/>
        </w:rPr>
      </w:pPr>
      <w:r>
        <w:rPr>
          <w:rFonts w:ascii="Arial" w:cs="Arial" w:eastAsia="Arial" w:hAnsi="Arial"/>
          <w:sz w:val="18"/>
          <w:szCs w:val="18"/>
          <w:color w:val="auto"/>
        </w:rPr>
        <w:t>Information about the carrying amount of the equity component, the principal amount of the liability component, its unamortized discount and its net carrying amount were as follows for the periods indicated:</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Carrying amount of equity component—2013 Notes</w:t>
            </w:r>
          </w:p>
        </w:tc>
        <w:tc>
          <w:tcPr>
            <w:tcW w:w="1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14,496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Carrying amount of equity component—2015 Notes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22,597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22,597</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Principal amount of liability component 2013 Notes</w:t>
            </w:r>
          </w:p>
        </w:tc>
        <w:tc>
          <w:tcPr>
            <w:tcW w:w="1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440" w:type="dxa"/>
            <w:vAlign w:val="bottom"/>
            <w:gridSpan w:val="2"/>
          </w:tcPr>
          <w:p>
            <w:pPr>
              <w:ind w:left="110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85,364</w:t>
            </w:r>
          </w:p>
        </w:tc>
        <w:tc>
          <w:tcPr>
            <w:tcW w:w="84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 2015 Notes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575,000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Unamortized discount—equity component—2013 Notes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(2,605)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Unamortized discount—equity component—2015 Notes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(21,565)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Unamortized cash discount—2013 Notes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(11,698)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Net carrying amount of liability components</w:t>
            </w: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623,863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00" w:type="dxa"/>
            <w:vAlign w:val="bottom"/>
            <w:vMerge w:val="restart"/>
          </w:tcPr>
          <w:p>
            <w:pPr>
              <w:jc w:val="right"/>
              <w:ind w:right="712"/>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20" w:firstLine="457"/>
        <w:spacing w:after="0" w:line="263"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for the 2013 and 2015 senior notes was as follows for the periods indicated:</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8"/>
        </w:trPr>
        <w:tc>
          <w:tcPr>
            <w:tcW w:w="2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39"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4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Contractual interest</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9,939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5,936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3,134</w:t>
            </w:r>
          </w:p>
        </w:tc>
        <w:tc>
          <w:tcPr>
            <w:tcW w:w="1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2,683</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2013 Notes</w:t>
      </w:r>
    </w:p>
    <w:p>
      <w:pPr>
        <w:spacing w:after="0" w:line="110" w:lineRule="exact"/>
        <w:rPr>
          <w:sz w:val="20"/>
          <w:szCs w:val="20"/>
          <w:color w:val="auto"/>
        </w:rPr>
      </w:pPr>
    </w:p>
    <w:p>
      <w:pPr>
        <w:ind w:right="140" w:firstLine="457"/>
        <w:spacing w:after="0" w:line="247" w:lineRule="auto"/>
        <w:rPr>
          <w:sz w:val="20"/>
          <w:szCs w:val="20"/>
          <w:color w:val="auto"/>
        </w:rPr>
      </w:pPr>
      <w:r>
        <w:rPr>
          <w:rFonts w:ascii="Arial" w:cs="Arial" w:eastAsia="Arial" w:hAnsi="Arial"/>
          <w:sz w:val="18"/>
          <w:szCs w:val="18"/>
          <w:color w:val="auto"/>
        </w:rPr>
        <w:t>As part of the 2015 Notes offering, the Company repurchased $164,636 of the 2013 Notes for $227,212 on September 15, 2015. The Company allocated the value of the consideration paid to repurchase the 2013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recognized as a reduction of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repurchase is as follows:</w:t>
      </w:r>
    </w:p>
    <w:p>
      <w:pPr>
        <w:sectPr>
          <w:pgSz w:w="11900" w:h="16838" w:orient="portrait"/>
          <w:cols w:equalWidth="0" w:num="1">
            <w:col w:w="11420"/>
          </w:cols>
          <w:pgMar w:left="240" w:top="452" w:right="239" w:bottom="1440" w:gutter="0" w:footer="0" w:header="0"/>
        </w:sectPr>
      </w:pPr>
    </w:p>
    <w:p>
      <w:pPr>
        <w:spacing w:after="0" w:line="38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Principal amount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-123190</wp:posOffset>
            </wp:positionV>
            <wp:extent cx="4928235" cy="142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28235" cy="142240"/>
                    </a:xfrm>
                    <a:prstGeom prst="rect">
                      <a:avLst/>
                    </a:prstGeom>
                    <a:noFill/>
                  </pic:spPr>
                </pic:pic>
              </a:graphicData>
            </a:graphic>
          </wp:anchor>
        </w:drawing>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Amount allocated to:</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Extinguishment of liability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-115570</wp:posOffset>
            </wp:positionV>
            <wp:extent cx="4928235"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28235" cy="133985"/>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Reacquisition of equity component</w:t>
      </w:r>
    </w:p>
    <w:p>
      <w:pPr>
        <w:spacing w:after="0" w:line="4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cash paid for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-123190</wp:posOffset>
            </wp:positionV>
            <wp:extent cx="4928235" cy="133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28235" cy="133985"/>
                    </a:xfrm>
                    <a:prstGeom prst="rect">
                      <a:avLst/>
                    </a:prstGeom>
                    <a:noFill/>
                  </pic:spPr>
                </pic:pic>
              </a:graphicData>
            </a:graphic>
          </wp:anchor>
        </w:drawing>
      </w:r>
    </w:p>
    <w:p>
      <w:pPr>
        <w:spacing w:after="0" w:line="3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Exchangeable senior notes repurchased</w:t>
      </w:r>
    </w:p>
    <w:p>
      <w:pPr>
        <w:spacing w:after="0" w:line="3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Extinguishment of liability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-130175</wp:posOffset>
            </wp:positionV>
            <wp:extent cx="4928235"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28235"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Discount on exchangeable senior notes</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Related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-130175</wp:posOffset>
            </wp:positionV>
            <wp:extent cx="4928235" cy="133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28235"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Gain/(Loss) on repurchase</w:t>
      </w:r>
    </w:p>
    <w:p>
      <w:pPr>
        <w:spacing w:after="0" w:line="200" w:lineRule="exact"/>
        <w:rPr>
          <w:sz w:val="20"/>
          <w:szCs w:val="20"/>
          <w:color w:val="auto"/>
        </w:rPr>
      </w:pPr>
    </w:p>
    <w:p>
      <w:pPr>
        <w:spacing w:after="0" w:line="207" w:lineRule="exact"/>
        <w:rPr>
          <w:sz w:val="20"/>
          <w:szCs w:val="20"/>
          <w:color w:val="auto"/>
        </w:rPr>
      </w:pPr>
    </w:p>
    <w:p>
      <w:pPr>
        <w:ind w:left="460" w:hanging="454"/>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6"/>
        <w:spacing w:after="0"/>
        <w:rPr>
          <w:sz w:val="20"/>
          <w:szCs w:val="20"/>
          <w:color w:val="auto"/>
        </w:rPr>
      </w:pPr>
      <w:r>
        <w:rPr>
          <w:rFonts w:ascii="Arial" w:cs="Arial" w:eastAsia="Arial" w:hAnsi="Arial"/>
          <w:sz w:val="13"/>
          <w:szCs w:val="13"/>
          <w:b w:val="1"/>
          <w:bCs w:val="1"/>
          <w:u w:val="single" w:color="auto"/>
          <w:color w:val="auto"/>
        </w:rPr>
        <w:t>September 15, 2015</w:t>
      </w:r>
    </w:p>
    <w:p>
      <w:pPr>
        <w:spacing w:after="0" w:line="33" w:lineRule="exact"/>
        <w:rPr>
          <w:sz w:val="20"/>
          <w:szCs w:val="20"/>
          <w:color w:val="auto"/>
        </w:rPr>
      </w:pPr>
    </w:p>
    <w:p>
      <w:pPr>
        <w:ind w:left="606" w:hanging="606"/>
        <w:spacing w:after="0"/>
        <w:tabs>
          <w:tab w:leader="none" w:pos="6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164,636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46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746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57" w:lineRule="exact"/>
        <w:rPr>
          <w:sz w:val="20"/>
          <w:szCs w:val="20"/>
          <w:color w:val="auto"/>
        </w:rPr>
      </w:pPr>
    </w:p>
    <w:p>
      <w:pPr>
        <w:ind w:left="606" w:hanging="606"/>
        <w:spacing w:after="0"/>
        <w:tabs>
          <w:tab w:leader="none" w:pos="6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157,100</w:t>
      </w:r>
    </w:p>
    <w:p>
      <w:pPr>
        <w:spacing w:after="0" w:line="38" w:lineRule="exact"/>
        <w:rPr>
          <w:rFonts w:ascii="Arial" w:cs="Arial" w:eastAsia="Arial" w:hAnsi="Arial"/>
          <w:sz w:val="16"/>
          <w:szCs w:val="16"/>
          <w:color w:val="auto"/>
        </w:rPr>
      </w:pPr>
    </w:p>
    <w:p>
      <w:pPr>
        <w:ind w:left="706"/>
        <w:spacing w:after="0"/>
        <w:rPr>
          <w:rFonts w:ascii="Arial" w:cs="Arial" w:eastAsia="Arial" w:hAnsi="Arial"/>
          <w:sz w:val="16"/>
          <w:szCs w:val="16"/>
          <w:color w:val="auto"/>
        </w:rPr>
      </w:pPr>
      <w:r>
        <w:rPr>
          <w:rFonts w:ascii="Arial" w:cs="Arial" w:eastAsia="Arial" w:hAnsi="Arial"/>
          <w:sz w:val="16"/>
          <w:szCs w:val="16"/>
          <w:color w:val="auto"/>
        </w:rPr>
        <w:t>70,112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46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2" w:lineRule="exact"/>
        <w:rPr>
          <w:sz w:val="20"/>
          <w:szCs w:val="20"/>
          <w:color w:val="auto"/>
        </w:rPr>
      </w:pPr>
    </w:p>
    <w:p>
      <w:pPr>
        <w:ind w:left="606" w:hanging="606"/>
        <w:spacing w:after="0"/>
        <w:tabs>
          <w:tab w:leader="none" w:pos="606" w:val="left"/>
        </w:tabs>
        <w:numPr>
          <w:ilvl w:val="0"/>
          <w:numId w:val="34"/>
        </w:numPr>
        <w:rPr>
          <w:rFonts w:ascii="Arial" w:cs="Arial" w:eastAsia="Arial" w:hAnsi="Arial"/>
          <w:sz w:val="16"/>
          <w:szCs w:val="16"/>
          <w:color w:val="auto"/>
        </w:rPr>
      </w:pPr>
      <w:r>
        <w:rPr>
          <w:rFonts w:ascii="Arial" w:cs="Arial" w:eastAsia="Arial" w:hAnsi="Arial"/>
          <w:sz w:val="16"/>
          <w:szCs w:val="16"/>
          <w:color w:val="auto"/>
        </w:rPr>
        <w:t>227,212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46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746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60" w:lineRule="exact"/>
        <w:rPr>
          <w:sz w:val="20"/>
          <w:szCs w:val="20"/>
          <w:color w:val="auto"/>
        </w:rPr>
      </w:pPr>
    </w:p>
    <w:p>
      <w:pPr>
        <w:ind w:left="606" w:hanging="606"/>
        <w:spacing w:after="0"/>
        <w:tabs>
          <w:tab w:leader="none" w:pos="606" w:val="left"/>
        </w:tabs>
        <w:numPr>
          <w:ilvl w:val="0"/>
          <w:numId w:val="35"/>
        </w:numPr>
        <w:rPr>
          <w:rFonts w:ascii="Arial" w:cs="Arial" w:eastAsia="Arial" w:hAnsi="Arial"/>
          <w:sz w:val="16"/>
          <w:szCs w:val="16"/>
          <w:color w:val="auto"/>
        </w:rPr>
      </w:pPr>
      <w:r>
        <w:rPr>
          <w:rFonts w:ascii="Arial" w:cs="Arial" w:eastAsia="Arial" w:hAnsi="Arial"/>
          <w:sz w:val="16"/>
          <w:szCs w:val="16"/>
          <w:color w:val="auto"/>
        </w:rPr>
        <w:t>164,636</w:t>
      </w:r>
    </w:p>
    <w:p>
      <w:pPr>
        <w:spacing w:after="0" w:line="38" w:lineRule="exact"/>
        <w:rPr>
          <w:rFonts w:ascii="Arial" w:cs="Arial" w:eastAsia="Arial" w:hAnsi="Arial"/>
          <w:sz w:val="16"/>
          <w:szCs w:val="16"/>
          <w:color w:val="auto"/>
        </w:rPr>
      </w:pPr>
    </w:p>
    <w:p>
      <w:pPr>
        <w:ind w:left="546"/>
        <w:spacing w:after="0"/>
        <w:rPr>
          <w:rFonts w:ascii="Arial" w:cs="Arial" w:eastAsia="Arial" w:hAnsi="Arial"/>
          <w:sz w:val="16"/>
          <w:szCs w:val="16"/>
          <w:color w:val="auto"/>
        </w:rPr>
      </w:pPr>
      <w:r>
        <w:rPr>
          <w:rFonts w:ascii="Arial" w:cs="Arial" w:eastAsia="Arial" w:hAnsi="Arial"/>
          <w:sz w:val="15"/>
          <w:szCs w:val="15"/>
          <w:color w:val="auto"/>
        </w:rPr>
        <w:t>(157,100)</w:t>
      </w:r>
    </w:p>
    <w:p>
      <w:pPr>
        <w:spacing w:after="0" w:line="38" w:lineRule="exact"/>
        <w:rPr>
          <w:rFonts w:ascii="Arial" w:cs="Arial" w:eastAsia="Arial" w:hAnsi="Arial"/>
          <w:sz w:val="16"/>
          <w:szCs w:val="16"/>
          <w:color w:val="auto"/>
        </w:rPr>
      </w:pPr>
    </w:p>
    <w:p>
      <w:pPr>
        <w:ind w:left="726"/>
        <w:spacing w:after="0"/>
        <w:rPr>
          <w:rFonts w:ascii="Arial" w:cs="Arial" w:eastAsia="Arial" w:hAnsi="Arial"/>
          <w:sz w:val="16"/>
          <w:szCs w:val="16"/>
          <w:color w:val="auto"/>
        </w:rPr>
      </w:pPr>
      <w:r>
        <w:rPr>
          <w:rFonts w:ascii="Arial" w:cs="Arial" w:eastAsia="Arial" w:hAnsi="Arial"/>
          <w:sz w:val="15"/>
          <w:szCs w:val="15"/>
          <w:color w:val="auto"/>
        </w:rPr>
        <w:t>(6,931)</w:t>
      </w:r>
    </w:p>
    <w:p>
      <w:pPr>
        <w:spacing w:after="0" w:line="38" w:lineRule="exact"/>
        <w:rPr>
          <w:rFonts w:ascii="Arial" w:cs="Arial" w:eastAsia="Arial" w:hAnsi="Arial"/>
          <w:sz w:val="16"/>
          <w:szCs w:val="16"/>
          <w:color w:val="auto"/>
        </w:rPr>
      </w:pPr>
    </w:p>
    <w:p>
      <w:pPr>
        <w:ind w:left="846"/>
        <w:spacing w:after="0"/>
        <w:rPr>
          <w:rFonts w:ascii="Arial" w:cs="Arial" w:eastAsia="Arial" w:hAnsi="Arial"/>
          <w:sz w:val="16"/>
          <w:szCs w:val="16"/>
          <w:color w:val="auto"/>
        </w:rPr>
      </w:pPr>
      <w:r>
        <w:rPr>
          <w:rFonts w:ascii="Arial" w:cs="Arial" w:eastAsia="Arial" w:hAnsi="Arial"/>
          <w:sz w:val="16"/>
          <w:szCs w:val="16"/>
          <w:color w:val="auto"/>
        </w:rPr>
        <w:t>(605)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46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2" w:lineRule="exact"/>
        <w:rPr>
          <w:sz w:val="20"/>
          <w:szCs w:val="20"/>
          <w:color w:val="auto"/>
        </w:rPr>
      </w:pPr>
    </w:p>
    <w:p>
      <w:pPr>
        <w:ind w:left="906" w:hanging="906"/>
        <w:spacing w:after="0"/>
        <w:tabs>
          <w:tab w:leader="none" w:pos="9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46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27305</wp:posOffset>
            </wp:positionV>
            <wp:extent cx="746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730" w:lineRule="exact"/>
        <w:rPr>
          <w:sz w:val="20"/>
          <w:szCs w:val="20"/>
          <w:color w:val="auto"/>
        </w:rPr>
      </w:pPr>
    </w:p>
    <w:p>
      <w:pPr>
        <w:sectPr>
          <w:pgSz w:w="11900" w:h="16838" w:orient="portrait"/>
          <w:cols w:equalWidth="0" w:num="2">
            <w:col w:w="7594" w:space="720"/>
            <w:col w:w="3106"/>
          </w:cols>
          <w:pgMar w:left="240" w:top="452" w:right="239" w:bottom="1440" w:gutter="0" w:footer="0" w:header="0"/>
          <w:type w:val="continuous"/>
        </w:sectPr>
      </w:pPr>
    </w:p>
    <w:p>
      <w:pPr>
        <w:ind w:right="220" w:firstLine="457"/>
        <w:spacing w:after="0" w:line="363" w:lineRule="auto"/>
        <w:rPr>
          <w:sz w:val="20"/>
          <w:szCs w:val="20"/>
          <w:color w:val="auto"/>
        </w:rPr>
      </w:pPr>
      <w:r>
        <w:rPr>
          <w:rFonts w:ascii="Arial" w:cs="Arial" w:eastAsia="Arial" w:hAnsi="Arial"/>
          <w:sz w:val="15"/>
          <w:szCs w:val="15"/>
          <w:color w:val="auto"/>
        </w:rPr>
        <w:t>All of the Company’s lines of credit are guaranteed by the Company and secured by mortgages on certain real estate assets. The following table presents information on the Company’s lines of credit, the proceeds of which are used to repay debt and for general corporate purposes,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8"/>
              </w:rPr>
              <w:t>As of December 31, 2015</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Origination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Line of Credit</w:t>
            </w:r>
          </w:p>
        </w:tc>
        <w:tc>
          <w:tcPr>
            <w:tcW w:w="76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Capacity</w:t>
            </w:r>
          </w:p>
        </w:tc>
        <w:tc>
          <w:tcPr>
            <w:tcW w:w="5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Interest</w:t>
            </w: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Basis Rate (1)</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168"/>
        </w:trPr>
        <w:tc>
          <w:tcPr>
            <w:tcW w:w="4560" w:type="dxa"/>
            <w:vAlign w:val="bottom"/>
            <w:gridSpan w:val="3"/>
            <w:vMerge w:val="continue"/>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Drawn</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Borders>
              <w:top w:val="single" w:sz="8" w:color="auto"/>
            </w:tcBorders>
            <w:gridSpan w:val="2"/>
            <w:shd w:val="clear" w:color="auto" w:fill="CCEEFF"/>
          </w:tcPr>
          <w:p>
            <w:pPr>
              <w:spacing w:after="0" w:line="204" w:lineRule="exact"/>
              <w:rPr>
                <w:sz w:val="20"/>
                <w:szCs w:val="20"/>
                <w:color w:val="auto"/>
              </w:rPr>
            </w:pPr>
            <w:r>
              <w:rPr>
                <w:rFonts w:ascii="Arial" w:cs="Arial" w:eastAsia="Arial" w:hAnsi="Arial"/>
                <w:sz w:val="18"/>
                <w:szCs w:val="18"/>
                <w:color w:val="auto"/>
                <w:w w:val="96"/>
              </w:rPr>
              <w:t>Credit Line</w:t>
            </w:r>
          </w:p>
        </w:tc>
        <w:tc>
          <w:tcPr>
            <w:tcW w:w="3700" w:type="dxa"/>
            <w:vAlign w:val="bottom"/>
            <w:tcBorders>
              <w:top w:val="single" w:sz="8" w:color="CCEEFF"/>
            </w:tcBorders>
            <w:shd w:val="clear" w:color="auto" w:fill="CCEEFF"/>
          </w:tcPr>
          <w:p>
            <w:pPr>
              <w:jc w:val="right"/>
              <w:ind w:right="3543"/>
              <w:spacing w:after="0"/>
              <w:rPr>
                <w:sz w:val="20"/>
                <w:szCs w:val="20"/>
                <w:color w:val="auto"/>
              </w:rPr>
            </w:pPr>
            <w:r>
              <w:rPr>
                <w:rFonts w:ascii="Arial" w:cs="Arial" w:eastAsia="Arial" w:hAnsi="Arial"/>
                <w:sz w:val="15"/>
                <w:szCs w:val="15"/>
                <w:color w:val="auto"/>
                <w:w w:val="71"/>
              </w:rPr>
              <w:t>1</w:t>
            </w:r>
          </w:p>
        </w:tc>
        <w:tc>
          <w:tcPr>
            <w:tcW w:w="6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5"/>
              </w:rPr>
              <w:t>$ 36,000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$ 180,000</w:t>
            </w: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2.1%</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6/4/2010</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6/30/2018</w:t>
            </w: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92"/>
              </w:rPr>
              <w:t>LIBOR plus 1.7%</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1"/>
        </w:trPr>
        <w:tc>
          <w:tcPr>
            <w:tcW w:w="4560" w:type="dxa"/>
            <w:vAlign w:val="bottom"/>
            <w:gridSpan w:val="3"/>
          </w:tcPr>
          <w:p>
            <w:pPr>
              <w:spacing w:after="0"/>
              <w:rPr>
                <w:sz w:val="20"/>
                <w:szCs w:val="20"/>
                <w:color w:val="auto"/>
              </w:rPr>
            </w:pPr>
            <w:r>
              <w:rPr>
                <w:rFonts w:ascii="Arial" w:cs="Arial" w:eastAsia="Arial" w:hAnsi="Arial"/>
                <w:sz w:val="18"/>
                <w:szCs w:val="18"/>
                <w:color w:val="auto"/>
              </w:rPr>
              <w:t>Credit Line 2</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50,000</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11/16/2010</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2/13/2017</w:t>
            </w: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LIBOR plus 1.8%</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1"/>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Line 3</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4/29/2011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11/18/2016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LIBOR plus 1.7%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8"/>
        </w:trPr>
        <w:tc>
          <w:tcPr>
            <w:tcW w:w="4560" w:type="dxa"/>
            <w:vAlign w:val="bottom"/>
            <w:gridSpan w:val="3"/>
          </w:tcPr>
          <w:p>
            <w:pPr>
              <w:spacing w:after="0"/>
              <w:rPr>
                <w:sz w:val="20"/>
                <w:szCs w:val="20"/>
                <w:color w:val="auto"/>
              </w:rPr>
            </w:pPr>
            <w:r>
              <w:rPr>
                <w:rFonts w:ascii="Arial" w:cs="Arial" w:eastAsia="Arial" w:hAnsi="Arial"/>
                <w:sz w:val="18"/>
                <w:szCs w:val="18"/>
                <w:color w:val="auto"/>
              </w:rPr>
              <w:t>Credit Line 4</w:t>
            </w: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9/29/2014</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9/29/2017</w:t>
            </w: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LIBOR plus 1.7%</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1"/>
        </w:trPr>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$ 36,000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$ 360,000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4220" w:type="dxa"/>
            <w:vAlign w:val="bottom"/>
            <w:gridSpan w:val="2"/>
            <w:vMerge w:val="restart"/>
          </w:tcPr>
          <w:p>
            <w:pPr>
              <w:ind w:left="120"/>
              <w:spacing w:after="0"/>
              <w:rPr>
                <w:sz w:val="20"/>
                <w:szCs w:val="20"/>
                <w:color w:val="auto"/>
              </w:rPr>
            </w:pPr>
            <w:r>
              <w:rPr>
                <w:rFonts w:ascii="Arial" w:cs="Arial" w:eastAsia="Arial" w:hAnsi="Arial"/>
                <w:sz w:val="18"/>
                <w:szCs w:val="18"/>
                <w:color w:val="auto"/>
              </w:rPr>
              <w:t>30-day USD LIBOR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40" w:type="dxa"/>
            <w:vAlign w:val="bottom"/>
            <w:vMerge w:val="continue"/>
          </w:tcPr>
          <w:p>
            <w:pPr>
              <w:spacing w:after="0"/>
              <w:rPr>
                <w:sz w:val="24"/>
                <w:szCs w:val="24"/>
                <w:color w:val="auto"/>
              </w:rPr>
            </w:pPr>
          </w:p>
        </w:tc>
        <w:tc>
          <w:tcPr>
            <w:tcW w:w="42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One two-year extension available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Two one-year extensions available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318"/>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liabilities are summarized as follows:</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2014</w:t>
            </w:r>
          </w:p>
        </w:tc>
      </w:tr>
      <w:tr>
        <w:trPr>
          <w:trHeight w:val="204"/>
        </w:trPr>
        <w:tc>
          <w:tcPr>
            <w:tcW w:w="5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Deferred rental income</w:t>
            </w:r>
          </w:p>
        </w:tc>
        <w:tc>
          <w:tcPr>
            <w:tcW w:w="3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35,904</w:t>
            </w: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28,485</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5080" w:type="dxa"/>
            <w:vAlign w:val="bottom"/>
          </w:tcPr>
          <w:p>
            <w:pPr>
              <w:spacing w:after="0"/>
              <w:rPr>
                <w:sz w:val="20"/>
                <w:szCs w:val="20"/>
                <w:color w:val="auto"/>
              </w:rPr>
            </w:pPr>
            <w:r>
              <w:rPr>
                <w:rFonts w:ascii="Arial" w:cs="Arial" w:eastAsia="Arial" w:hAnsi="Arial"/>
                <w:sz w:val="18"/>
                <w:szCs w:val="18"/>
                <w:color w:val="auto"/>
              </w:rPr>
              <w:t>Lease obligation liability</w:t>
            </w:r>
          </w:p>
        </w:tc>
        <w:tc>
          <w:tcPr>
            <w:tcW w:w="36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3,533</w:t>
            </w:r>
          </w:p>
        </w:tc>
      </w:tr>
      <w:tr>
        <w:trPr>
          <w:trHeight w:val="211"/>
        </w:trPr>
        <w:tc>
          <w:tcPr>
            <w:tcW w:w="5080" w:type="dxa"/>
            <w:vAlign w:val="bottom"/>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2,223</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10,728</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5,367</w:t>
            </w:r>
          </w:p>
        </w:tc>
      </w:tr>
      <w:tr>
        <w:trPr>
          <w:trHeight w:val="211"/>
        </w:trPr>
        <w:tc>
          <w:tcPr>
            <w:tcW w:w="5080" w:type="dxa"/>
            <w:vAlign w:val="bottom"/>
          </w:tcPr>
          <w:p>
            <w:pPr>
              <w:spacing w:after="0"/>
              <w:rPr>
                <w:sz w:val="20"/>
                <w:szCs w:val="20"/>
                <w:color w:val="auto"/>
              </w:rPr>
            </w:pPr>
            <w:r>
              <w:rPr>
                <w:rFonts w:ascii="Arial" w:cs="Arial" w:eastAsia="Arial" w:hAnsi="Arial"/>
                <w:sz w:val="18"/>
                <w:szCs w:val="18"/>
                <w:color w:val="auto"/>
              </w:rPr>
              <w:t>Earnout provisions on acquisitions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5,510</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8,033</w:t>
            </w: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Unpaid claims liability</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1,832</w:t>
            </w:r>
          </w:p>
        </w:tc>
      </w:tr>
      <w:tr>
        <w:trPr>
          <w:trHeight w:val="218"/>
        </w:trPr>
        <w:tc>
          <w:tcPr>
            <w:tcW w:w="508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80" w:type="dxa"/>
            <w:vAlign w:val="bottom"/>
          </w:tcPr>
          <w:p>
            <w:pPr>
              <w:spacing w:after="0"/>
              <w:rPr>
                <w:sz w:val="18"/>
                <w:szCs w:val="18"/>
                <w:color w:val="auto"/>
              </w:rPr>
            </w:pPr>
          </w:p>
        </w:tc>
      </w:tr>
      <w:tr>
        <w:trPr>
          <w:trHeight w:val="211"/>
        </w:trPr>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80,489</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54,719</w:t>
            </w:r>
          </w:p>
        </w:tc>
      </w:tr>
      <w:tr>
        <w:trPr>
          <w:trHeight w:val="20"/>
        </w:trPr>
        <w:tc>
          <w:tcPr>
            <w:tcW w:w="5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Included in the unpaid claims liability are claims related to the Company’s tenant reinsurance program. For the years ended December 31, 2015, 2014 and 2013, the number of claims made were 3,959, 2,942 and 2,316, respectively. The following table presents information on the portion of the Company’s unpaid claims liability that relates to tenant insurance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Year Ended</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w w:val="90"/>
              </w:rPr>
              <w:t>Tenant Reinsurance Claims:</w:t>
            </w:r>
          </w:p>
        </w:tc>
        <w:tc>
          <w:tcPr>
            <w:tcW w:w="7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720" w:type="dxa"/>
            <w:vAlign w:val="bottom"/>
            <w:tcBorders>
              <w:bottom w:val="single" w:sz="8" w:color="auto"/>
            </w:tcBorders>
            <w:vMerge w:val="continue"/>
          </w:tcPr>
          <w:p>
            <w:pPr>
              <w:spacing w:after="0"/>
              <w:rPr>
                <w:sz w:val="12"/>
                <w:szCs w:val="12"/>
                <w:color w:val="auto"/>
              </w:rPr>
            </w:pPr>
          </w:p>
        </w:tc>
        <w:tc>
          <w:tcPr>
            <w:tcW w:w="70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3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1"/>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7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Unpaid claims liability at beginning of year</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$ 3,121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7"/>
              </w:rPr>
              <w:t>2,112</w:t>
            </w: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$ 1,414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80" w:type="dxa"/>
            <w:vAlign w:val="bottom"/>
            <w:gridSpan w:val="2"/>
          </w:tcPr>
          <w:p>
            <w:pPr>
              <w:spacing w:after="0"/>
              <w:rPr>
                <w:sz w:val="20"/>
                <w:szCs w:val="20"/>
                <w:color w:val="auto"/>
              </w:rPr>
            </w:pPr>
            <w:r>
              <w:rPr>
                <w:rFonts w:ascii="Arial" w:cs="Arial" w:eastAsia="Arial" w:hAnsi="Arial"/>
                <w:sz w:val="18"/>
                <w:szCs w:val="18"/>
                <w:color w:val="auto"/>
              </w:rPr>
              <w:t>Claims and claim adjustment expense for claims incurred in the current year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5,126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 and claim adjustment expense for claims incurred in the prior years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1"/>
        </w:trPr>
        <w:tc>
          <w:tcPr>
            <w:tcW w:w="8780" w:type="dxa"/>
            <w:vAlign w:val="bottom"/>
            <w:gridSpan w:val="2"/>
          </w:tcPr>
          <w:p>
            <w:pPr>
              <w:spacing w:after="0"/>
              <w:rPr>
                <w:sz w:val="20"/>
                <w:szCs w:val="20"/>
                <w:color w:val="auto"/>
              </w:rPr>
            </w:pPr>
            <w:r>
              <w:rPr>
                <w:rFonts w:ascii="Arial" w:cs="Arial" w:eastAsia="Arial" w:hAnsi="Arial"/>
                <w:sz w:val="18"/>
                <w:szCs w:val="18"/>
                <w:color w:val="auto"/>
              </w:rPr>
              <w:t>Payments for current year claims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(4,283)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(2,954)</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1"/>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prior year claims</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Unpaid claims liability at the end of the year</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80" w:type="dxa"/>
            <w:vAlign w:val="bottom"/>
            <w:gridSpan w:val="2"/>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$ 3,908</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3,121</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$ 2,112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460" w:hanging="454"/>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AND AFFILIATED REAL ESTATE JOINT VENTURE TRANSACTIONS</w:t>
      </w:r>
    </w:p>
    <w:p>
      <w:pPr>
        <w:spacing w:after="0" w:line="116" w:lineRule="exact"/>
        <w:rPr>
          <w:sz w:val="20"/>
          <w:szCs w:val="20"/>
          <w:color w:val="auto"/>
        </w:rPr>
      </w:pPr>
    </w:p>
    <w:p>
      <w:pPr>
        <w:ind w:right="200" w:firstLine="457"/>
        <w:spacing w:after="0" w:line="250" w:lineRule="auto"/>
        <w:rPr>
          <w:sz w:val="20"/>
          <w:szCs w:val="20"/>
          <w:color w:val="auto"/>
        </w:rPr>
      </w:pPr>
      <w:r>
        <w:rPr>
          <w:rFonts w:ascii="Arial" w:cs="Arial" w:eastAsia="Arial" w:hAnsi="Arial"/>
          <w:sz w:val="18"/>
          <w:szCs w:val="18"/>
          <w:color w:val="auto"/>
        </w:rPr>
        <w:t>The Company provides management services to certain joint ventures, third parties and other related party stores. Management agreements provide generally for management fees of 6.0% of cash collected from total revenues for the management of operations at the stores. In addition, the Company receives an asset management fee equal to 50 basis points multiplied by the total asset value of the stores owned by the SPI joint venture, provided certain requirements are met.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revenues for related party and affiliated real estate joint ventures and other income are summarized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35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Type</w:t>
            </w: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9"/>
          </w:tcPr>
          <w:p>
            <w:pPr>
              <w:ind w:left="3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8"/>
        </w:trPr>
        <w:tc>
          <w:tcPr>
            <w:tcW w:w="880" w:type="dxa"/>
            <w:vAlign w:val="bottom"/>
            <w:gridSpan w:val="2"/>
            <w:vMerge w:val="continue"/>
          </w:tcPr>
          <w:p>
            <w:pPr>
              <w:spacing w:after="0"/>
              <w:rPr>
                <w:sz w:val="12"/>
                <w:szCs w:val="12"/>
                <w:color w:val="auto"/>
              </w:rPr>
            </w:pPr>
          </w:p>
        </w:tc>
        <w:tc>
          <w:tcPr>
            <w:tcW w:w="3500" w:type="dxa"/>
            <w:vAlign w:val="bottom"/>
            <w:gridSpan w:val="3"/>
            <w:vMerge w:val="continue"/>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39"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3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87"/>
              </w:rPr>
              <w:t>ESW</w:t>
            </w:r>
          </w:p>
        </w:tc>
        <w:tc>
          <w:tcPr>
            <w:tcW w:w="5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2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Affiliated real estate joint ventures</w:t>
            </w:r>
          </w:p>
        </w:tc>
        <w:tc>
          <w:tcPr>
            <w:tcW w:w="3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515</w:t>
            </w:r>
          </w:p>
        </w:tc>
        <w:tc>
          <w:tcPr>
            <w:tcW w:w="2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480</w:t>
            </w: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450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ESW II</w:t>
            </w: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1"/>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ESNPS</w:t>
            </w: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ESSM</w:t>
            </w: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1"/>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HSRE</w:t>
            </w: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PRISA</w:t>
            </w: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5,809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1"/>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 II</w:t>
            </w: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VRS</w:t>
            </w: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1"/>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WCOT</w:t>
            </w: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1"/>
        </w:trPr>
        <w:tc>
          <w:tcPr>
            <w:tcW w:w="880" w:type="dxa"/>
            <w:vAlign w:val="bottom"/>
            <w:gridSpan w:val="2"/>
          </w:tcPr>
          <w:p>
            <w:pPr>
              <w:spacing w:after="0"/>
              <w:rPr>
                <w:sz w:val="20"/>
                <w:szCs w:val="20"/>
                <w:color w:val="auto"/>
              </w:rPr>
            </w:pPr>
            <w:r>
              <w:rPr>
                <w:rFonts w:ascii="Arial" w:cs="Arial" w:eastAsia="Arial" w:hAnsi="Arial"/>
                <w:sz w:val="18"/>
                <w:szCs w:val="18"/>
                <w:color w:val="auto"/>
              </w:rPr>
              <w:t>SP I</w:t>
            </w:r>
          </w:p>
        </w:tc>
        <w:tc>
          <w:tcPr>
            <w:tcW w:w="3500" w:type="dxa"/>
            <w:vAlign w:val="bottom"/>
            <w:gridSpan w:val="3"/>
          </w:tcPr>
          <w:p>
            <w:pPr>
              <w:ind w:left="240"/>
              <w:spacing w:after="0"/>
              <w:rPr>
                <w:sz w:val="20"/>
                <w:szCs w:val="20"/>
                <w:color w:val="auto"/>
              </w:rPr>
            </w:pPr>
            <w:r>
              <w:rPr>
                <w:rFonts w:ascii="Arial" w:cs="Arial" w:eastAsia="Arial" w:hAnsi="Arial"/>
                <w:sz w:val="18"/>
                <w:szCs w:val="18"/>
                <w:color w:val="auto"/>
              </w:rPr>
              <w:t>Affiliated real estate joint ventures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1"/>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Franchisees, third parties and other</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16,674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10,336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34,161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28,215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26,614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vMerge w:val="restart"/>
          </w:tcPr>
          <w:p>
            <w:pPr>
              <w:jc w:val="right"/>
              <w:ind w:right="2072"/>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from related parties and affiliated real estate joint ventures balances are summarized as follows:</w:t>
      </w: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5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31, 2015</w:t>
            </w:r>
          </w:p>
        </w:tc>
        <w:tc>
          <w:tcPr>
            <w:tcW w:w="1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2014</w:t>
            </w:r>
          </w:p>
        </w:tc>
      </w:tr>
      <w:tr>
        <w:trPr>
          <w:trHeight w:val="204"/>
        </w:trPr>
        <w:tc>
          <w:tcPr>
            <w:tcW w:w="51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Mortgage notes receivable</w:t>
            </w:r>
          </w:p>
        </w:tc>
        <w:tc>
          <w:tcPr>
            <w:tcW w:w="4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10,590</w:t>
            </w:r>
          </w:p>
        </w:tc>
        <w:tc>
          <w:tcPr>
            <w:tcW w:w="80" w:type="dxa"/>
            <w:vAlign w:val="bottom"/>
            <w:tcBorders>
              <w:top w:val="single" w:sz="8" w:color="CCEEFF"/>
            </w:tcBorders>
            <w:shd w:val="clear" w:color="auto" w:fill="CCEEFF"/>
          </w:tcPr>
          <w:p>
            <w:pPr>
              <w:spacing w:after="0"/>
              <w:rPr>
                <w:sz w:val="17"/>
                <w:szCs w:val="17"/>
                <w:color w:val="auto"/>
              </w:rPr>
            </w:pPr>
          </w:p>
        </w:tc>
      </w:tr>
      <w:tr>
        <w:trPr>
          <w:trHeight w:val="218"/>
        </w:trPr>
        <w:tc>
          <w:tcPr>
            <w:tcW w:w="5100" w:type="dxa"/>
            <w:vAlign w:val="bottom"/>
          </w:tcPr>
          <w:p>
            <w:pPr>
              <w:spacing w:after="0"/>
              <w:rPr>
                <w:sz w:val="20"/>
                <w:szCs w:val="20"/>
                <w:color w:val="auto"/>
              </w:rPr>
            </w:pPr>
            <w:r>
              <w:rPr>
                <w:rFonts w:ascii="Arial" w:cs="Arial" w:eastAsia="Arial" w:hAnsi="Arial"/>
                <w:sz w:val="18"/>
                <w:szCs w:val="18"/>
                <w:color w:val="auto"/>
              </w:rPr>
              <w:t>Other receivables from stores</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r>
      <w:tr>
        <w:trPr>
          <w:trHeight w:val="211"/>
        </w:trPr>
        <w:tc>
          <w:tcPr>
            <w:tcW w:w="5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11,778</w:t>
            </w:r>
          </w:p>
        </w:tc>
      </w:tr>
      <w:tr>
        <w:trPr>
          <w:trHeight w:val="20"/>
        </w:trPr>
        <w:tc>
          <w:tcPr>
            <w:tcW w:w="5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ind w:right="200" w:firstLine="457"/>
        <w:spacing w:after="0" w:line="254" w:lineRule="auto"/>
        <w:rPr>
          <w:sz w:val="20"/>
          <w:szCs w:val="20"/>
          <w:color w:val="auto"/>
        </w:rPr>
      </w:pPr>
      <w:r>
        <w:rPr>
          <w:rFonts w:ascii="Arial" w:cs="Arial" w:eastAsia="Arial" w:hAnsi="Arial"/>
          <w:sz w:val="18"/>
          <w:szCs w:val="18"/>
          <w:color w:val="auto"/>
        </w:rPr>
        <w:t>Other receivables from stores consist of amounts due for management fees, asset management fees and expenses paid on behalf of the stores that the Company manages. The Company believes that all of these related party and affiliated real estate joint venture receivables are fully collectible. The Company does not have any payables to related parties at December 31, 2015 or 2014.</w:t>
      </w:r>
    </w:p>
    <w:p>
      <w:pPr>
        <w:spacing w:after="0" w:line="188"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The Company has entered into an annual aircraft dry lease and service and management agreement with SpenAero, L.C. (“SpenAero”), an affiliate of Spencer F. Kirk, the Company’s Chief Executive Officer. Under the terms of the agreement, the Company pays a defined hourly rate for use of the aircraft. During the years ended December 31, 2015, 2014 and 2013, the Company paid SpenAero $1,163, $1,059 and $803, respectively. The services that the Company receives from SpenAero are similar in nature and comparable in price to those that are provided to other outside third parties.</w:t>
      </w:r>
    </w:p>
    <w:p>
      <w:pPr>
        <w:spacing w:after="0" w:line="300" w:lineRule="exact"/>
        <w:rPr>
          <w:sz w:val="20"/>
          <w:szCs w:val="20"/>
          <w:color w:val="auto"/>
        </w:rPr>
      </w:pPr>
    </w:p>
    <w:p>
      <w:pPr>
        <w:ind w:left="460" w:hanging="454"/>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16"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The Company’s charter provides that it can issue up to 500,000,000 shares of common stock, $0.01 par value per share and 50,000,000 shares of preferred stock, $0.01 par value per share. As of December 31, 2015, 124,119,531 shares of common stock were issued and outstanding, and no shares of preferred stock were issued or outstanding.</w:t>
      </w:r>
    </w:p>
    <w:p>
      <w:pPr>
        <w:spacing w:after="0" w:line="188" w:lineRule="exact"/>
        <w:rPr>
          <w:sz w:val="20"/>
          <w:szCs w:val="20"/>
          <w:color w:val="auto"/>
        </w:rPr>
      </w:pPr>
    </w:p>
    <w:p>
      <w:pPr>
        <w:ind w:right="420" w:firstLine="457"/>
        <w:spacing w:after="0" w:line="263"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80" w:lineRule="exact"/>
        <w:rPr>
          <w:sz w:val="20"/>
          <w:szCs w:val="20"/>
          <w:color w:val="auto"/>
        </w:rPr>
      </w:pPr>
    </w:p>
    <w:p>
      <w:pPr>
        <w:ind w:right="180" w:firstLine="457"/>
        <w:spacing w:after="0" w:line="326" w:lineRule="auto"/>
        <w:rPr>
          <w:sz w:val="20"/>
          <w:szCs w:val="20"/>
          <w:color w:val="auto"/>
        </w:rPr>
      </w:pPr>
      <w:r>
        <w:rPr>
          <w:rFonts w:ascii="Arial" w:cs="Arial" w:eastAsia="Arial" w:hAnsi="Arial"/>
          <w:sz w:val="16"/>
          <w:szCs w:val="16"/>
          <w:color w:val="auto"/>
        </w:rPr>
        <w:t>On June 22, 2015, the Company issued and sold 6,325,000 shares of its common stock in a public offering at a price of $68.15 per share. The Company received gross proceeds of $431,049. The underwriting discount and transaction costs were $14,438, resulting in net proceeds of $416,611.</w:t>
      </w:r>
    </w:p>
    <w:p>
      <w:pPr>
        <w:spacing w:after="0" w:line="134" w:lineRule="exact"/>
        <w:rPr>
          <w:sz w:val="20"/>
          <w:szCs w:val="20"/>
          <w:color w:val="auto"/>
        </w:rPr>
      </w:pPr>
    </w:p>
    <w:p>
      <w:pPr>
        <w:ind w:right="100" w:firstLine="457"/>
        <w:spacing w:after="0" w:line="292" w:lineRule="auto"/>
        <w:rPr>
          <w:sz w:val="20"/>
          <w:szCs w:val="20"/>
          <w:color w:val="auto"/>
        </w:rPr>
      </w:pPr>
      <w:r>
        <w:rPr>
          <w:rFonts w:ascii="Arial" w:cs="Arial" w:eastAsia="Arial" w:hAnsi="Arial"/>
          <w:sz w:val="16"/>
          <w:szCs w:val="16"/>
          <w:color w:val="auto"/>
        </w:rPr>
        <w:t>On August 28, 2015, the Company filed a $400,000 “at the market” equity program with the Securities and Exchange Commission, and entered into separate equity distribution agreements with five sales agents. Under the terms of the equity distribution agreements, the Company may from time to time offer and sell shares of common stock, up to the aggregate offering price of $400,000, through its sales agents. During the year ended December 31, 2015, the Company sold 410,000 shares of common stock at an average sales price of $75.17 per share, resulting in net proceeds of $30,266.</w:t>
      </w:r>
    </w:p>
    <w:p>
      <w:pPr>
        <w:spacing w:after="0" w:line="160" w:lineRule="exact"/>
        <w:rPr>
          <w:sz w:val="20"/>
          <w:szCs w:val="20"/>
          <w:color w:val="auto"/>
        </w:rPr>
      </w:pPr>
    </w:p>
    <w:p>
      <w:pPr>
        <w:ind w:right="60" w:firstLine="457"/>
        <w:spacing w:after="0" w:line="326" w:lineRule="auto"/>
        <w:rPr>
          <w:sz w:val="20"/>
          <w:szCs w:val="20"/>
          <w:color w:val="auto"/>
        </w:rPr>
      </w:pPr>
      <w:r>
        <w:rPr>
          <w:rFonts w:ascii="Arial" w:cs="Arial" w:eastAsia="Arial" w:hAnsi="Arial"/>
          <w:sz w:val="16"/>
          <w:szCs w:val="16"/>
          <w:color w:val="auto"/>
        </w:rPr>
        <w:t>On November 8, 2013, the Company issued and sold 4,500,000 shares of its common stock in a public offering at a price to the underwriter of $45.81 per share. The Company received gross proceeds of $206,145. Transaction costs were $157, resulting in net proceeds of $205,988.</w:t>
      </w:r>
    </w:p>
    <w:p>
      <w:pPr>
        <w:spacing w:after="0" w:line="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452"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0"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3" w:lineRule="exact"/>
        <w:rPr>
          <w:sz w:val="20"/>
          <w:szCs w:val="20"/>
          <w:color w:val="auto"/>
        </w:rPr>
      </w:pPr>
    </w:p>
    <w:p>
      <w:pPr>
        <w:jc w:val="both"/>
        <w:ind w:right="20" w:firstLine="457"/>
        <w:spacing w:after="0" w:line="249" w:lineRule="auto"/>
        <w:rPr>
          <w:sz w:val="20"/>
          <w:szCs w:val="20"/>
          <w:color w:val="auto"/>
        </w:rPr>
      </w:pPr>
      <w:r>
        <w:rPr>
          <w:rFonts w:ascii="Arial" w:cs="Arial" w:eastAsia="Arial" w:hAnsi="Arial"/>
          <w:sz w:val="18"/>
          <w:szCs w:val="18"/>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110" w:lineRule="exact"/>
        <w:rPr>
          <w:sz w:val="20"/>
          <w:szCs w:val="20"/>
          <w:color w:val="auto"/>
        </w:rPr>
      </w:pPr>
    </w:p>
    <w:p>
      <w:pPr>
        <w:ind w:right="980" w:firstLine="457"/>
        <w:spacing w:after="0" w:line="326" w:lineRule="auto"/>
        <w:rPr>
          <w:sz w:val="20"/>
          <w:szCs w:val="20"/>
          <w:color w:val="auto"/>
        </w:rPr>
      </w:pPr>
      <w:r>
        <w:rPr>
          <w:rFonts w:ascii="Arial" w:cs="Arial" w:eastAsia="Arial" w:hAnsi="Arial"/>
          <w:sz w:val="16"/>
          <w:szCs w:val="16"/>
          <w:color w:val="auto"/>
        </w:rPr>
        <w:t>On June 15, 2007, the Operating Partnership entered into a Contribution Agreement with various limited partnerships affiliated with AAAAA Rent-A-Space to acquire ten stores in exchange for 989,980 Series A Units. The stores are located in California and Hawaii.</w:t>
      </w:r>
    </w:p>
    <w:p>
      <w:pPr>
        <w:spacing w:after="0" w:line="134" w:lineRule="exact"/>
        <w:rPr>
          <w:sz w:val="20"/>
          <w:szCs w:val="20"/>
          <w:color w:val="auto"/>
        </w:rPr>
      </w:pPr>
    </w:p>
    <w:p>
      <w:pPr>
        <w:ind w:right="380" w:firstLine="457"/>
        <w:spacing w:after="0" w:line="326" w:lineRule="auto"/>
        <w:rPr>
          <w:sz w:val="20"/>
          <w:szCs w:val="20"/>
          <w:color w:val="auto"/>
        </w:rPr>
      </w:pPr>
      <w:r>
        <w:rPr>
          <w:rFonts w:ascii="Arial" w:cs="Arial" w:eastAsia="Arial" w:hAnsi="Arial"/>
          <w:sz w:val="16"/>
          <w:szCs w:val="16"/>
          <w:color w:val="auto"/>
        </w:rPr>
        <w:t>The partnership agreement of the Operating Partnership (as amended, the “Partnership Agreement”) provides for the designation and issuance of the Series A Units. The Series A Units have priority over all other partnership interests of the Operating Partnership with respect to distributions and liquidation.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Under the Partnership Agreement, Series A Units in the amount of $115,000 bear a fixed priority return of 5.0% and have a fixed liquidation value of</w:t>
      </w:r>
    </w:p>
    <w:p>
      <w:pPr>
        <w:spacing w:after="0" w:line="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$115,000. The remaining balance participates in distributions with, and has a liquidation value equal to, that of the common OP Units. The Series A Units became redeemable at the option of the holder on September 1, 2008, which redemption obligation may be satisfied, at the Company’s option, in cash or shares of its common stock.</w:t>
      </w:r>
    </w:p>
    <w:p>
      <w:pPr>
        <w:spacing w:after="0" w:line="19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On June 25, 2007, the Operating Partnership loaned the holders of the Series A Units $100,000. The note receivable bears interest at 4.85%. During 2013, a loan amendment was signed extending the maturity date to September 1, 2020. The loan is secured by the borrower’s Series A Units. The holders of the Series A Units could redeem up to 114,500 Series A Units prior to the maturity date of the loan. If any redemption in excess of 114,500 Series A Units occurs prior to the maturity date, the holder of the Series A Units is required to repay the loan as of the date of that redemption. On October 3, 2014, the holders of the Series A Units redeemed 114,500 Series A Units for $4,794 in cash and 280,331 shares of common stock. No additional redemption of Series A Units can be made without repayment of the loan. The Series A Units are shown on the balance sheet net of the $100,000 loan because the borrower under the loan receivable is also the holder of the Series A Units.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110" w:lineRule="exact"/>
        <w:rPr>
          <w:sz w:val="20"/>
          <w:szCs w:val="20"/>
          <w:color w:val="auto"/>
        </w:rPr>
      </w:pPr>
    </w:p>
    <w:p>
      <w:pPr>
        <w:ind w:right="60" w:firstLine="457"/>
        <w:spacing w:after="0" w:line="263" w:lineRule="auto"/>
        <w:rPr>
          <w:sz w:val="20"/>
          <w:szCs w:val="20"/>
          <w:color w:val="auto"/>
        </w:rPr>
      </w:pPr>
      <w:r>
        <w:rPr>
          <w:rFonts w:ascii="Arial" w:cs="Arial" w:eastAsia="Arial" w:hAnsi="Arial"/>
          <w:sz w:val="18"/>
          <w:szCs w:val="18"/>
          <w:color w:val="auto"/>
        </w:rPr>
        <w:t>On April 3, 2014, the Operating Partnership completed the purchase of a store located in Georgia. This store was acquired in exchange for $15,158 of cash and 333,360 Series B Units valued at $8,334.</w:t>
      </w:r>
    </w:p>
    <w:p>
      <w:pPr>
        <w:spacing w:after="0" w:line="180" w:lineRule="exact"/>
        <w:rPr>
          <w:sz w:val="20"/>
          <w:szCs w:val="20"/>
          <w:color w:val="auto"/>
        </w:rPr>
      </w:pPr>
    </w:p>
    <w:p>
      <w:pPr>
        <w:ind w:right="360" w:firstLine="457"/>
        <w:spacing w:after="0" w:line="263" w:lineRule="auto"/>
        <w:rPr>
          <w:sz w:val="20"/>
          <w:szCs w:val="20"/>
          <w:color w:val="auto"/>
        </w:rPr>
      </w:pPr>
      <w:r>
        <w:rPr>
          <w:rFonts w:ascii="Arial" w:cs="Arial" w:eastAsia="Arial" w:hAnsi="Arial"/>
          <w:sz w:val="18"/>
          <w:szCs w:val="18"/>
          <w:color w:val="auto"/>
        </w:rPr>
        <w:t>On August 29, 2013, the Operating Partnership completed the purchase of 19 out of 20 stores affiliated with All Aboard Mini Storage, all of which are located in California. On September 26, 2013, the Operating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2"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326" w:lineRule="auto"/>
        <w:rPr>
          <w:sz w:val="20"/>
          <w:szCs w:val="20"/>
          <w:color w:val="auto"/>
        </w:rPr>
      </w:pPr>
      <w:r>
        <w:rPr>
          <w:rFonts w:ascii="Arial" w:cs="Arial" w:eastAsia="Arial" w:hAnsi="Arial"/>
          <w:sz w:val="16"/>
          <w:szCs w:val="16"/>
          <w:color w:val="auto"/>
        </w:rPr>
        <w:t>Partnership completed the purchase of the remaining facility. These stores were acquired in exchange for $100,876 in cash (including $98,960 of debt assumed and immediately defeased at closing), 1,342,727 Series B Units valued at $33,569, and 1,448,108 common OP Units valued at $62,341.</w:t>
      </w:r>
    </w:p>
    <w:p>
      <w:pPr>
        <w:spacing w:after="0" w:line="134" w:lineRule="exact"/>
        <w:rPr>
          <w:sz w:val="20"/>
          <w:szCs w:val="20"/>
          <w:color w:val="auto"/>
        </w:rPr>
      </w:pPr>
    </w:p>
    <w:p>
      <w:pPr>
        <w:jc w:val="both"/>
        <w:ind w:right="100" w:firstLine="457"/>
        <w:spacing w:after="0" w:line="363" w:lineRule="auto"/>
        <w:rPr>
          <w:sz w:val="20"/>
          <w:szCs w:val="20"/>
          <w:color w:val="auto"/>
        </w:rPr>
      </w:pPr>
      <w:r>
        <w:rPr>
          <w:rFonts w:ascii="Arial" w:cs="Arial" w:eastAsia="Arial" w:hAnsi="Arial"/>
          <w:sz w:val="15"/>
          <w:szCs w:val="15"/>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12" w:lineRule="exact"/>
        <w:rPr>
          <w:sz w:val="20"/>
          <w:szCs w:val="20"/>
          <w:color w:val="auto"/>
        </w:rPr>
      </w:pPr>
    </w:p>
    <w:p>
      <w:pPr>
        <w:jc w:val="both"/>
        <w:ind w:right="100" w:firstLine="457"/>
        <w:spacing w:after="0" w:line="300" w:lineRule="auto"/>
        <w:rPr>
          <w:sz w:val="20"/>
          <w:szCs w:val="20"/>
          <w:color w:val="auto"/>
        </w:rPr>
      </w:pPr>
      <w:r>
        <w:rPr>
          <w:rFonts w:ascii="Arial" w:cs="Arial" w:eastAsia="Arial" w:hAnsi="Arial"/>
          <w:sz w:val="16"/>
          <w:szCs w:val="16"/>
          <w:color w:val="auto"/>
        </w:rPr>
        <w:t>The Series B Units have a liquidation value of $25.00 per unit for a fixed liquidation value of $41,903. Holders of the Series B Units receive distributions at an annual rate of 6.0%. These distributions are cumulative. The Series B Units are redeemable at the option of the holder on the first anniversary of the date of issuance, which redemption obligations may be satisfied at the Company’s option in cash or shares of its common stock.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110"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On November 19, 2013, the Operating Partnership entered into Contribution Agreements with various entities affiliated with Grupe, under which the Company agreed to acquire twelve stores, all of which are located in California. The Company completed the purchase of these stores between December 2013 and May 2014. The Company previously held a 35% interest in five of these stores and a 40% interest in one store through six separate joint ventures with Grupe. These stores were acquired in exchange for a total of approximately $45,722 of cash, the assumption of $37,532 in existing debt, and the issuance of 704,016 Series C Units valued at $30,960.</w:t>
      </w:r>
    </w:p>
    <w:p>
      <w:pPr>
        <w:spacing w:after="0" w:line="193" w:lineRule="exact"/>
        <w:rPr>
          <w:sz w:val="20"/>
          <w:szCs w:val="20"/>
          <w:color w:val="auto"/>
        </w:rPr>
      </w:pPr>
    </w:p>
    <w:p>
      <w:pPr>
        <w:jc w:val="both"/>
        <w:ind w:right="100" w:firstLine="457"/>
        <w:spacing w:after="0" w:line="363" w:lineRule="auto"/>
        <w:rPr>
          <w:sz w:val="20"/>
          <w:szCs w:val="20"/>
          <w:color w:val="auto"/>
        </w:rPr>
      </w:pPr>
      <w:r>
        <w:rPr>
          <w:rFonts w:ascii="Arial" w:cs="Arial" w:eastAsia="Arial" w:hAnsi="Arial"/>
          <w:sz w:val="15"/>
          <w:szCs w:val="15"/>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12" w:lineRule="exact"/>
        <w:rPr>
          <w:sz w:val="20"/>
          <w:szCs w:val="20"/>
          <w:color w:val="auto"/>
        </w:rPr>
      </w:pPr>
    </w:p>
    <w:p>
      <w:pPr>
        <w:ind w:firstLine="457"/>
        <w:spacing w:after="0" w:line="247" w:lineRule="auto"/>
        <w:rPr>
          <w:sz w:val="20"/>
          <w:szCs w:val="20"/>
          <w:color w:val="auto"/>
        </w:rPr>
      </w:pPr>
      <w:r>
        <w:rPr>
          <w:rFonts w:ascii="Arial" w:cs="Arial" w:eastAsia="Arial" w:hAnsi="Arial"/>
          <w:sz w:val="18"/>
          <w:szCs w:val="18"/>
          <w:color w:val="auto"/>
        </w:rPr>
        <w:t>The Series C Units have a liquidation value of $42.10 per unit for a fixed liquidation value of $29,639. From issuance to the fifth anniversary of issuance, each Series C Unit holder will receive quarterly distributions equal to the quarterly distribution for common OP Unit plus $0.18. Beginning on the fifth anniversary of issuance, each Series C Unit holder will receive a fixed quarterly distribution equal to the aggregate quarterly distribution payable in respect of such Series C Unit during the four quarters immediately preceding the fifth anniversary of issuance divided by four. These distributions are cumulative. The Series C Units will become redeemable at the option of the holder one year from the date of issuance, which redemption obligation may be satisfied at the Company’s option in cash or shares of its common stock. The Series C Units will also become convertible into common OP Units at the option of the holder one year from the date of issuance, at a rate of 0.9145 common OP Units per Series C Unit converted. This conversion option expires upon the fifth anniversary of the date of issuance.</w:t>
      </w:r>
    </w:p>
    <w:p>
      <w:pPr>
        <w:spacing w:after="0" w:line="196" w:lineRule="exact"/>
        <w:rPr>
          <w:sz w:val="20"/>
          <w:szCs w:val="20"/>
          <w:color w:val="auto"/>
        </w:rPr>
      </w:pPr>
    </w:p>
    <w:p>
      <w:pPr>
        <w:jc w:val="both"/>
        <w:ind w:right="120" w:firstLine="457"/>
        <w:spacing w:after="0" w:line="254" w:lineRule="auto"/>
        <w:rPr>
          <w:sz w:val="20"/>
          <w:szCs w:val="20"/>
          <w:color w:val="auto"/>
        </w:rPr>
      </w:pPr>
      <w:r>
        <w:rPr>
          <w:rFonts w:ascii="Arial" w:cs="Arial" w:eastAsia="Arial" w:hAnsi="Arial"/>
          <w:sz w:val="18"/>
          <w:szCs w:val="18"/>
          <w:color w:val="auto"/>
        </w:rPr>
        <w:t>In December 2014, the Operating Partnership loaned holders of the Series C Units $20,230. The notes receivable, which are collateralized by the Series C Units, bear interest at 5.0% and mature on December 15, 2024. The Series C Units are shown on the balance sheet net of the $20,230 loan because the borrower under the loan receivable is also the holder of the Series C Units.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110" w:lineRule="exact"/>
        <w:rPr>
          <w:sz w:val="20"/>
          <w:szCs w:val="20"/>
          <w:color w:val="auto"/>
        </w:rPr>
      </w:pPr>
    </w:p>
    <w:p>
      <w:pPr>
        <w:ind w:right="320" w:firstLine="457"/>
        <w:spacing w:after="0" w:line="263" w:lineRule="auto"/>
        <w:rPr>
          <w:sz w:val="20"/>
          <w:szCs w:val="20"/>
          <w:color w:val="auto"/>
        </w:rPr>
      </w:pPr>
      <w:r>
        <w:rPr>
          <w:rFonts w:ascii="Arial" w:cs="Arial" w:eastAsia="Arial" w:hAnsi="Arial"/>
          <w:sz w:val="18"/>
          <w:szCs w:val="18"/>
          <w:color w:val="auto"/>
        </w:rPr>
        <w:t>In December 2014, the Operating Partnership completed the acquisition of a store located in Florida. This store was acquired in exchange for $5,621 in cash and 548,390 Series D Units valued at $13,710.</w:t>
      </w:r>
    </w:p>
    <w:p>
      <w:pPr>
        <w:spacing w:after="0" w:line="180" w:lineRule="exact"/>
        <w:rPr>
          <w:sz w:val="20"/>
          <w:szCs w:val="20"/>
          <w:color w:val="auto"/>
        </w:rPr>
      </w:pPr>
    </w:p>
    <w:p>
      <w:pPr>
        <w:ind w:right="60" w:firstLine="457"/>
        <w:spacing w:after="0" w:line="326" w:lineRule="auto"/>
        <w:rPr>
          <w:sz w:val="20"/>
          <w:szCs w:val="20"/>
          <w:color w:val="auto"/>
        </w:rPr>
      </w:pPr>
      <w:r>
        <w:rPr>
          <w:rFonts w:ascii="Arial" w:cs="Arial" w:eastAsia="Arial" w:hAnsi="Arial"/>
          <w:sz w:val="16"/>
          <w:szCs w:val="16"/>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2"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60" w:firstLine="457"/>
        <w:spacing w:after="0" w:line="300" w:lineRule="auto"/>
        <w:rPr>
          <w:sz w:val="20"/>
          <w:szCs w:val="20"/>
          <w:color w:val="auto"/>
        </w:rPr>
      </w:pPr>
      <w:r>
        <w:rPr>
          <w:rFonts w:ascii="Arial" w:cs="Arial" w:eastAsia="Arial" w:hAnsi="Arial"/>
          <w:sz w:val="16"/>
          <w:szCs w:val="16"/>
          <w:color w:val="auto"/>
        </w:rPr>
        <w:t>The Series D Units have a liquidation value of $25.00 per unit, for a fixed liquidation value of $13,710. Holders of the Series D Units receive distributions at an annual rate of 5.0%. These distributions are cumulative. The Series D Units will become redeemable at the option of the holder on the first anniversary of the date of issuance, which redemption obligation may be satisfied at the Company’s option in cash or shares of its common stock.</w:t>
      </w:r>
    </w:p>
    <w:p>
      <w:pPr>
        <w:spacing w:after="0" w:line="294" w:lineRule="exact"/>
        <w:rPr>
          <w:sz w:val="20"/>
          <w:szCs w:val="20"/>
          <w:color w:val="auto"/>
        </w:rPr>
      </w:pPr>
    </w:p>
    <w:p>
      <w:pPr>
        <w:ind w:left="460" w:hanging="454"/>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OPERATING PARTNERSHIP</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interest in its stores is held through the Operating Partnership. ESS Holding Business Trust I, a wholly-owned subsidiary of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is the sole general partner of the Operating Partnership. ESS Business Trust II, also a wholly-owned subsidiary of the Company, is a limited partner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Operating Partnership. Between its general partner and limited partner interests, the Company held a 92.9% majority ownership interest therein as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2015. The remaining ownership interests in the Operating Partnership (including Preferred Operating Partnership units) of 7.1% are held by certain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former owners of assets acquired by the Operating Partnership. As of December 31, 2015, the Operating Partnership had 5,621,642 OP Units outstanding.</w:t>
      </w:r>
    </w:p>
    <w:p>
      <w:pPr>
        <w:spacing w:after="0" w:line="227"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The noncontrolling interest in the Operating Partnership represents OP Units that are not owned by the Company. In conjunction with the formation of the Company and as a result of subsequent acquisitions, certain persons and entities contributing interests in stores to the Operating Partnership received limited partnership units in the form of OP Units. Limited partners who received OP Units in the formation transactions or in exchange for contributions for interests in stores have the right to require the Operating Partnership to redeem part or all of their OP Units for cash based upon the fair market value of an equivalent number of shares of the Company’s common stock (10 day average) at the time of the redemption. Alternatively, the Company may, at its sole discretion, elect to acquire those OP Units in exchange for shares of its common stock on a one-for-one basis, subject to anti-dilution adjustments provided in the Operating Partnership agreement. The ten day average closing stock price at December 31, 2015, was $88.75 and there were 5,621,642 OP Units outstanding. Assuming that all of the unit holders exercised their right to redeem all of their OP Units on December 31, 2015 and the Company elected to pay the non-controlling members cash, the Company would have paid $498,921 in cash consideration to redeem the units.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2015, a total of 787,850 OP Units were redeemed in exchange for the Company’s common stock.</w:t>
      </w:r>
    </w:p>
    <w:p>
      <w:pPr>
        <w:spacing w:after="0" w:line="215" w:lineRule="exact"/>
        <w:rPr>
          <w:sz w:val="20"/>
          <w:szCs w:val="20"/>
          <w:color w:val="auto"/>
        </w:rPr>
      </w:pPr>
    </w:p>
    <w:p>
      <w:pPr>
        <w:ind w:right="80" w:firstLine="457"/>
        <w:spacing w:after="0" w:line="263" w:lineRule="auto"/>
        <w:rPr>
          <w:sz w:val="20"/>
          <w:szCs w:val="20"/>
          <w:color w:val="auto"/>
        </w:rPr>
      </w:pPr>
      <w:r>
        <w:rPr>
          <w:rFonts w:ascii="Arial" w:cs="Arial" w:eastAsia="Arial" w:hAnsi="Arial"/>
          <w:sz w:val="18"/>
          <w:szCs w:val="18"/>
          <w:color w:val="auto"/>
        </w:rPr>
        <w:t>On November 13, 2015, the Company purchased one store located in Texas. As part of the consideration for this acquisition, 91,434 OP Units were issued with a total value of $7,221.</w:t>
      </w:r>
    </w:p>
    <w:p>
      <w:pPr>
        <w:spacing w:after="0" w:line="180" w:lineRule="exact"/>
        <w:rPr>
          <w:sz w:val="20"/>
          <w:szCs w:val="20"/>
          <w:color w:val="auto"/>
        </w:rPr>
      </w:pPr>
    </w:p>
    <w:p>
      <w:pPr>
        <w:ind w:firstLine="457"/>
        <w:spacing w:after="0" w:line="263" w:lineRule="auto"/>
        <w:rPr>
          <w:sz w:val="20"/>
          <w:szCs w:val="20"/>
          <w:color w:val="auto"/>
        </w:rPr>
      </w:pPr>
      <w:r>
        <w:rPr>
          <w:rFonts w:ascii="Arial" w:cs="Arial" w:eastAsia="Arial" w:hAnsi="Arial"/>
          <w:sz w:val="18"/>
          <w:szCs w:val="18"/>
          <w:color w:val="auto"/>
        </w:rPr>
        <w:t>On October 1, 2015, the Company acquired SmartStop. As part of the consideration for this acquisition, 376,848 OP Units were issued with a total value of $28,656.</w:t>
      </w:r>
    </w:p>
    <w:p>
      <w:pPr>
        <w:spacing w:after="0" w:line="180" w:lineRule="exact"/>
        <w:rPr>
          <w:sz w:val="20"/>
          <w:szCs w:val="20"/>
          <w:color w:val="auto"/>
        </w:rPr>
      </w:pPr>
    </w:p>
    <w:p>
      <w:pPr>
        <w:ind w:right="40" w:firstLine="457"/>
        <w:spacing w:after="0" w:line="263" w:lineRule="auto"/>
        <w:rPr>
          <w:sz w:val="20"/>
          <w:szCs w:val="20"/>
          <w:color w:val="auto"/>
        </w:rPr>
      </w:pPr>
      <w:r>
        <w:rPr>
          <w:rFonts w:ascii="Arial" w:cs="Arial" w:eastAsia="Arial" w:hAnsi="Arial"/>
          <w:sz w:val="18"/>
          <w:szCs w:val="18"/>
          <w:color w:val="auto"/>
        </w:rPr>
        <w:t>On June 18, 2015, the Company purchased one store located in Florida. As part of the consideration for this acquisition, 71,054 OP Units were issued with a total value of $4,773.</w:t>
      </w:r>
    </w:p>
    <w:p>
      <w:pPr>
        <w:spacing w:after="0" w:line="180" w:lineRule="exact"/>
        <w:rPr>
          <w:sz w:val="20"/>
          <w:szCs w:val="20"/>
          <w:color w:val="auto"/>
        </w:rPr>
      </w:pPr>
    </w:p>
    <w:p>
      <w:pPr>
        <w:ind w:right="200" w:firstLine="457"/>
        <w:spacing w:after="0" w:line="263" w:lineRule="auto"/>
        <w:rPr>
          <w:sz w:val="20"/>
          <w:szCs w:val="20"/>
          <w:color w:val="auto"/>
        </w:rPr>
      </w:pPr>
      <w:r>
        <w:rPr>
          <w:rFonts w:ascii="Arial" w:cs="Arial" w:eastAsia="Arial" w:hAnsi="Arial"/>
          <w:sz w:val="18"/>
          <w:szCs w:val="18"/>
          <w:color w:val="auto"/>
        </w:rPr>
        <w:t>On April 15, 2015, the Company purchased 22 stores located in Arizona and Texas. As part of the consideration for this acquisition, 1,504,277 OP Units were issued with a total value of $101,749.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2014, the Company purchased a single store in California. As part of the consideration, 50,620 OP Units were issued for a value of $2,983.</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2014, a total of 18,859 OP Units were redeemed in exchange for the Company’s common stock.</w:t>
      </w:r>
    </w:p>
    <w:p>
      <w:pPr>
        <w:spacing w:after="0" w:line="215" w:lineRule="exact"/>
        <w:rPr>
          <w:sz w:val="20"/>
          <w:szCs w:val="20"/>
          <w:color w:val="auto"/>
        </w:rPr>
      </w:pPr>
    </w:p>
    <w:p>
      <w:pPr>
        <w:ind w:right="680" w:firstLine="457"/>
        <w:spacing w:after="0" w:line="263" w:lineRule="auto"/>
        <w:rPr>
          <w:sz w:val="20"/>
          <w:szCs w:val="20"/>
          <w:color w:val="auto"/>
        </w:rPr>
      </w:pPr>
      <w:r>
        <w:rPr>
          <w:rFonts w:ascii="Arial" w:cs="Arial" w:eastAsia="Arial" w:hAnsi="Arial"/>
          <w:sz w:val="18"/>
          <w:szCs w:val="18"/>
          <w:color w:val="auto"/>
        </w:rPr>
        <w:t>In October 2013, 12,500 OP Units were redeemed in exchange for the Company’s common stock. In March and April 2013, 1,000 OP Units were redeemed in exchange for $41 in cash.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2"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60" w:firstLine="457"/>
        <w:spacing w:after="0" w:line="263" w:lineRule="auto"/>
        <w:rPr>
          <w:sz w:val="20"/>
          <w:szCs w:val="20"/>
          <w:color w:val="auto"/>
        </w:rPr>
      </w:pPr>
      <w:r>
        <w:rPr>
          <w:rFonts w:ascii="Arial" w:cs="Arial" w:eastAsia="Arial" w:hAnsi="Arial"/>
          <w:sz w:val="18"/>
          <w:szCs w:val="18"/>
          <w:color w:val="auto"/>
        </w:rPr>
        <w:t>On August 29, 2013 and September 26, 2013, the Company purchased 20 stores in California. As part of the consideration, 1,448,108 OP Units were issued for a value of $62,341.</w:t>
      </w:r>
    </w:p>
    <w:p>
      <w:pPr>
        <w:spacing w:after="0" w:line="180"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3" w:lineRule="exact"/>
        <w:rPr>
          <w:sz w:val="20"/>
          <w:szCs w:val="20"/>
          <w:color w:val="auto"/>
        </w:rPr>
      </w:pPr>
    </w:p>
    <w:p>
      <w:pPr>
        <w:ind w:right="100" w:firstLine="457"/>
        <w:spacing w:after="0" w:line="249"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333" w:lineRule="exact"/>
        <w:rPr>
          <w:sz w:val="20"/>
          <w:szCs w:val="20"/>
          <w:color w:val="auto"/>
        </w:rPr>
      </w:pPr>
    </w:p>
    <w:p>
      <w:pPr>
        <w:ind w:left="460" w:hanging="454"/>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NONCONTROLLING INTERESTS</w:t>
      </w:r>
    </w:p>
    <w:p>
      <w:pPr>
        <w:spacing w:after="0" w:line="116"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Other noncontrolling interests represent the ownership interest of third parties in two consolidated joint ventures as of December 31, 2015. One of these consolidated joint ventures owns a single operating store in California, and the other owns a store under development in Texas. The voting interests of the third-party owners range from 17.5% to 20.0%. Other noncontrolling interests are included in the stockholders’ equity section of the Company’s condensed consolidated balance sheets. The income or losses attributable to this third-party owner based on its ownership percentage are reflected in net income allocated to Operating Partnership and other noncontrolling interests in the condensed consolidated statements of operations</w:t>
      </w:r>
    </w:p>
    <w:p>
      <w:pPr>
        <w:spacing w:after="0" w:line="163"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On June 11, 2015, the Company purchased its joint venture partner’s remaining 1% interest in HSRE for $1,267. HSRE owned 19 properties in California, Florida, Nevada, Ohio, Pennsylvania, Tennessee, Texas and Virginia, and as a result of this purchase, these properties became wholly-owned by the Company. Prior to this acquisition, the partner’s interest was reported in other noncontrolling interests. Since the Company retained its controlling interest in the subsidiary, this transaction was accounted for as an equity transaction. The carrying amount of the noncontrolling interest was reduced to zero to reflect the purchase, and the difference between the price paid by the Company and the carrying value of the noncontrolling interest was recorded as an adjustment to equity attributable to the Company.</w:t>
      </w:r>
    </w:p>
    <w:p>
      <w:pPr>
        <w:spacing w:after="0" w:line="195"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In November 2013, the Company purchased its joint venture partner’s 10% membership interest in an existing joint venture for $1,292. The joint venture owned a single store located in California, and as a result of the acquisition, the store became wholly-owned by the Company. Since the Company retained its controlling financial interest in the subsidiary, this transaction was accounted for as an equity transaction. The carrying amount of the noncontrolling interest was reduced to zero to reflect the purchase, and the difference between the price paid by the Company and the adjustment to the carrying value of the noncontrolling interest was recorded as an adjustment to equity attributable to the parent.</w:t>
      </w:r>
    </w:p>
    <w:p>
      <w:pPr>
        <w:spacing w:after="0" w:line="163"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In May 2013, the Company purchased one of its joint venture partner’s 27.6% capital interest and 35% profit interest in a previously unconsolidated joint venture for $950. The partner’s interest was reported in other noncontrolling interests prior to the purchase. As a result of the acquisition, the store became wholly-owned by the Company. Since the Company retained its controlling financial interest in the subsidiary, this transaction was accounted for as an equity transaction. The carrying amount of the noncontrolling interest was reduced to zero to reflect the purchase and the difference between the price paid by the Company and the carrying value of the noncontrolling interest was recorded as an adjustment to equity attributable to the parent.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In February 2013, the Company purchased one of its joint venture partner’s 1.7% capital interest and 17% profit interest in a consolidated store for $200. As a result, the Company’s capital interest percentage in this joint venture increased from 95% to 96.7%. Since the Company retained its controlling financial interest in the subsidiary, this transaction was accounted for as an equity transaction. The carrying amount of the noncontrolling interest was reduced to reflect the purchase and the difference between the price paid by the Company and the adjustment to the carrying value of the noncontrolling interest was recorded as an adjustment to equity attributable to the parent.</w:t>
      </w:r>
    </w:p>
    <w:p>
      <w:pPr>
        <w:spacing w:after="0" w:line="333" w:lineRule="exact"/>
        <w:rPr>
          <w:sz w:val="20"/>
          <w:szCs w:val="20"/>
          <w:color w:val="auto"/>
        </w:rPr>
      </w:pPr>
    </w:p>
    <w:p>
      <w:pPr>
        <w:ind w:left="460" w:hanging="454"/>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4,658,171 shares were available for issuance under the Company’s 2015 Incentive Award Plan (the “Plan”).</w:t>
      </w:r>
    </w:p>
    <w:p>
      <w:pPr>
        <w:spacing w:after="0" w:line="215"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color w:val="auto"/>
        </w:rPr>
        <w:t>Option grants are issued with an exercise price equal to the closing price of stock on the date of grant. Unless otherwise determined by the Compensation, Nominating and Governance Committee (“CNG Committee”) at the time of grant, options shall vest ratably over a four-year period beginning on the date of grant. Each option will be exercisable once it has vested. Options are exercisable at such times and subject to such terms as determined by the CNG Committee, but under no circumstances may be exercised if such exercise would cause a violation of the ownership limit in the Company’s charter. Options expire 10 years from the date of grant.</w:t>
      </w:r>
    </w:p>
    <w:p>
      <w:pPr>
        <w:spacing w:after="0" w:line="193"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Also as defined under the terms of the Plan, restricted stock grants may be awarded. The stock grants are subject to a vesting period over which the restrictions are released and the stock certificates are given to the grantee. During the performance or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CNG Committee at the time of grant, the forfeiture and transfer restrictions on the shares lapse over a four-year period beginning on the date of grant.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32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Remaining</w:t>
            </w:r>
          </w:p>
        </w:tc>
        <w:tc>
          <w:tcPr>
            <w:tcW w:w="560" w:type="dxa"/>
            <w:vAlign w:val="bottom"/>
          </w:tcPr>
          <w:p>
            <w:pPr>
              <w:spacing w:after="0"/>
              <w:rPr>
                <w:sz w:val="12"/>
                <w:szCs w:val="12"/>
                <w:color w:val="auto"/>
              </w:rPr>
            </w:pP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4"/>
              </w:rPr>
              <w:t>Value as</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1720" w:type="dxa"/>
            <w:vAlign w:val="bottom"/>
            <w:gridSpan w:val="3"/>
          </w:tcPr>
          <w:p>
            <w:pPr>
              <w:jc w:val="center"/>
              <w:ind w:right="1160"/>
              <w:spacing w:after="0" w:line="145"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560" w:type="dxa"/>
            <w:vAlign w:val="bottom"/>
          </w:tcPr>
          <w:p>
            <w:pPr>
              <w:spacing w:after="0"/>
              <w:rPr>
                <w:sz w:val="12"/>
                <w:szCs w:val="12"/>
                <w:color w:val="auto"/>
              </w:rPr>
            </w:pP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5"/>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3"/>
          </w:tcPr>
          <w:p>
            <w:pPr>
              <w:jc w:val="center"/>
              <w:ind w:right="1140"/>
              <w:spacing w:after="0" w:line="145"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6"/>
              </w:rPr>
              <w:t>Life</w:t>
            </w:r>
          </w:p>
        </w:tc>
        <w:tc>
          <w:tcPr>
            <w:tcW w:w="560" w:type="dxa"/>
            <w:vAlign w:val="bottom"/>
          </w:tcPr>
          <w:p>
            <w:pPr>
              <w:spacing w:after="0"/>
              <w:rPr>
                <w:sz w:val="12"/>
                <w:szCs w:val="12"/>
                <w:color w:val="auto"/>
              </w:rPr>
            </w:pP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68"/>
        </w:trPr>
        <w:tc>
          <w:tcPr>
            <w:tcW w:w="5180" w:type="dxa"/>
            <w:vAlign w:val="bottom"/>
            <w:gridSpan w:val="2"/>
            <w:vMerge w:val="continue"/>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(Years)</w:t>
            </w:r>
          </w:p>
        </w:tc>
        <w:tc>
          <w:tcPr>
            <w:tcW w:w="120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31, 2015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Outstanding at December 31, 2012</w:t>
            </w:r>
          </w:p>
        </w:tc>
        <w:tc>
          <w:tcPr>
            <w:tcW w:w="7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1,097,092</w:t>
            </w:r>
          </w:p>
        </w:tc>
        <w:tc>
          <w:tcPr>
            <w:tcW w:w="6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13.89</w:t>
            </w:r>
          </w:p>
        </w:tc>
        <w:tc>
          <w:tcPr>
            <w:tcW w:w="11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49,075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38.40</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(391,543)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14.81</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754,624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15.01</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31,000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47.50</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(211,747)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14.85</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(5,150)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28.28</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568,727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16.62</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89,575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69.93</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(79,974)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18.79</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(5,699)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8"/>
                <w:szCs w:val="18"/>
                <w:color w:val="auto"/>
              </w:rPr>
              <w:t>39.83</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572,629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24.42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4.87</w:t>
            </w:r>
          </w:p>
        </w:tc>
        <w:tc>
          <w:tcPr>
            <w:tcW w:w="1280" w:type="dxa"/>
            <w:vAlign w:val="bottom"/>
            <w:gridSpan w:val="3"/>
            <w:shd w:val="clear" w:color="auto" w:fill="CCEEFF"/>
          </w:tcPr>
          <w:p>
            <w:pPr>
              <w:jc w:val="center"/>
              <w:ind w:left="396"/>
              <w:spacing w:after="0"/>
              <w:rPr>
                <w:sz w:val="20"/>
                <w:szCs w:val="20"/>
                <w:color w:val="auto"/>
              </w:rPr>
            </w:pPr>
            <w:r>
              <w:rPr>
                <w:rFonts w:ascii="Arial" w:cs="Arial" w:eastAsia="Arial" w:hAnsi="Arial"/>
                <w:sz w:val="18"/>
                <w:szCs w:val="18"/>
                <w:color w:val="auto"/>
                <w:w w:val="91"/>
              </w:rPr>
              <w:t>$ 36,525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4.79</w:t>
            </w:r>
          </w:p>
        </w:tc>
        <w:tc>
          <w:tcPr>
            <w:tcW w:w="1280" w:type="dxa"/>
            <w:vAlign w:val="bottom"/>
            <w:gridSpan w:val="3"/>
            <w:vMerge w:val="restart"/>
          </w:tcPr>
          <w:p>
            <w:pPr>
              <w:jc w:val="center"/>
              <w:ind w:left="396"/>
              <w:spacing w:after="0"/>
              <w:rPr>
                <w:sz w:val="20"/>
                <w:szCs w:val="20"/>
                <w:color w:val="auto"/>
              </w:rPr>
            </w:pPr>
            <w:r>
              <w:rPr>
                <w:rFonts w:ascii="Arial" w:cs="Arial" w:eastAsia="Arial" w:hAnsi="Arial"/>
                <w:sz w:val="18"/>
                <w:szCs w:val="18"/>
                <w:color w:val="auto"/>
                <w:w w:val="91"/>
              </w:rPr>
              <w:t>$ 36,297</w:t>
            </w:r>
          </w:p>
        </w:tc>
        <w:tc>
          <w:tcPr>
            <w:tcW w:w="0" w:type="dxa"/>
            <w:vAlign w:val="bottom"/>
          </w:tcPr>
          <w:p>
            <w:pPr>
              <w:spacing w:after="0" w:line="20" w:lineRule="exact"/>
              <w:rPr>
                <w:sz w:val="1"/>
                <w:szCs w:val="1"/>
                <w:color w:val="auto"/>
              </w:rPr>
            </w:pPr>
          </w:p>
        </w:tc>
      </w:tr>
      <w:tr>
        <w:trPr>
          <w:trHeight w:val="204"/>
        </w:trPr>
        <w:tc>
          <w:tcPr>
            <w:tcW w:w="5180" w:type="dxa"/>
            <w:vAlign w:val="bottom"/>
            <w:gridSpan w:val="2"/>
            <w:vMerge w:val="continue"/>
          </w:tcPr>
          <w:p>
            <w:pPr>
              <w:spacing w:after="0"/>
              <w:rPr>
                <w:sz w:val="17"/>
                <w:szCs w:val="17"/>
                <w:color w:val="auto"/>
              </w:rPr>
            </w:pPr>
          </w:p>
        </w:tc>
        <w:tc>
          <w:tcPr>
            <w:tcW w:w="1360" w:type="dxa"/>
            <w:vAlign w:val="bottom"/>
            <w:gridSpan w:val="2"/>
          </w:tcPr>
          <w:p>
            <w:pPr>
              <w:jc w:val="right"/>
              <w:ind w:right="600"/>
              <w:spacing w:after="0" w:line="204" w:lineRule="exact"/>
              <w:rPr>
                <w:sz w:val="20"/>
                <w:szCs w:val="20"/>
                <w:color w:val="auto"/>
              </w:rPr>
            </w:pPr>
            <w:r>
              <w:rPr>
                <w:rFonts w:ascii="Arial" w:cs="Arial" w:eastAsia="Arial" w:hAnsi="Arial"/>
                <w:sz w:val="18"/>
                <w:szCs w:val="18"/>
                <w:color w:val="auto"/>
              </w:rPr>
              <w:t>562,672</w:t>
            </w:r>
          </w:p>
        </w:tc>
        <w:tc>
          <w:tcPr>
            <w:tcW w:w="660" w:type="dxa"/>
            <w:vAlign w:val="bottom"/>
            <w:gridSpan w:val="2"/>
          </w:tcPr>
          <w:p>
            <w:pPr>
              <w:ind w:left="560"/>
              <w:spacing w:after="0" w:line="204" w:lineRule="exact"/>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140"/>
              <w:spacing w:after="0" w:line="204" w:lineRule="exact"/>
              <w:rPr>
                <w:sz w:val="20"/>
                <w:szCs w:val="20"/>
                <w:color w:val="auto"/>
              </w:rPr>
            </w:pPr>
            <w:r>
              <w:rPr>
                <w:rFonts w:ascii="Arial" w:cs="Arial" w:eastAsia="Arial" w:hAnsi="Arial"/>
                <w:sz w:val="18"/>
                <w:szCs w:val="18"/>
                <w:color w:val="auto"/>
              </w:rPr>
              <w:t>23.70</w:t>
            </w:r>
          </w:p>
        </w:tc>
        <w:tc>
          <w:tcPr>
            <w:tcW w:w="132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429,348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13.16</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3.63</w:t>
            </w:r>
          </w:p>
        </w:tc>
        <w:tc>
          <w:tcPr>
            <w:tcW w:w="1280" w:type="dxa"/>
            <w:vAlign w:val="bottom"/>
            <w:gridSpan w:val="3"/>
            <w:shd w:val="clear" w:color="auto" w:fill="CCEEFF"/>
          </w:tcPr>
          <w:p>
            <w:pPr>
              <w:jc w:val="center"/>
              <w:ind w:left="396"/>
              <w:spacing w:after="0"/>
              <w:rPr>
                <w:sz w:val="20"/>
                <w:szCs w:val="20"/>
                <w:color w:val="auto"/>
              </w:rPr>
            </w:pPr>
            <w:r>
              <w:rPr>
                <w:rFonts w:ascii="Arial" w:cs="Arial" w:eastAsia="Arial" w:hAnsi="Arial"/>
                <w:sz w:val="18"/>
                <w:szCs w:val="18"/>
                <w:color w:val="auto"/>
                <w:w w:val="91"/>
              </w:rPr>
              <w:t>$ 32,222</w:t>
            </w:r>
          </w:p>
        </w:tc>
        <w:tc>
          <w:tcPr>
            <w:tcW w:w="0" w:type="dxa"/>
            <w:vAlign w:val="bottom"/>
          </w:tcPr>
          <w:p>
            <w:pPr>
              <w:spacing w:after="0"/>
              <w:rPr>
                <w:sz w:val="1"/>
                <w:szCs w:val="1"/>
                <w:color w:val="auto"/>
              </w:rPr>
            </w:pPr>
          </w:p>
        </w:tc>
      </w:tr>
      <w:tr>
        <w:trPr>
          <w:trHeight w:val="356"/>
        </w:trPr>
        <w:tc>
          <w:tcPr>
            <w:tcW w:w="4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40" w:firstLine="457"/>
        <w:spacing w:after="0" w:line="300" w:lineRule="auto"/>
        <w:rPr>
          <w:sz w:val="20"/>
          <w:szCs w:val="20"/>
          <w:color w:val="auto"/>
        </w:rPr>
      </w:pPr>
      <w:r>
        <w:rPr>
          <w:rFonts w:ascii="Arial" w:cs="Arial" w:eastAsia="Arial" w:hAnsi="Arial"/>
          <w:sz w:val="16"/>
          <w:szCs w:val="16"/>
          <w:color w:val="auto"/>
        </w:rPr>
        <w:t>The aggregate intrinsic value in the table above represents the total value (the difference between the Company’s closing stock price on the last trading day of 2015 and the exercise price, multiplied by the number of in-the-money options) that would have been received by the option holders had all option holders exercised their options on December 31, 2015. The amount of aggregate intrinsic value will change based on the fair market value of the Company’s stock.</w:t>
      </w:r>
    </w:p>
    <w:p>
      <w:pPr>
        <w:spacing w:after="0" w:line="155" w:lineRule="exact"/>
        <w:rPr>
          <w:sz w:val="20"/>
          <w:szCs w:val="20"/>
          <w:color w:val="auto"/>
        </w:rPr>
      </w:pPr>
    </w:p>
    <w:p>
      <w:pPr>
        <w:ind w:right="480" w:firstLine="457"/>
        <w:spacing w:after="0" w:line="326" w:lineRule="auto"/>
        <w:rPr>
          <w:sz w:val="20"/>
          <w:szCs w:val="20"/>
          <w:color w:val="auto"/>
        </w:rPr>
      </w:pPr>
      <w:r>
        <w:rPr>
          <w:rFonts w:ascii="Arial" w:cs="Arial" w:eastAsia="Arial" w:hAnsi="Arial"/>
          <w:sz w:val="16"/>
          <w:szCs w:val="16"/>
          <w:color w:val="auto"/>
        </w:rPr>
        <w:t>The weighted average fair value of stock options granted in 2015, 2014 and 2013, was $16.89, $12.03 and $9.74, respectively. The fair value of each option grant is estimated on the date of grant using the Black-Scholes option-pricing model with the following weighted average assumptions: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For the 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8"/>
        </w:trPr>
        <w:tc>
          <w:tcPr>
            <w:tcW w:w="6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
              <w:spacing w:after="0" w:line="139"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04"/>
        </w:trPr>
        <w:tc>
          <w:tcPr>
            <w:tcW w:w="6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Expected volatility</w:t>
            </w:r>
          </w:p>
        </w:tc>
        <w:tc>
          <w:tcPr>
            <w:tcW w:w="5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0"/>
              <w:spacing w:after="0" w:line="204" w:lineRule="exact"/>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42%</w:t>
            </w:r>
          </w:p>
        </w:tc>
      </w:tr>
      <w:tr>
        <w:trPr>
          <w:trHeight w:val="211"/>
        </w:trPr>
        <w:tc>
          <w:tcPr>
            <w:tcW w:w="6220" w:type="dxa"/>
            <w:vAlign w:val="bottom"/>
          </w:tcPr>
          <w:p>
            <w:pPr>
              <w:spacing w:after="0"/>
              <w:rPr>
                <w:sz w:val="20"/>
                <w:szCs w:val="20"/>
                <w:color w:val="auto"/>
              </w:rPr>
            </w:pPr>
            <w:r>
              <w:rPr>
                <w:rFonts w:ascii="Arial" w:cs="Arial" w:eastAsia="Arial" w:hAnsi="Arial"/>
                <w:sz w:val="18"/>
                <w:szCs w:val="18"/>
                <w:color w:val="auto"/>
              </w:rPr>
              <w:t>Dividend yield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1"/>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1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Average expected term (years)</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r>
    </w:tbl>
    <w:p>
      <w:pPr>
        <w:spacing w:after="0" w:line="187" w:lineRule="exact"/>
        <w:rPr>
          <w:sz w:val="20"/>
          <w:szCs w:val="20"/>
          <w:color w:val="auto"/>
        </w:rPr>
      </w:pPr>
    </w:p>
    <w:p>
      <w:pPr>
        <w:ind w:right="260" w:firstLine="457"/>
        <w:spacing w:after="0" w:line="292" w:lineRule="auto"/>
        <w:rPr>
          <w:sz w:val="20"/>
          <w:szCs w:val="20"/>
          <w:color w:val="auto"/>
        </w:rPr>
      </w:pPr>
      <w:r>
        <w:rPr>
          <w:rFonts w:ascii="Arial" w:cs="Arial" w:eastAsia="Arial" w:hAnsi="Arial"/>
          <w:sz w:val="16"/>
          <w:szCs w:val="16"/>
          <w:color w:val="auto"/>
        </w:rPr>
        <w:t>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5.0% of unvested options outstanding as of December 31, 2015, is adjusted periodically based on the extent to which actual forfeitures differ, or are expected to differ, from the previous estimates.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options outstanding and exercisable as of December 31, 2015,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w w:val="93"/>
              </w:rPr>
              <w:t>Options Exercisable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40" w:type="dxa"/>
            <w:vAlign w:val="bottom"/>
            <w:gridSpan w:val="2"/>
          </w:tcPr>
          <w:p>
            <w:pPr>
              <w:jc w:val="right"/>
              <w:ind w:right="1040"/>
              <w:spacing w:after="0" w:line="116" w:lineRule="exact"/>
              <w:rPr>
                <w:sz w:val="20"/>
                <w:szCs w:val="20"/>
                <w:color w:val="auto"/>
              </w:rPr>
            </w:pPr>
            <w:r>
              <w:rPr>
                <w:rFonts w:ascii="Arial" w:cs="Arial" w:eastAsia="Arial" w:hAnsi="Arial"/>
                <w:sz w:val="13"/>
                <w:szCs w:val="13"/>
                <w:b w:val="1"/>
                <w:bCs w:val="1"/>
                <w:color w:val="auto"/>
                <w:w w:val="95"/>
              </w:rPr>
              <w:t>Weighted Average</w:t>
            </w:r>
          </w:p>
        </w:tc>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5"/>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87"/>
              </w:rPr>
              <w:t>Exercise Price</w:t>
            </w:r>
          </w:p>
        </w:tc>
        <w:tc>
          <w:tcPr>
            <w:tcW w:w="1740" w:type="dxa"/>
            <w:vAlign w:val="bottom"/>
            <w:vMerge w:val="restart"/>
          </w:tcPr>
          <w:p>
            <w:pPr>
              <w:spacing w:after="0"/>
              <w:rPr>
                <w:sz w:val="12"/>
                <w:szCs w:val="12"/>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restart"/>
          </w:tcPr>
          <w:p>
            <w:pPr>
              <w:spacing w:after="0"/>
              <w:rPr>
                <w:sz w:val="12"/>
                <w:szCs w:val="12"/>
                <w:color w:val="auto"/>
              </w:rPr>
            </w:pPr>
          </w:p>
        </w:tc>
        <w:tc>
          <w:tcPr>
            <w:tcW w:w="214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Remaining</w:t>
            </w:r>
          </w:p>
        </w:tc>
        <w:tc>
          <w:tcPr>
            <w:tcW w:w="2140" w:type="dxa"/>
            <w:vAlign w:val="bottom"/>
            <w:gridSpan w:val="3"/>
            <w:vMerge w:val="continue"/>
          </w:tcPr>
          <w:p>
            <w:pPr>
              <w:spacing w:after="0"/>
              <w:rPr>
                <w:sz w:val="12"/>
                <w:szCs w:val="12"/>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6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CCEEFF"/>
            </w:tcBorders>
            <w:gridSpan w:val="2"/>
            <w:vMerge w:val="continue"/>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Contractual Life</w:t>
            </w: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Exercise Price</w:t>
            </w:r>
          </w:p>
        </w:tc>
        <w:tc>
          <w:tcPr>
            <w:tcW w:w="10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7"/>
              </w:rPr>
              <w:t>Exercise Price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00" w:type="dxa"/>
            <w:vAlign w:val="bottom"/>
            <w:gridSpan w:val="2"/>
            <w:shd w:val="clear" w:color="auto" w:fill="CCEEFF"/>
          </w:tcPr>
          <w:p>
            <w:pPr>
              <w:jc w:val="right"/>
              <w:ind w:right="1580"/>
              <w:spacing w:after="0" w:line="204" w:lineRule="exact"/>
              <w:rPr>
                <w:sz w:val="20"/>
                <w:szCs w:val="20"/>
                <w:color w:val="auto"/>
              </w:rPr>
            </w:pPr>
            <w:r>
              <w:rPr>
                <w:rFonts w:ascii="Arial" w:cs="Arial" w:eastAsia="Arial" w:hAnsi="Arial"/>
                <w:sz w:val="18"/>
                <w:szCs w:val="18"/>
                <w:color w:val="auto"/>
              </w:rPr>
              <w:t>$6.22</w:t>
            </w:r>
          </w:p>
        </w:tc>
        <w:tc>
          <w:tcPr>
            <w:tcW w:w="6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167,000</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3.13</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6.22</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167,000</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spacing w:after="0"/>
              <w:rPr>
                <w:sz w:val="20"/>
                <w:szCs w:val="20"/>
                <w:color w:val="auto"/>
              </w:rPr>
            </w:pPr>
            <w:r>
              <w:rPr>
                <w:rFonts w:ascii="Arial" w:cs="Arial" w:eastAsia="Arial" w:hAnsi="Arial"/>
                <w:sz w:val="18"/>
                <w:szCs w:val="18"/>
                <w:color w:val="auto"/>
              </w:rPr>
              <w:t>$11.59—$15.07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182,410</w:t>
            </w:r>
          </w:p>
        </w:tc>
        <w:tc>
          <w:tcPr>
            <w:tcW w:w="1020" w:type="dxa"/>
            <w:vAlign w:val="bottom"/>
          </w:tcPr>
          <w:p>
            <w:pPr>
              <w:spacing w:after="0"/>
              <w:rPr>
                <w:sz w:val="18"/>
                <w:szCs w:val="18"/>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10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182,410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$15.30—$47.50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133,644</w:t>
            </w:r>
          </w:p>
        </w:tc>
        <w:tc>
          <w:tcPr>
            <w:tcW w:w="10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79,938</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spacing w:after="0"/>
              <w:rPr>
                <w:sz w:val="20"/>
                <w:szCs w:val="20"/>
                <w:color w:val="auto"/>
              </w:rPr>
            </w:pPr>
            <w:r>
              <w:rPr>
                <w:rFonts w:ascii="Arial" w:cs="Arial" w:eastAsia="Arial" w:hAnsi="Arial"/>
                <w:sz w:val="18"/>
                <w:szCs w:val="18"/>
                <w:color w:val="auto"/>
              </w:rPr>
              <w:t>$65.36—$65.45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39,575</w:t>
            </w:r>
          </w:p>
        </w:tc>
        <w:tc>
          <w:tcPr>
            <w:tcW w:w="1020" w:type="dxa"/>
            <w:vAlign w:val="bottom"/>
          </w:tcPr>
          <w:p>
            <w:pPr>
              <w:spacing w:after="0"/>
              <w:rPr>
                <w:sz w:val="18"/>
                <w:szCs w:val="18"/>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65.40</w:t>
            </w:r>
          </w:p>
        </w:tc>
        <w:tc>
          <w:tcPr>
            <w:tcW w:w="10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CEEFF"/>
          </w:tcPr>
          <w:p>
            <w:pPr>
              <w:jc w:val="right"/>
              <w:ind w:right="1520"/>
              <w:spacing w:after="0"/>
              <w:rPr>
                <w:sz w:val="20"/>
                <w:szCs w:val="20"/>
                <w:color w:val="auto"/>
              </w:rPr>
            </w:pPr>
            <w:r>
              <w:rPr>
                <w:rFonts w:ascii="Arial" w:cs="Arial" w:eastAsia="Arial" w:hAnsi="Arial"/>
                <w:sz w:val="18"/>
                <w:szCs w:val="18"/>
                <w:color w:val="auto"/>
              </w:rPr>
              <w:t>$73.52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00" w:type="dxa"/>
            <w:vAlign w:val="bottom"/>
            <w:gridSpan w:val="2"/>
          </w:tcPr>
          <w:p>
            <w:pPr>
              <w:spacing w:after="0"/>
              <w:rPr>
                <w:sz w:val="20"/>
                <w:szCs w:val="20"/>
                <w:color w:val="auto"/>
              </w:rPr>
            </w:pPr>
            <w:r>
              <w:rPr>
                <w:rFonts w:ascii="Arial" w:cs="Arial" w:eastAsia="Arial" w:hAnsi="Arial"/>
                <w:sz w:val="18"/>
                <w:szCs w:val="18"/>
                <w:color w:val="auto"/>
              </w:rPr>
              <w:t>$6.22—$73.52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572,629</w:t>
            </w:r>
          </w:p>
        </w:tc>
        <w:tc>
          <w:tcPr>
            <w:tcW w:w="1020" w:type="dxa"/>
            <w:vAlign w:val="bottom"/>
          </w:tcPr>
          <w:p>
            <w:pPr>
              <w:spacing w:after="0"/>
              <w:rPr>
                <w:sz w:val="18"/>
                <w:szCs w:val="18"/>
                <w:color w:val="auto"/>
              </w:rPr>
            </w:pPr>
          </w:p>
        </w:tc>
        <w:tc>
          <w:tcPr>
            <w:tcW w:w="2140" w:type="dxa"/>
            <w:vAlign w:val="bottom"/>
            <w:gridSpan w:val="2"/>
          </w:tcPr>
          <w:p>
            <w:pPr>
              <w:jc w:val="right"/>
              <w:ind w:right="104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24.42</w:t>
            </w:r>
          </w:p>
        </w:tc>
        <w:tc>
          <w:tcPr>
            <w:tcW w:w="10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429,348</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The Company recorded compensation expense relating to outstanding options of $510, $456 and $536 in general and administrative expense for the years ended December 31, 2015, 2014 and 2013, respectively. Total cash received for the years ended December 31, 2015, 2014 and 2013, related to option exercises was $1,542, $3,095 and $5,896, respectively. At December 31, 2015, there was $1,427 of total unrecognized compensation expense related to non-vested stock options under the Company’s 2004 Long-Term Incentive Compensation Plan. That cost is expected to be recognized over a weighted-average period of 2.58 years. The valuation model applied in this calculation utilizes subjective assumptions that could potentially change over time, including the expected forfeiture rate. Therefore, the amount of unrecognized compensation expense at December 31, 2015, noted above does not necessarily represent the expense that will ultimately be realized by the Company in the statement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2"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116"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The Company recorded $5,545, $4,528 and $4,283 of expense in general and administrative expense in its statement of operations related to outstanding shares of common stock granted to employees and directors for the years ended December 31, 2015, 2014 and 2013, respectively. The forfeiture rate, which is estimated at a weighted-average of 10.2% of unvested awards outstanding as of December 31, 2015, is adjusted periodically based on the extent to which actual forfeitures differ, or are expected to differ, from the previous estimates. At December 31, 2015 there was $11,868 of total unrecognized compensation expense related to non-vested restricted stock awards under the Company’s 2004 Long-Term Incentive Compensation Plan. That cost is expected to be recognized over a weighted-average period of 2.45 years.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common stock awards is determined based on the closing trading price of the Company’s common stock on the grant date.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employee and director share grant activity is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45"/>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2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7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8"/>
        </w:trPr>
        <w:tc>
          <w:tcPr>
            <w:tcW w:w="63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Unreleased at December 31, 2012</w:t>
            </w:r>
          </w:p>
        </w:tc>
        <w:tc>
          <w:tcPr>
            <w:tcW w:w="7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540,272</w:t>
            </w:r>
          </w:p>
        </w:tc>
        <w:tc>
          <w:tcPr>
            <w:tcW w:w="50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17.93</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137,602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(259,191)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(23,323)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395,360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117,370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(197,386)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(23,595)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174,558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(129,808)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(18,090)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318,409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460" w:hanging="45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16"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The Company has a retirement savings plan under Section 401(k) of the Internal Revenue Code under which eligible employees can contribute up to 15% of their annual salary, subject to a statutory prescribed annual limit. For the years ended December 31, 2015, 2014 and 2013, the Company made matching contributions to the plan of $1,680, $1,529 and $1,013, respectively, based on 100% of the first 3% and up to 50% of the next 2% of an employee’s compensation.</w:t>
      </w:r>
    </w:p>
    <w:p>
      <w:pPr>
        <w:spacing w:after="0" w:line="333" w:lineRule="exact"/>
        <w:rPr>
          <w:sz w:val="20"/>
          <w:szCs w:val="20"/>
          <w:color w:val="auto"/>
        </w:rPr>
      </w:pPr>
    </w:p>
    <w:p>
      <w:pPr>
        <w:ind w:left="460" w:hanging="454"/>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 xml:space="preserve">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In general, the Company’s TRS may perform additional services for tenants and generally may engage in any real estate or non-real estate related business. A TRS is subject to corporate federal income tax. The Company accounts for income taxes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Deferred tax assets and liabilities are determined based on differences between financial reporting and tax bases of assets and liabilities. The Company has elected to use the Tax-Law-Ordering approach to determine when excess tax benefits will be realized.</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2"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for the years ended December 31, 2015, 2014 and 2013, is comprised of the following components: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5"/>
          </w:tcPr>
          <w:p>
            <w:pPr>
              <w:jc w:val="right"/>
              <w:ind w:right="660"/>
              <w:spacing w:after="0" w:line="139" w:lineRule="exact"/>
              <w:rPr>
                <w:sz w:val="20"/>
                <w:szCs w:val="20"/>
                <w:color w:val="auto"/>
              </w:rPr>
            </w:pPr>
            <w:r>
              <w:rPr>
                <w:rFonts w:ascii="Arial" w:cs="Arial" w:eastAsia="Arial" w:hAnsi="Arial"/>
                <w:sz w:val="14"/>
                <w:szCs w:val="14"/>
                <w:color w:val="auto"/>
                <w:w w:val="92"/>
              </w:rPr>
              <w:t>Federal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jc w:val="right"/>
              <w:ind w:right="960"/>
              <w:spacing w:after="0" w:line="139" w:lineRule="exact"/>
              <w:rPr>
                <w:sz w:val="20"/>
                <w:szCs w:val="20"/>
                <w:color w:val="auto"/>
              </w:rPr>
            </w:pPr>
            <w:r>
              <w:rPr>
                <w:rFonts w:ascii="Arial" w:cs="Arial" w:eastAsia="Arial" w:hAnsi="Arial"/>
                <w:sz w:val="14"/>
                <w:szCs w:val="14"/>
                <w:color w:val="auto"/>
              </w:rPr>
              <w:t>State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6"/>
              <w:spacing w:after="0" w:line="13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Current expense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3,736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4"/>
            <w:shd w:val="clear" w:color="auto" w:fill="CCEEFF"/>
          </w:tcPr>
          <w:p>
            <w:pPr>
              <w:jc w:val="right"/>
              <w:spacing w:after="0" w:line="204" w:lineRule="exact"/>
              <w:rPr>
                <w:sz w:val="20"/>
                <w:szCs w:val="20"/>
                <w:color w:val="auto"/>
              </w:rPr>
            </w:pPr>
            <w:r>
              <w:rPr>
                <w:rFonts w:ascii="Arial" w:cs="Arial" w:eastAsia="Arial" w:hAnsi="Arial"/>
                <w:sz w:val="18"/>
                <w:szCs w:val="18"/>
                <w:color w:val="auto"/>
              </w:rPr>
              <w:t>1,640</w:t>
            </w: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5,376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Tax credits/True-up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right"/>
              <w:ind w:righ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(1,518)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tax expense</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vMerge w:val="continue"/>
          </w:tcPr>
          <w:p>
            <w:pPr>
              <w:spacing w:after="0"/>
              <w:rPr>
                <w:sz w:val="18"/>
                <w:szCs w:val="18"/>
                <w:color w:val="auto"/>
              </w:rPr>
            </w:pPr>
          </w:p>
        </w:tc>
        <w:tc>
          <w:tcPr>
            <w:tcW w:w="320" w:type="dxa"/>
            <w:vAlign w:val="bottom"/>
            <w:gridSpan w:val="3"/>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11,026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122</w:t>
            </w:r>
          </w:p>
        </w:tc>
        <w:tc>
          <w:tcPr>
            <w:tcW w:w="740" w:type="dxa"/>
            <w:vAlign w:val="bottom"/>
          </w:tcPr>
          <w:p>
            <w:pPr>
              <w:spacing w:after="0"/>
              <w:rPr>
                <w:sz w:val="18"/>
                <w:szCs w:val="18"/>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3"/>
          </w:tcPr>
          <w:p>
            <w:pPr>
              <w:jc w:val="right"/>
              <w:ind w:right="71"/>
              <w:spacing w:after="0"/>
              <w:rPr>
                <w:sz w:val="20"/>
                <w:szCs w:val="20"/>
                <w:color w:val="auto"/>
              </w:rPr>
            </w:pPr>
            <w:r>
              <w:rPr>
                <w:rFonts w:ascii="Arial" w:cs="Arial" w:eastAsia="Arial" w:hAnsi="Arial"/>
                <w:sz w:val="14"/>
                <w:szCs w:val="14"/>
                <w:b w:val="1"/>
                <w:bCs w:val="1"/>
                <w:color w:val="auto"/>
                <w:w w:val="89"/>
              </w:rPr>
              <w:t>For the Year Ended December 31, 2014</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500"/>
              <w:spacing w:after="0" w:line="139" w:lineRule="exact"/>
              <w:rPr>
                <w:sz w:val="20"/>
                <w:szCs w:val="20"/>
                <w:color w:val="auto"/>
              </w:rPr>
            </w:pPr>
            <w:r>
              <w:rPr>
                <w:rFonts w:ascii="Arial" w:cs="Arial" w:eastAsia="Arial" w:hAnsi="Arial"/>
                <w:sz w:val="14"/>
                <w:szCs w:val="14"/>
                <w:color w:val="auto"/>
              </w:rPr>
              <w:t>Federal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right"/>
              <w:ind w:right="1040"/>
              <w:spacing w:after="0" w:line="139" w:lineRule="exact"/>
              <w:rPr>
                <w:sz w:val="20"/>
                <w:szCs w:val="20"/>
                <w:color w:val="auto"/>
              </w:rPr>
            </w:pPr>
            <w:r>
              <w:rPr>
                <w:rFonts w:ascii="Arial" w:cs="Arial" w:eastAsia="Arial" w:hAnsi="Arial"/>
                <w:sz w:val="14"/>
                <w:szCs w:val="14"/>
                <w:color w:val="auto"/>
                <w:w w:val="85"/>
              </w:rPr>
              <w:t>State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6"/>
              <w:spacing w:after="0" w:line="13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Current expense</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CEEFF"/>
          </w:tcPr>
          <w:p>
            <w:pPr>
              <w:jc w:val="right"/>
              <w:spacing w:after="0" w:line="204" w:lineRule="exact"/>
              <w:rPr>
                <w:sz w:val="20"/>
                <w:szCs w:val="20"/>
                <w:color w:val="auto"/>
              </w:rPr>
            </w:pPr>
            <w:r>
              <w:rPr>
                <w:rFonts w:ascii="Arial" w:cs="Arial" w:eastAsia="Arial" w:hAnsi="Arial"/>
                <w:sz w:val="18"/>
                <w:szCs w:val="18"/>
                <w:color w:val="auto"/>
              </w:rPr>
              <w:t>6,020</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w w:val="76"/>
              </w:rPr>
              <w:t>$ 1,374</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7,394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Tax credits/True-up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(2,176)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right"/>
              <w:ind w:right="9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Total tax expense</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2,923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4"/>
                <w:szCs w:val="14"/>
                <w:b w:val="1"/>
                <w:bCs w:val="1"/>
                <w:color w:val="auto"/>
              </w:rPr>
              <w:t>For the Year Ended December 31, 2013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right"/>
              <w:ind w:right="820"/>
              <w:spacing w:after="0" w:line="139" w:lineRule="exact"/>
              <w:rPr>
                <w:sz w:val="20"/>
                <w:szCs w:val="20"/>
                <w:color w:val="auto"/>
              </w:rPr>
            </w:pPr>
            <w:r>
              <w:rPr>
                <w:rFonts w:ascii="Arial" w:cs="Arial" w:eastAsia="Arial" w:hAnsi="Arial"/>
                <w:sz w:val="14"/>
                <w:szCs w:val="14"/>
                <w:color w:val="auto"/>
                <w:w w:val="96"/>
              </w:rPr>
              <w:t>Federal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6"/>
          </w:tcPr>
          <w:p>
            <w:pPr>
              <w:jc w:val="right"/>
              <w:ind w:right="1100"/>
              <w:spacing w:after="0" w:line="139" w:lineRule="exact"/>
              <w:rPr>
                <w:sz w:val="20"/>
                <w:szCs w:val="20"/>
                <w:color w:val="auto"/>
              </w:rPr>
            </w:pPr>
            <w:r>
              <w:rPr>
                <w:rFonts w:ascii="Arial" w:cs="Arial" w:eastAsia="Arial" w:hAnsi="Arial"/>
                <w:sz w:val="14"/>
                <w:szCs w:val="14"/>
                <w:color w:val="auto"/>
                <w:w w:val="97"/>
              </w:rPr>
              <w:t>State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6"/>
              <w:spacing w:after="0" w:line="13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Current expense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9,572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200"/>
              <w:spacing w:after="0" w:line="204" w:lineRule="exact"/>
              <w:rPr>
                <w:sz w:val="20"/>
                <w:szCs w:val="20"/>
                <w:color w:val="auto"/>
              </w:rPr>
            </w:pPr>
            <w:r>
              <w:rPr>
                <w:rFonts w:ascii="Arial" w:cs="Arial" w:eastAsia="Arial" w:hAnsi="Arial"/>
                <w:sz w:val="18"/>
                <w:szCs w:val="18"/>
                <w:color w:val="auto"/>
                <w:w w:val="79"/>
              </w:rPr>
              <w:t>615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8"/>
              </w:rPr>
              <w:t>10,187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Tax credits/True-up</w:t>
            </w:r>
          </w:p>
        </w:tc>
        <w:tc>
          <w:tcPr>
            <w:tcW w:w="1000" w:type="dxa"/>
            <w:vAlign w:val="bottom"/>
            <w:gridSpan w:val="6"/>
          </w:tcPr>
          <w:p>
            <w:pPr>
              <w:jc w:val="right"/>
              <w:ind w:right="30"/>
              <w:spacing w:after="0"/>
              <w:rPr>
                <w:sz w:val="20"/>
                <w:szCs w:val="20"/>
                <w:color w:val="auto"/>
              </w:rPr>
            </w:pPr>
            <w:r>
              <w:rPr>
                <w:rFonts w:ascii="Arial" w:cs="Arial" w:eastAsia="Arial" w:hAnsi="Arial"/>
                <w:sz w:val="18"/>
                <w:szCs w:val="18"/>
                <w:color w:val="auto"/>
              </w:rPr>
              <w:t>(4,556)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benefit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Total tax expense</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9,369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79"/>
              </w:rPr>
              <w:t>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gridSpan w:val="3"/>
          </w:tcPr>
          <w:p>
            <w:pPr>
              <w:jc w:val="right"/>
              <w:ind w:right="11"/>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income tax provisions to the effective income tax provisions for the periods indicated is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3"/>
              </w:rPr>
              <w:t>For the Year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36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14"/>
              <w:spacing w:after="0" w:line="139"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Expected tax at statutory rate</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94"/>
              </w:rPr>
              <w:t>77,151</w:t>
            </w:r>
          </w:p>
        </w:tc>
        <w:tc>
          <w:tcPr>
            <w:tcW w:w="1180" w:type="dxa"/>
            <w:vAlign w:val="bottom"/>
            <w:gridSpan w:val="3"/>
            <w:shd w:val="clear" w:color="auto" w:fill="CCEEFF"/>
          </w:tcPr>
          <w:p>
            <w:pPr>
              <w:jc w:val="right"/>
              <w:ind w:right="260"/>
              <w:spacing w:after="0" w:line="204" w:lineRule="exact"/>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204" w:lineRule="exact"/>
              <w:rPr>
                <w:sz w:val="20"/>
                <w:szCs w:val="20"/>
                <w:color w:val="auto"/>
              </w:rPr>
            </w:pPr>
            <w:r>
              <w:rPr>
                <w:rFonts w:ascii="Arial" w:cs="Arial" w:eastAsia="Arial" w:hAnsi="Arial"/>
                <w:sz w:val="18"/>
                <w:szCs w:val="18"/>
                <w:color w:val="auto"/>
                <w:w w:val="98"/>
              </w:rPr>
              <w:t>71,215</w:t>
            </w:r>
          </w:p>
        </w:tc>
        <w:tc>
          <w:tcPr>
            <w:tcW w:w="6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Non-taxable REIT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(67,084)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(64,402)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(31.7%)</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 expense—net of federal benefit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1,663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Credits/True-up (WOTC &amp; Solar)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Miscellaneous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11,148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vMerge w:val="restart"/>
          </w:tcPr>
          <w:p>
            <w:pPr>
              <w:jc w:val="right"/>
              <w:ind w:right="111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2" w:right="6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sources of temporary differences stated at their deferred tax effects are as follows: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(17,360)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State Deferred Taxes</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7"/>
        </w:trPr>
        <w:tc>
          <w:tcPr>
            <w:tcW w:w="61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Capitive Insurance Subsidiary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Solar Credit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SmartStop TRS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Deferred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13,985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deferred income tax liabilities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(10,728)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320" w:firstLine="457"/>
        <w:spacing w:after="0" w:line="254" w:lineRule="auto"/>
        <w:rPr>
          <w:sz w:val="20"/>
          <w:szCs w:val="20"/>
          <w:color w:val="auto"/>
        </w:rPr>
      </w:pPr>
      <w:r>
        <w:rPr>
          <w:rFonts w:ascii="Arial" w:cs="Arial" w:eastAsia="Arial" w:hAnsi="Arial"/>
          <w:sz w:val="18"/>
          <w:szCs w:val="18"/>
          <w:color w:val="auto"/>
        </w:rPr>
        <w:t>The state income tax net operating losses expire between 2016 and 2033. The valuation allowance is associated with the state income tax net operating losses. The solar tax credit carryforwards expire between 2030 and 2034. The tax years 2011 through 2014 remain open related to the state returns, and 2012 through 2014 for the federal returns.</w:t>
      </w:r>
    </w:p>
    <w:p>
      <w:pPr>
        <w:spacing w:after="0" w:line="327" w:lineRule="exact"/>
        <w:rPr>
          <w:sz w:val="20"/>
          <w:szCs w:val="20"/>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16"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The Company operates in three distinct segments: (1) rental operations; (2) tenant reinsurance; and (3) property management, acquisition and development. Management fees collected for wholly-owned stores are eliminated in consolidation. Financial information for the Company’s business segments is set forth below: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Sheet</w:t>
            </w:r>
          </w:p>
        </w:tc>
        <w:tc>
          <w:tcPr>
            <w:tcW w:w="2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Investment in unconsolidated real estate ventures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operations</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operations</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5,674,030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4,089,553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37,696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Property management, acquisition and development</w:t>
            </w:r>
          </w:p>
        </w:tc>
        <w:tc>
          <w:tcPr>
            <w:tcW w:w="2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2940" w:type="dxa"/>
            <w:vAlign w:val="bottom"/>
            <w:gridSpan w:val="2"/>
          </w:tcPr>
          <w:p>
            <w:pPr>
              <w:ind w:left="28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6,071,407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4,381,987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20" w:type="dxa"/>
            <w:vAlign w:val="bottom"/>
            <w:vMerge w:val="restart"/>
          </w:tcPr>
          <w:p>
            <w:pPr>
              <w:jc w:val="right"/>
              <w:ind w:right="22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3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2"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38"/>
        </w:trPr>
        <w:tc>
          <w:tcPr>
            <w:tcW w:w="8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5"/>
              <w:spacing w:after="0" w:line="139"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3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5"/>
              <w:spacing w:after="0" w:line="139"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40" w:type="dxa"/>
            <w:vAlign w:val="bottom"/>
            <w:shd w:val="clear" w:color="auto" w:fill="CCEEFF"/>
          </w:tcPr>
          <w:p>
            <w:pPr>
              <w:spacing w:after="0" w:line="138" w:lineRule="exact"/>
              <w:rPr>
                <w:sz w:val="20"/>
                <w:szCs w:val="20"/>
                <w:color w:val="auto"/>
              </w:rPr>
            </w:pPr>
            <w:r>
              <w:rPr>
                <w:rFonts w:ascii="Arial" w:cs="Arial" w:eastAsia="Arial" w:hAnsi="Arial"/>
                <w:sz w:val="15"/>
                <w:szCs w:val="15"/>
                <w:b w:val="1"/>
                <w:bCs w:val="1"/>
                <w:color w:val="auto"/>
              </w:rPr>
              <w:t>Statement of Operations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40" w:type="dxa"/>
            <w:vAlign w:val="bottom"/>
          </w:tcPr>
          <w:p>
            <w:pPr>
              <w:spacing w:after="0" w:line="159" w:lineRule="exact"/>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676,138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559,868</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446,682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tcPr>
          <w:p>
            <w:pPr>
              <w:spacing w:after="0"/>
              <w:rPr>
                <w:sz w:val="13"/>
                <w:szCs w:val="13"/>
                <w:color w:val="auto"/>
              </w:rPr>
            </w:pPr>
          </w:p>
        </w:tc>
        <w:tc>
          <w:tcPr>
            <w:tcW w:w="1020" w:type="dxa"/>
            <w:vAlign w:val="bottom"/>
            <w:gridSpan w:val="2"/>
          </w:tcPr>
          <w:p>
            <w:pPr>
              <w:jc w:val="right"/>
              <w:ind w:right="320"/>
              <w:spacing w:after="0" w:line="159" w:lineRule="exact"/>
              <w:rPr>
                <w:sz w:val="20"/>
                <w:szCs w:val="20"/>
                <w:color w:val="auto"/>
              </w:rPr>
            </w:pPr>
            <w:r>
              <w:rPr>
                <w:rFonts w:ascii="Arial" w:cs="Arial" w:eastAsia="Arial" w:hAnsi="Arial"/>
                <w:sz w:val="15"/>
                <w:szCs w:val="15"/>
                <w:color w:val="auto"/>
              </w:rPr>
              <w:t>71,971</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59,072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47,317</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5"/>
                <w:szCs w:val="15"/>
                <w:color w:val="auto"/>
              </w:rPr>
              <w:t>34,161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28,215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5"/>
                <w:szCs w:val="15"/>
                <w:color w:val="auto"/>
              </w:rPr>
              <w:t>26,614</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782,270</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647,155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520,613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Operating expenses, including depreciation and amortization</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328,380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279,497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229,229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5"/>
                <w:szCs w:val="15"/>
                <w:color w:val="auto"/>
              </w:rPr>
              <w:t>13,033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10,427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9,022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Pr>
          <w:p>
            <w:pPr>
              <w:spacing w:after="0"/>
              <w:rPr>
                <w:sz w:val="14"/>
                <w:szCs w:val="14"/>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146,201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78,763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68,879</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487,614</w:t>
            </w: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368,687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307,130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spacing w:after="0" w:line="165" w:lineRule="exact"/>
              <w:rPr>
                <w:sz w:val="20"/>
                <w:szCs w:val="20"/>
                <w:color w:val="auto"/>
              </w:rPr>
            </w:pPr>
            <w:r>
              <w:rPr>
                <w:rFonts w:ascii="Arial" w:cs="Arial" w:eastAsia="Arial" w:hAnsi="Arial"/>
                <w:sz w:val="15"/>
                <w:szCs w:val="15"/>
                <w:color w:val="auto"/>
              </w:rPr>
              <w:t>Income (loss) from operations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347,758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280,371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217,453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tcPr>
          <w:p>
            <w:pPr>
              <w:spacing w:after="0"/>
              <w:rPr>
                <w:sz w:val="13"/>
                <w:szCs w:val="13"/>
                <w:color w:val="auto"/>
              </w:rPr>
            </w:pPr>
          </w:p>
        </w:tc>
        <w:tc>
          <w:tcPr>
            <w:tcW w:w="1020" w:type="dxa"/>
            <w:vAlign w:val="bottom"/>
            <w:gridSpan w:val="2"/>
          </w:tcPr>
          <w:p>
            <w:pPr>
              <w:jc w:val="right"/>
              <w:ind w:right="320"/>
              <w:spacing w:after="0" w:line="159" w:lineRule="exact"/>
              <w:rPr>
                <w:sz w:val="20"/>
                <w:szCs w:val="20"/>
                <w:color w:val="auto"/>
              </w:rPr>
            </w:pPr>
            <w:r>
              <w:rPr>
                <w:rFonts w:ascii="Arial" w:cs="Arial" w:eastAsia="Arial" w:hAnsi="Arial"/>
                <w:sz w:val="15"/>
                <w:szCs w:val="15"/>
                <w:color w:val="auto"/>
              </w:rPr>
              <w:t>58,938</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48,645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38,295</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(112,040)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(50,548)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(42,265)</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294,656</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278,468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213,483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Gain (loss) on real estate transactions and earnout from prior acquisitions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Pr>
          <w:p>
            <w:pPr>
              <w:spacing w:after="0"/>
              <w:rPr>
                <w:sz w:val="14"/>
                <w:szCs w:val="14"/>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1,501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(10,285)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960</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Property casualty loss, net</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4"/>
                <w:szCs w:val="14"/>
                <w:color w:val="auto"/>
              </w:rPr>
            </w:pPr>
          </w:p>
        </w:tc>
        <w:tc>
          <w:tcPr>
            <w:tcW w:w="1020" w:type="dxa"/>
            <w:vAlign w:val="bottom"/>
            <w:gridSpan w:val="2"/>
          </w:tcPr>
          <w:p>
            <w:pPr>
              <w:jc w:val="right"/>
              <w:ind w:right="400"/>
              <w:spacing w:after="0" w:line="15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(1,724)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Loss on extinguishment of debt related to portfolio acquisition</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Pr>
          <w:p>
            <w:pPr>
              <w:spacing w:after="0"/>
              <w:rPr>
                <w:sz w:val="14"/>
                <w:szCs w:val="14"/>
                <w:color w:val="auto"/>
              </w:rPr>
            </w:pPr>
          </w:p>
        </w:tc>
        <w:tc>
          <w:tcPr>
            <w:tcW w:w="1020" w:type="dxa"/>
            <w:vAlign w:val="bottom"/>
            <w:gridSpan w:val="2"/>
          </w:tcPr>
          <w:p>
            <w:pPr>
              <w:jc w:val="right"/>
              <w:ind w:right="400"/>
              <w:spacing w:after="0" w:line="15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(9,153)</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Interest expense</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9" w:lineRule="exact"/>
              <w:rPr>
                <w:sz w:val="20"/>
                <w:szCs w:val="20"/>
                <w:color w:val="auto"/>
              </w:rPr>
            </w:pPr>
            <w:r>
              <w:rPr>
                <w:rFonts w:ascii="Arial" w:cs="Arial" w:eastAsia="Arial" w:hAnsi="Arial"/>
                <w:sz w:val="15"/>
                <w:szCs w:val="15"/>
                <w:color w:val="auto"/>
              </w:rPr>
              <w:t>(93,711)</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(80,160)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(69,702)</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(1,971)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(1,170)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(95,682)</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(81,330)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(71,630)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Non-cash interest expense related to the amortization of discount on equity component of exchangeable senior notes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Pr>
          <w:p>
            <w:pPr>
              <w:spacing w:after="0"/>
              <w:rPr>
                <w:sz w:val="14"/>
                <w:szCs w:val="14"/>
                <w:color w:val="auto"/>
              </w:rPr>
            </w:pPr>
          </w:p>
        </w:tc>
        <w:tc>
          <w:tcPr>
            <w:tcW w:w="1020" w:type="dxa"/>
            <w:vAlign w:val="bottom"/>
            <w:gridSpan w:val="2"/>
          </w:tcPr>
          <w:p>
            <w:pPr>
              <w:jc w:val="right"/>
              <w:ind w:right="280"/>
              <w:spacing w:after="0" w:line="159" w:lineRule="exact"/>
              <w:rPr>
                <w:sz w:val="20"/>
                <w:szCs w:val="20"/>
                <w:color w:val="auto"/>
              </w:rPr>
            </w:pPr>
            <w:r>
              <w:rPr>
                <w:rFonts w:ascii="Arial" w:cs="Arial" w:eastAsia="Arial" w:hAnsi="Arial"/>
                <w:sz w:val="15"/>
                <w:szCs w:val="15"/>
                <w:color w:val="auto"/>
              </w:rPr>
              <w:t>(3,310)</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(2,683)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(1,404)</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Interest income</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3,446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1,590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3,461</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1,607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749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Interest income on note receivable from Preferred Operating Partnership unit holder</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Pr>
          <w:p>
            <w:pPr>
              <w:spacing w:after="0"/>
              <w:rPr>
                <w:sz w:val="14"/>
                <w:szCs w:val="14"/>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4,850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4,850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4,850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Equity in earnings of unconsolidated real estate ventures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4"/>
                <w:szCs w:val="14"/>
                <w:color w:val="auto"/>
              </w:rPr>
            </w:pPr>
          </w:p>
        </w:tc>
        <w:tc>
          <w:tcPr>
            <w:tcW w:w="1020" w:type="dxa"/>
            <w:vAlign w:val="bottom"/>
            <w:gridSpan w:val="2"/>
          </w:tcPr>
          <w:p>
            <w:pPr>
              <w:jc w:val="right"/>
              <w:ind w:right="320"/>
              <w:spacing w:after="0" w:line="159" w:lineRule="exact"/>
              <w:rPr>
                <w:sz w:val="20"/>
                <w:szCs w:val="20"/>
                <w:color w:val="auto"/>
              </w:rPr>
            </w:pPr>
            <w:r>
              <w:rPr>
                <w:rFonts w:ascii="Arial" w:cs="Arial" w:eastAsia="Arial" w:hAnsi="Arial"/>
                <w:sz w:val="15"/>
                <w:szCs w:val="15"/>
                <w:color w:val="auto"/>
              </w:rPr>
              <w:t>12,351</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10,541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11,653</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w w:val="99"/>
              </w:rPr>
              <w:t>Equity in earnings of unconsolidated real estate ventures—gain on sale of real estate assets and purchase of partners’ interests</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4"/>
                <w:szCs w:val="14"/>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2,857</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4,022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46,032</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Income tax (expense) benefit</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9" w:lineRule="exact"/>
              <w:rPr>
                <w:sz w:val="20"/>
                <w:szCs w:val="20"/>
                <w:color w:val="auto"/>
              </w:rPr>
            </w:pPr>
            <w:r>
              <w:rPr>
                <w:rFonts w:ascii="Arial" w:cs="Arial" w:eastAsia="Arial" w:hAnsi="Arial"/>
                <w:sz w:val="15"/>
                <w:szCs w:val="15"/>
                <w:color w:val="auto"/>
              </w:rPr>
              <w:t>(1,729)</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5"/>
                <w:szCs w:val="15"/>
                <w:color w:val="auto"/>
              </w:rPr>
              <w:t>(1,157)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(9,780)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(8,662)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(13,409)</w:t>
            </w:r>
          </w:p>
        </w:tc>
        <w:tc>
          <w:tcPr>
            <w:tcW w:w="0" w:type="dxa"/>
            <w:vAlign w:val="bottom"/>
          </w:tcPr>
          <w:p>
            <w:pPr>
              <w:spacing w:after="0"/>
              <w:rPr>
                <w:sz w:val="1"/>
                <w:szCs w:val="1"/>
                <w:color w:val="auto"/>
              </w:rPr>
            </w:pPr>
          </w:p>
        </w:tc>
      </w:tr>
      <w:tr>
        <w:trPr>
          <w:trHeight w:val="165"/>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361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2,249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3,574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(11,148)</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(7,570)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(9,984)</w:t>
            </w:r>
          </w:p>
        </w:tc>
        <w:tc>
          <w:tcPr>
            <w:tcW w:w="0" w:type="dxa"/>
            <w:vAlign w:val="bottom"/>
          </w:tcPr>
          <w:p>
            <w:pPr>
              <w:spacing w:after="0"/>
              <w:rPr>
                <w:sz w:val="1"/>
                <w:szCs w:val="1"/>
                <w:color w:val="auto"/>
              </w:rPr>
            </w:pPr>
          </w:p>
        </w:tc>
      </w:tr>
      <w:tr>
        <w:trPr>
          <w:trHeight w:val="165"/>
        </w:trPr>
        <w:tc>
          <w:tcPr>
            <w:tcW w:w="8440" w:type="dxa"/>
            <w:vAlign w:val="bottom"/>
          </w:tcPr>
          <w:p>
            <w:pPr>
              <w:spacing w:after="0" w:line="165" w:lineRule="exact"/>
              <w:rPr>
                <w:sz w:val="20"/>
                <w:szCs w:val="20"/>
                <w:color w:val="auto"/>
              </w:rPr>
            </w:pPr>
            <w:r>
              <w:rPr>
                <w:rFonts w:ascii="Arial" w:cs="Arial" w:eastAsia="Arial" w:hAnsi="Arial"/>
                <w:sz w:val="15"/>
                <w:szCs w:val="15"/>
                <w:color w:val="auto"/>
              </w:rPr>
              <w:t>Net income (loss)</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267,526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213,617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205,287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Tenant reinsurance</w:t>
            </w:r>
          </w:p>
        </w:tc>
        <w:tc>
          <w:tcPr>
            <w:tcW w:w="120" w:type="dxa"/>
            <w:vAlign w:val="bottom"/>
          </w:tcPr>
          <w:p>
            <w:pPr>
              <w:spacing w:after="0"/>
              <w:rPr>
                <w:sz w:val="13"/>
                <w:szCs w:val="13"/>
                <w:color w:val="auto"/>
              </w:rPr>
            </w:pPr>
          </w:p>
        </w:tc>
        <w:tc>
          <w:tcPr>
            <w:tcW w:w="1020" w:type="dxa"/>
            <w:vAlign w:val="bottom"/>
            <w:gridSpan w:val="2"/>
          </w:tcPr>
          <w:p>
            <w:pPr>
              <w:jc w:val="right"/>
              <w:ind w:right="320"/>
              <w:spacing w:after="0" w:line="159" w:lineRule="exact"/>
              <w:rPr>
                <w:sz w:val="20"/>
                <w:szCs w:val="20"/>
                <w:color w:val="auto"/>
              </w:rPr>
            </w:pPr>
            <w:r>
              <w:rPr>
                <w:rFonts w:ascii="Arial" w:cs="Arial" w:eastAsia="Arial" w:hAnsi="Arial"/>
                <w:sz w:val="15"/>
                <w:szCs w:val="15"/>
                <w:color w:val="auto"/>
              </w:rPr>
              <w:t>49,173</w:t>
            </w:r>
          </w:p>
        </w:tc>
        <w:tc>
          <w:tcPr>
            <w:tcW w:w="1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40,000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24,903</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(107,163)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(57,721)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(44,634)</w:t>
            </w:r>
          </w:p>
        </w:tc>
        <w:tc>
          <w:tcPr>
            <w:tcW w:w="0" w:type="dxa"/>
            <w:vAlign w:val="bottom"/>
          </w:tcPr>
          <w:p>
            <w:pPr>
              <w:spacing w:after="0"/>
              <w:rPr>
                <w:sz w:val="1"/>
                <w:szCs w:val="1"/>
                <w:color w:val="auto"/>
              </w:rPr>
            </w:pPr>
          </w:p>
        </w:tc>
      </w:tr>
      <w:tr>
        <w:trPr>
          <w:trHeight w:val="165"/>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209,536</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195,896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185,556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4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Depreciation and amortization expense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ind w:left="300"/>
              <w:spacing w:after="0" w:line="159" w:lineRule="exact"/>
              <w:rPr>
                <w:sz w:val="20"/>
                <w:szCs w:val="20"/>
                <w:color w:val="auto"/>
              </w:rPr>
            </w:pPr>
            <w:r>
              <w:rPr>
                <w:rFonts w:ascii="Arial" w:cs="Arial" w:eastAsia="Arial" w:hAnsi="Arial"/>
                <w:sz w:val="15"/>
                <w:szCs w:val="15"/>
                <w:color w:val="auto"/>
              </w:rPr>
              <w:t>Rental operations</w:t>
            </w:r>
          </w:p>
        </w:tc>
        <w:tc>
          <w:tcPr>
            <w:tcW w:w="120" w:type="dxa"/>
            <w:vAlign w:val="bottom"/>
          </w:tcPr>
          <w:p>
            <w:pPr>
              <w:jc w:val="right"/>
              <w:spacing w:after="0" w:line="15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59" w:lineRule="exact"/>
              <w:rPr>
                <w:sz w:val="20"/>
                <w:szCs w:val="20"/>
                <w:color w:val="auto"/>
              </w:rPr>
            </w:pPr>
            <w:r>
              <w:rPr>
                <w:rFonts w:ascii="Arial" w:cs="Arial" w:eastAsia="Arial" w:hAnsi="Arial"/>
                <w:sz w:val="15"/>
                <w:szCs w:val="15"/>
                <w:color w:val="auto"/>
              </w:rPr>
              <w:t>124,415</w:t>
            </w:r>
          </w:p>
        </w:tc>
        <w:tc>
          <w:tcPr>
            <w:tcW w:w="32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5"/>
                <w:szCs w:val="15"/>
                <w:color w:val="auto"/>
              </w:rPr>
              <w:t>107,081</w:t>
            </w:r>
          </w:p>
        </w:tc>
        <w:tc>
          <w:tcPr>
            <w:tcW w:w="26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89,217</w:t>
            </w: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9,042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5"/>
                <w:szCs w:val="15"/>
                <w:color w:val="auto"/>
              </w:rPr>
              <w:t>7,995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6,015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133,457</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115,076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95,232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40" w:type="dxa"/>
            <w:vAlign w:val="bottom"/>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Statement of Cash Flows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tcPr>
          <w:p>
            <w:pPr>
              <w:spacing w:after="0" w:line="159" w:lineRule="exact"/>
              <w:rPr>
                <w:sz w:val="20"/>
                <w:szCs w:val="20"/>
                <w:color w:val="auto"/>
              </w:rPr>
            </w:pPr>
            <w:r>
              <w:rPr>
                <w:rFonts w:ascii="Arial" w:cs="Arial" w:eastAsia="Arial" w:hAnsi="Arial"/>
                <w:sz w:val="15"/>
                <w:szCs w:val="15"/>
                <w:color w:val="auto"/>
              </w:rPr>
              <w:t>Acquisition of real estate assets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w w:val="93"/>
              </w:rPr>
              <w:t>(1,550,750)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w w:val="93"/>
              </w:rPr>
              <w:t>(503,538)</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w w:val="96"/>
              </w:rPr>
              <w:t>(349,959)</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5"/>
                <w:szCs w:val="15"/>
                <w:color w:val="auto"/>
              </w:rPr>
              <w:t>Development and redevelopment of real estate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4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Property management, acquisition and development</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5"/>
                <w:szCs w:val="15"/>
                <w:color w:val="auto"/>
              </w:rPr>
              <w:t>(26,931)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5"/>
                <w:szCs w:val="15"/>
                <w:color w:val="auto"/>
              </w:rPr>
              <w:t>(23,528)</w:t>
            </w: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5"/>
                <w:szCs w:val="15"/>
                <w:color w:val="auto"/>
              </w:rPr>
              <w:t>(6,466)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2"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6" w:lineRule="exact"/>
        <w:rPr>
          <w:sz w:val="20"/>
          <w:szCs w:val="20"/>
          <w:color w:val="auto"/>
        </w:rPr>
      </w:pPr>
    </w:p>
    <w:p>
      <w:pPr>
        <w:ind w:right="240" w:firstLine="457"/>
        <w:spacing w:after="0" w:line="263" w:lineRule="auto"/>
        <w:rPr>
          <w:sz w:val="20"/>
          <w:szCs w:val="20"/>
          <w:color w:val="auto"/>
        </w:rPr>
      </w:pPr>
      <w:r>
        <w:rPr>
          <w:rFonts w:ascii="Arial" w:cs="Arial" w:eastAsia="Arial" w:hAnsi="Arial"/>
          <w:sz w:val="18"/>
          <w:szCs w:val="18"/>
          <w:color w:val="auto"/>
        </w:rPr>
        <w:t>The Company has operating leases on its corporate offices and owns 19 stores that are subject to leases. At December 31, 2015, future minimum rental payments under these non-cancelable operating leases were as follows (unaudited):</w:t>
      </w:r>
    </w:p>
    <w:p>
      <w:pPr>
        <w:spacing w:after="0" w:line="219"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8"/>
                <w:szCs w:val="18"/>
                <w:color w:val="auto"/>
              </w:rPr>
            </w:pPr>
          </w:p>
        </w:tc>
      </w:tr>
      <w:tr>
        <w:trPr>
          <w:trHeight w:val="211"/>
        </w:trPr>
        <w:tc>
          <w:tcPr>
            <w:tcW w:w="4120" w:type="dxa"/>
            <w:vAlign w:val="bottom"/>
          </w:tcPr>
          <w:p>
            <w:pPr>
              <w:spacing w:after="0"/>
              <w:rPr>
                <w:sz w:val="20"/>
                <w:szCs w:val="20"/>
                <w:color w:val="auto"/>
              </w:rPr>
            </w:pPr>
            <w:r>
              <w:rPr>
                <w:rFonts w:ascii="Arial" w:cs="Arial" w:eastAsia="Arial" w:hAnsi="Arial"/>
                <w:sz w:val="18"/>
                <w:szCs w:val="18"/>
                <w:color w:val="auto"/>
              </w:rPr>
              <w:t>Year 2</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8"/>
                <w:szCs w:val="18"/>
                <w:color w:val="auto"/>
              </w:rPr>
            </w:pPr>
          </w:p>
        </w:tc>
      </w:t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8"/>
                <w:szCs w:val="18"/>
                <w:color w:val="auto"/>
              </w:rPr>
            </w:pPr>
          </w:p>
        </w:tc>
      </w:tr>
      <w:tr>
        <w:trPr>
          <w:trHeight w:val="211"/>
        </w:trPr>
        <w:tc>
          <w:tcPr>
            <w:tcW w:w="4120" w:type="dxa"/>
            <w:vAlign w:val="bottom"/>
          </w:tcPr>
          <w:p>
            <w:pPr>
              <w:spacing w:after="0"/>
              <w:rPr>
                <w:sz w:val="20"/>
                <w:szCs w:val="20"/>
                <w:color w:val="auto"/>
              </w:rPr>
            </w:pPr>
            <w:r>
              <w:rPr>
                <w:rFonts w:ascii="Arial" w:cs="Arial" w:eastAsia="Arial" w:hAnsi="Arial"/>
                <w:sz w:val="18"/>
                <w:szCs w:val="18"/>
                <w:color w:val="auto"/>
              </w:rPr>
              <w:t>Year 4</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8"/>
                <w:szCs w:val="18"/>
                <w:color w:val="auto"/>
              </w:rPr>
            </w:pPr>
          </w:p>
        </w:tc>
      </w:t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8"/>
                <w:szCs w:val="18"/>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60,797</w:t>
            </w:r>
          </w:p>
        </w:tc>
        <w:tc>
          <w:tcPr>
            <w:tcW w:w="100" w:type="dxa"/>
            <w:vAlign w:val="bottom"/>
          </w:tcPr>
          <w:p>
            <w:pPr>
              <w:spacing w:after="0"/>
              <w:rPr>
                <w:sz w:val="18"/>
                <w:szCs w:val="18"/>
                <w:color w:val="auto"/>
              </w:rPr>
            </w:pPr>
          </w:p>
        </w:tc>
      </w:tr>
      <w:tr>
        <w:trPr>
          <w:trHeight w:val="211"/>
        </w:trPr>
        <w:tc>
          <w:tcPr>
            <w:tcW w:w="41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79,926</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280" w:firstLine="457"/>
        <w:spacing w:after="0" w:line="363" w:lineRule="auto"/>
        <w:rPr>
          <w:sz w:val="20"/>
          <w:szCs w:val="20"/>
          <w:color w:val="auto"/>
        </w:rPr>
      </w:pPr>
      <w:r>
        <w:rPr>
          <w:rFonts w:ascii="Arial" w:cs="Arial" w:eastAsia="Arial" w:hAnsi="Arial"/>
          <w:sz w:val="15"/>
          <w:szCs w:val="15"/>
          <w:color w:val="auto"/>
        </w:rPr>
        <w:t>The monthly rental amounts for two of the ground leases include contingent rental payments based on the level of revenue achieved at the stores. The Company recorded expense of $3,858, $3,406 and $3,032 related to these ground leases in the years ended December 31, 2015, 2014 and 2013, respectively.</w:t>
      </w:r>
    </w:p>
    <w:p>
      <w:pPr>
        <w:spacing w:after="0" w:line="112"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Therefore, any estimate(s) of loss disclosed below represents what management believes to be an estimate of loss only for certain matters meeting these criteria and does not represent our maximum loss exposure.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59" w:lineRule="exact"/>
        <w:rPr>
          <w:sz w:val="20"/>
          <w:szCs w:val="20"/>
          <w:color w:val="auto"/>
        </w:rPr>
      </w:pPr>
    </w:p>
    <w:p>
      <w:pPr>
        <w:jc w:val="both"/>
        <w:ind w:firstLine="457"/>
        <w:spacing w:after="0" w:line="300" w:lineRule="auto"/>
        <w:rPr>
          <w:sz w:val="20"/>
          <w:szCs w:val="20"/>
          <w:color w:val="auto"/>
        </w:rPr>
      </w:pPr>
      <w:r>
        <w:rPr>
          <w:rFonts w:ascii="Arial" w:cs="Arial" w:eastAsia="Arial" w:hAnsi="Arial"/>
          <w:sz w:val="16"/>
          <w:szCs w:val="16"/>
          <w:color w:val="auto"/>
        </w:rPr>
        <w:t>The Company currently has several legal proceedings pending against it that include causes of action alleging wrongful foreclosure, violations of various state specific self-storage statutes, and violations of various consumer fraud acts. As a result of these litigation matters, the Company recorded a liability of $850 during the year ended December 31, 2014, which is included in other liabilities on the consolidated balance sheets.</w:t>
      </w:r>
    </w:p>
    <w:p>
      <w:pPr>
        <w:spacing w:after="0" w:line="155" w:lineRule="exact"/>
        <w:rPr>
          <w:sz w:val="20"/>
          <w:szCs w:val="20"/>
          <w:color w:val="auto"/>
        </w:rPr>
      </w:pPr>
    </w:p>
    <w:p>
      <w:pPr>
        <w:ind w:right="80" w:firstLine="457"/>
        <w:spacing w:after="0" w:line="292" w:lineRule="auto"/>
        <w:rPr>
          <w:sz w:val="20"/>
          <w:szCs w:val="20"/>
          <w:color w:val="auto"/>
        </w:rPr>
      </w:pPr>
      <w:r>
        <w:rPr>
          <w:rFonts w:ascii="Arial" w:cs="Arial" w:eastAsia="Arial" w:hAnsi="Arial"/>
          <w:sz w:val="16"/>
          <w:szCs w:val="16"/>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2"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QUARTERLY FINANCIAL DATA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5"/>
              </w:rPr>
              <w:t>For the Three Months Ended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gridSpan w:val="3"/>
          </w:tcPr>
          <w:p>
            <w:pPr>
              <w:jc w:val="center"/>
              <w:ind w:right="440"/>
              <w:spacing w:after="0" w:line="116"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8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280" w:type="dxa"/>
            <w:vAlign w:val="bottom"/>
            <w:gridSpan w:val="3"/>
          </w:tcPr>
          <w:p>
            <w:pPr>
              <w:jc w:val="right"/>
              <w:ind w:right="440"/>
              <w:spacing w:after="0" w:line="116" w:lineRule="exact"/>
              <w:rPr>
                <w:sz w:val="20"/>
                <w:szCs w:val="20"/>
                <w:color w:val="auto"/>
              </w:rPr>
            </w:pPr>
            <w:r>
              <w:rPr>
                <w:rFonts w:ascii="Arial" w:cs="Arial" w:eastAsia="Arial" w:hAnsi="Arial"/>
                <w:sz w:val="13"/>
                <w:szCs w:val="13"/>
                <w:b w:val="1"/>
                <w:bCs w:val="1"/>
                <w:color w:val="auto"/>
                <w:w w:val="92"/>
              </w:rPr>
              <w:t>September 30,</w:t>
            </w:r>
          </w:p>
        </w:tc>
        <w:tc>
          <w:tcPr>
            <w:tcW w:w="82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2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$173,154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w w:val="82"/>
              </w:rPr>
              <w:t>185,860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line="204" w:lineRule="exact"/>
              <w:rPr>
                <w:sz w:val="20"/>
                <w:szCs w:val="20"/>
                <w:color w:val="auto"/>
              </w:rPr>
            </w:pPr>
            <w:r>
              <w:rPr>
                <w:rFonts w:ascii="Arial" w:cs="Arial" w:eastAsia="Arial" w:hAnsi="Arial"/>
                <w:sz w:val="18"/>
                <w:szCs w:val="18"/>
                <w:color w:val="auto"/>
                <w:w w:val="82"/>
              </w:rPr>
              <w:t>197,497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8"/>
              </w:rPr>
              <w:t>225,759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Cost of operations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97,718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104,253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100,193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185,450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cost of operations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75,436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81,607</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97,304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40,309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9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line="204" w:lineRule="exact"/>
              <w:rPr>
                <w:sz w:val="20"/>
                <w:szCs w:val="20"/>
                <w:color w:val="auto"/>
              </w:rPr>
            </w:pPr>
            <w:r>
              <w:rPr>
                <w:rFonts w:ascii="Arial" w:cs="Arial" w:eastAsia="Arial" w:hAnsi="Arial"/>
                <w:sz w:val="18"/>
                <w:szCs w:val="18"/>
                <w:color w:val="auto"/>
                <w:w w:val="94"/>
              </w:rPr>
              <w:t>58,636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60,956</w:t>
            </w:r>
          </w:p>
        </w:tc>
        <w:tc>
          <w:tcPr>
            <w:tcW w:w="400" w:type="dxa"/>
            <w:vAlign w:val="bottom"/>
            <w:gridSpan w:val="2"/>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78,200</w:t>
            </w: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4" w:lineRule="exact"/>
              <w:rPr>
                <w:sz w:val="20"/>
                <w:szCs w:val="20"/>
                <w:color w:val="auto"/>
              </w:rPr>
            </w:pPr>
            <w:r>
              <w:rPr>
                <w:rFonts w:ascii="Arial" w:cs="Arial" w:eastAsia="Arial" w:hAnsi="Arial"/>
                <w:sz w:val="18"/>
                <w:szCs w:val="18"/>
                <w:color w:val="auto"/>
              </w:rPr>
              <w:t>11,744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attributable to common stockholders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4"/>
              </w:rPr>
              <w:t>53,742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55,339</w:t>
            </w:r>
          </w:p>
        </w:tc>
        <w:tc>
          <w:tcPr>
            <w:tcW w:w="400" w:type="dxa"/>
            <w:vAlign w:val="bottom"/>
            <w:gridSpan w:val="2"/>
            <w:shd w:val="clear" w:color="auto" w:fill="CCEEFF"/>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4" w:lineRule="exact"/>
              <w:rPr>
                <w:sz w:val="20"/>
                <w:szCs w:val="20"/>
                <w:color w:val="auto"/>
              </w:rPr>
            </w:pPr>
            <w:r>
              <w:rPr>
                <w:rFonts w:ascii="Arial" w:cs="Arial" w:eastAsia="Arial" w:hAnsi="Arial"/>
                <w:sz w:val="18"/>
                <w:szCs w:val="18"/>
                <w:color w:val="auto"/>
              </w:rPr>
              <w:t>71,718</w:t>
            </w: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8,675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Earnings per common share—basic</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9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line="204" w:lineRule="exact"/>
              <w:rPr>
                <w:sz w:val="20"/>
                <w:szCs w:val="20"/>
                <w:color w:val="auto"/>
              </w:rPr>
            </w:pPr>
            <w:r>
              <w:rPr>
                <w:rFonts w:ascii="Arial" w:cs="Arial" w:eastAsia="Arial" w:hAnsi="Arial"/>
                <w:sz w:val="18"/>
                <w:szCs w:val="18"/>
                <w:color w:val="auto"/>
              </w:rPr>
              <w:t>0.46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0.58</w:t>
            </w: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56"/>
        </w:trPr>
        <w:tc>
          <w:tcPr>
            <w:tcW w:w="5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5"/>
              </w:rPr>
              <w:t>For the Three Months Ended</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gridSpan w:val="3"/>
          </w:tcPr>
          <w:p>
            <w:pPr>
              <w:jc w:val="center"/>
              <w:ind w:right="440"/>
              <w:spacing w:after="0" w:line="116"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8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280" w:type="dxa"/>
            <w:vAlign w:val="bottom"/>
            <w:gridSpan w:val="3"/>
          </w:tcPr>
          <w:p>
            <w:pPr>
              <w:jc w:val="right"/>
              <w:ind w:right="440"/>
              <w:spacing w:after="0" w:line="116" w:lineRule="exact"/>
              <w:rPr>
                <w:sz w:val="20"/>
                <w:szCs w:val="20"/>
                <w:color w:val="auto"/>
              </w:rPr>
            </w:pPr>
            <w:r>
              <w:rPr>
                <w:rFonts w:ascii="Arial" w:cs="Arial" w:eastAsia="Arial" w:hAnsi="Arial"/>
                <w:sz w:val="13"/>
                <w:szCs w:val="13"/>
                <w:b w:val="1"/>
                <w:bCs w:val="1"/>
                <w:color w:val="auto"/>
                <w:w w:val="92"/>
              </w:rPr>
              <w:t>September 30,</w:t>
            </w:r>
          </w:p>
        </w:tc>
        <w:tc>
          <w:tcPr>
            <w:tcW w:w="82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2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8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$152,587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w w:val="82"/>
              </w:rPr>
              <w:t>160,724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line="204" w:lineRule="exact"/>
              <w:rPr>
                <w:sz w:val="20"/>
                <w:szCs w:val="20"/>
                <w:color w:val="auto"/>
              </w:rPr>
            </w:pPr>
            <w:r>
              <w:rPr>
                <w:rFonts w:ascii="Arial" w:cs="Arial" w:eastAsia="Arial" w:hAnsi="Arial"/>
                <w:sz w:val="18"/>
                <w:szCs w:val="18"/>
                <w:color w:val="auto"/>
                <w:w w:val="82"/>
              </w:rPr>
              <w:t>169,067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8"/>
              </w:rPr>
              <w:t>164,777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Cost of operations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92,189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90,063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91,574</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94,861</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cost of operations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60,398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70,661</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69,916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9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line="204" w:lineRule="exact"/>
              <w:rPr>
                <w:sz w:val="20"/>
                <w:szCs w:val="20"/>
                <w:color w:val="auto"/>
              </w:rPr>
            </w:pPr>
            <w:r>
              <w:rPr>
                <w:rFonts w:ascii="Arial" w:cs="Arial" w:eastAsia="Arial" w:hAnsi="Arial"/>
                <w:sz w:val="18"/>
                <w:szCs w:val="18"/>
                <w:color w:val="auto"/>
                <w:w w:val="94"/>
              </w:rPr>
              <w:t>41,209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46,008</w:t>
            </w:r>
          </w:p>
        </w:tc>
        <w:tc>
          <w:tcPr>
            <w:tcW w:w="400" w:type="dxa"/>
            <w:vAlign w:val="bottom"/>
            <w:gridSpan w:val="2"/>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59,193</w:t>
            </w: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49,486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attributable to common stockholders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4"/>
              </w:rPr>
              <w:t>37,340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41,665</w:t>
            </w:r>
          </w:p>
        </w:tc>
        <w:tc>
          <w:tcPr>
            <w:tcW w:w="400" w:type="dxa"/>
            <w:vAlign w:val="bottom"/>
            <w:gridSpan w:val="2"/>
            <w:shd w:val="clear" w:color="auto" w:fill="CCEEFF"/>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4" w:lineRule="exact"/>
              <w:rPr>
                <w:sz w:val="20"/>
                <w:szCs w:val="20"/>
                <w:color w:val="auto"/>
              </w:rPr>
            </w:pPr>
            <w:r>
              <w:rPr>
                <w:rFonts w:ascii="Arial" w:cs="Arial" w:eastAsia="Arial" w:hAnsi="Arial"/>
                <w:sz w:val="18"/>
                <w:szCs w:val="18"/>
                <w:color w:val="auto"/>
              </w:rPr>
              <w:t>54,228</w:t>
            </w:r>
          </w:p>
        </w:tc>
        <w:tc>
          <w:tcPr>
            <w:tcW w:w="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45,122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Earnings per common share—basic</w:t>
            </w: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9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line="204" w:lineRule="exact"/>
              <w:rPr>
                <w:sz w:val="20"/>
                <w:szCs w:val="20"/>
                <w:color w:val="auto"/>
              </w:rPr>
            </w:pPr>
            <w:r>
              <w:rPr>
                <w:rFonts w:ascii="Arial" w:cs="Arial" w:eastAsia="Arial" w:hAnsi="Arial"/>
                <w:sz w:val="18"/>
                <w:szCs w:val="18"/>
                <w:color w:val="auto"/>
              </w:rPr>
              <w:t>0.32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0.36</w:t>
            </w:r>
          </w:p>
        </w:tc>
        <w:tc>
          <w:tcPr>
            <w:tcW w:w="400" w:type="dxa"/>
            <w:vAlign w:val="bottom"/>
            <w:gridSpan w:val="2"/>
          </w:tcPr>
          <w:p>
            <w:pPr>
              <w:jc w:val="right"/>
              <w:ind w:right="29"/>
              <w:spacing w:after="0" w:line="204"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0.47</w:t>
            </w:r>
          </w:p>
        </w:tc>
        <w:tc>
          <w:tcPr>
            <w:tcW w:w="16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460" w:hanging="454"/>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6"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color w:val="auto"/>
        </w:rPr>
        <w:t>Subsequent to year end the Company has purchased 16 stores for a total of $144,573. This includes the buyout of a joint venture partner’s interest in six stores at the value of the JV partner’s interest. These stores are located in Florida, Maryland, New Mexico, New York, Nevada, Tennessee and Texas.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Subsequent to year end, the Company sold 831,300 shares of common stock at an average sale price of $89.66 per share, resulting in net proceeds of $73,785.</w:t>
      </w:r>
    </w:p>
    <w:p>
      <w:pPr>
        <w:spacing w:after="0" w:line="23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Subsequent to year end, the Company repurchased $19,639 principal amount of the 2013 Notes and issued 130,909 shares of common stock for the value in excess of the principal amount.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2"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 and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4"/>
                <w:szCs w:val="14"/>
                <w:color w:val="auto"/>
                <w:w w:val="90"/>
              </w:rPr>
              <w:t>Gross carrying amount at December 31, 2015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Land</w:t>
            </w: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39" w:lineRule="exact"/>
              <w:rPr>
                <w:sz w:val="20"/>
                <w:szCs w:val="20"/>
                <w:color w:val="auto"/>
              </w:rPr>
            </w:pPr>
            <w:r>
              <w:rPr>
                <w:rFonts w:ascii="Arial" w:cs="Arial" w:eastAsia="Arial" w:hAnsi="Arial"/>
                <w:sz w:val="14"/>
                <w:szCs w:val="14"/>
                <w:color w:val="auto"/>
                <w:w w:val="93"/>
              </w:rPr>
              <w:t>improvements</w:t>
            </w:r>
          </w:p>
        </w:tc>
        <w:tc>
          <w:tcPr>
            <w:tcW w:w="1140" w:type="dxa"/>
            <w:vAlign w:val="bottom"/>
            <w:gridSpan w:val="3"/>
          </w:tcPr>
          <w:p>
            <w:pPr>
              <w:spacing w:after="0" w:line="139" w:lineRule="exact"/>
              <w:rPr>
                <w:sz w:val="20"/>
                <w:szCs w:val="20"/>
                <w:color w:val="auto"/>
              </w:rPr>
            </w:pPr>
            <w:r>
              <w:rPr>
                <w:rFonts w:ascii="Arial" w:cs="Arial" w:eastAsia="Arial" w:hAnsi="Arial"/>
                <w:sz w:val="14"/>
                <w:szCs w:val="14"/>
                <w:color w:val="auto"/>
              </w:rPr>
              <w:t>costs subsequent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3"/>
              </w:rPr>
              <w:t>Building and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39" w:lineRule="exact"/>
              <w:rPr>
                <w:sz w:val="20"/>
                <w:szCs w:val="20"/>
                <w:color w:val="auto"/>
              </w:rPr>
            </w:pPr>
            <w:r>
              <w:rPr>
                <w:rFonts w:ascii="Arial" w:cs="Arial" w:eastAsia="Arial" w:hAnsi="Arial"/>
                <w:sz w:val="14"/>
                <w:szCs w:val="14"/>
                <w:color w:val="auto"/>
                <w:w w:val="9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060" w:type="dxa"/>
            <w:vAlign w:val="bottom"/>
            <w:gridSpan w:val="3"/>
          </w:tcPr>
          <w:p>
            <w:pPr>
              <w:ind w:left="100"/>
              <w:spacing w:after="0" w:line="125" w:lineRule="exact"/>
              <w:rPr>
                <w:sz w:val="20"/>
                <w:szCs w:val="20"/>
                <w:color w:val="auto"/>
              </w:rPr>
            </w:pPr>
            <w:r>
              <w:rPr>
                <w:rFonts w:ascii="Arial" w:cs="Arial" w:eastAsia="Arial" w:hAnsi="Arial"/>
                <w:sz w:val="14"/>
                <w:szCs w:val="14"/>
                <w:color w:val="auto"/>
              </w:rPr>
              <w:t>Store Name</w:t>
            </w:r>
          </w:p>
        </w:tc>
        <w:tc>
          <w:tcPr>
            <w:tcW w:w="38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79"/>
              </w:rPr>
              <w:t>State</w:t>
            </w: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25" w:lineRule="exact"/>
              <w:rPr>
                <w:sz w:val="20"/>
                <w:szCs w:val="20"/>
                <w:color w:val="auto"/>
              </w:rPr>
            </w:pPr>
            <w:r>
              <w:rPr>
                <w:rFonts w:ascii="Arial" w:cs="Arial" w:eastAsia="Arial" w:hAnsi="Arial"/>
                <w:sz w:val="14"/>
                <w:szCs w:val="14"/>
                <w:color w:val="auto"/>
              </w:rPr>
              <w:t>Debt</w:t>
            </w:r>
          </w:p>
        </w:tc>
        <w:tc>
          <w:tcPr>
            <w:tcW w:w="680" w:type="dxa"/>
            <w:vAlign w:val="bottom"/>
            <w:gridSpan w:val="3"/>
          </w:tcPr>
          <w:p>
            <w:pPr>
              <w:spacing w:after="0" w:line="125" w:lineRule="exact"/>
              <w:rPr>
                <w:sz w:val="20"/>
                <w:szCs w:val="20"/>
                <w:color w:val="auto"/>
              </w:rPr>
            </w:pPr>
            <w:r>
              <w:rPr>
                <w:rFonts w:ascii="Arial" w:cs="Arial" w:eastAsia="Arial" w:hAnsi="Arial"/>
                <w:sz w:val="14"/>
                <w:szCs w:val="14"/>
                <w:color w:val="auto"/>
              </w:rPr>
              <w:t>initial 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25" w:lineRule="exact"/>
              <w:rPr>
                <w:sz w:val="20"/>
                <w:szCs w:val="20"/>
                <w:color w:val="auto"/>
              </w:rPr>
            </w:pPr>
            <w:r>
              <w:rPr>
                <w:rFonts w:ascii="Arial" w:cs="Arial" w:eastAsia="Arial" w:hAnsi="Arial"/>
                <w:sz w:val="14"/>
                <w:szCs w:val="14"/>
                <w:color w:val="auto"/>
                <w:w w:val="94"/>
              </w:rPr>
              <w:t>initial cost</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25" w:lineRule="exact"/>
              <w:rPr>
                <w:sz w:val="20"/>
                <w:szCs w:val="20"/>
                <w:color w:val="auto"/>
              </w:rPr>
            </w:pPr>
            <w:r>
              <w:rPr>
                <w:rFonts w:ascii="Arial" w:cs="Arial" w:eastAsia="Arial" w:hAnsi="Arial"/>
                <w:sz w:val="14"/>
                <w:szCs w:val="14"/>
                <w:color w:val="auto"/>
                <w:w w:val="92"/>
              </w:rPr>
              <w:t>to acquisition</w:t>
            </w:r>
          </w:p>
        </w:tc>
        <w:tc>
          <w:tcPr>
            <w:tcW w:w="46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25" w:lineRule="exact"/>
              <w:rPr>
                <w:sz w:val="20"/>
                <w:szCs w:val="20"/>
                <w:color w:val="auto"/>
              </w:rPr>
            </w:pPr>
            <w:r>
              <w:rPr>
                <w:rFonts w:ascii="Arial" w:cs="Arial" w:eastAsia="Arial" w:hAnsi="Arial"/>
                <w:sz w:val="14"/>
                <w:szCs w:val="14"/>
                <w:color w:val="auto"/>
                <w:w w:val="90"/>
              </w:rPr>
              <w:t>improvements</w:t>
            </w:r>
          </w:p>
        </w:tc>
        <w:tc>
          <w:tcPr>
            <w:tcW w:w="140" w:type="dxa"/>
            <w:vAlign w:val="bottom"/>
          </w:tcPr>
          <w:p>
            <w:pPr>
              <w:spacing w:after="0"/>
              <w:rPr>
                <w:sz w:val="12"/>
                <w:szCs w:val="12"/>
                <w:color w:val="auto"/>
              </w:rPr>
            </w:pPr>
          </w:p>
        </w:tc>
        <w:tc>
          <w:tcPr>
            <w:tcW w:w="660" w:type="dxa"/>
            <w:vAlign w:val="bottom"/>
            <w:gridSpan w:val="2"/>
          </w:tcPr>
          <w:p>
            <w:pPr>
              <w:jc w:val="right"/>
              <w:ind w:right="300"/>
              <w:spacing w:after="0" w:line="12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820" w:type="dxa"/>
            <w:vAlign w:val="bottom"/>
            <w:gridSpan w:val="3"/>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08/23/2010</w:t>
            </w:r>
          </w:p>
        </w:tc>
        <w:tc>
          <w:tcPr>
            <w:tcW w:w="2060" w:type="dxa"/>
            <w:vAlign w:val="bottom"/>
            <w:gridSpan w:val="3"/>
            <w:shd w:val="clear" w:color="auto" w:fill="CCEEFF"/>
          </w:tcPr>
          <w:p>
            <w:pPr>
              <w:ind w:left="100"/>
              <w:spacing w:after="0" w:line="125" w:lineRule="exact"/>
              <w:rPr>
                <w:sz w:val="20"/>
                <w:szCs w:val="20"/>
                <w:color w:val="auto"/>
              </w:rPr>
            </w:pPr>
            <w:r>
              <w:rPr>
                <w:rFonts w:ascii="Arial" w:cs="Arial" w:eastAsia="Arial" w:hAnsi="Arial"/>
                <w:sz w:val="14"/>
                <w:szCs w:val="14"/>
                <w:color w:val="auto"/>
              </w:rPr>
              <w:t>Auburn / Dean Rd</w:t>
            </w:r>
          </w:p>
        </w:tc>
        <w:tc>
          <w:tcPr>
            <w:tcW w:w="280" w:type="dxa"/>
            <w:vAlign w:val="bottom"/>
            <w:shd w:val="clear" w:color="auto" w:fill="CCEEFF"/>
          </w:tcPr>
          <w:p>
            <w:pPr>
              <w:ind w:left="60"/>
              <w:spacing w:after="0" w:line="125" w:lineRule="exact"/>
              <w:rPr>
                <w:sz w:val="20"/>
                <w:szCs w:val="20"/>
                <w:color w:val="auto"/>
              </w:rPr>
            </w:pPr>
            <w:r>
              <w:rPr>
                <w:rFonts w:ascii="Arial" w:cs="Arial" w:eastAsia="Arial" w:hAnsi="Arial"/>
                <w:sz w:val="14"/>
                <w:szCs w:val="14"/>
                <w:color w:val="auto"/>
              </w:rPr>
              <w:t>AL</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4"/>
              </w:rPr>
              <w:t>$ 4,605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1,895</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325</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2,029</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08/23/2010</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Auburn / Opelika Rd</w:t>
            </w:r>
          </w:p>
        </w:tc>
        <w:tc>
          <w:tcPr>
            <w:tcW w:w="38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AL</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1,787</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color w:val="auto"/>
              </w:rPr>
              <w:t>315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Birmingham / Grace Baker Rd</w:t>
            </w:r>
          </w:p>
        </w:tc>
        <w:tc>
          <w:tcPr>
            <w:tcW w:w="38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color w:val="auto"/>
              </w:rPr>
              <w:t>AL</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9,369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9,517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10,307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03/20/2014</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Birmingham / Lorna Rd</w:t>
            </w:r>
          </w:p>
        </w:tc>
        <w:tc>
          <w:tcPr>
            <w:tcW w:w="38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AL</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7,382</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2,381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11,224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2,381</w:t>
            </w:r>
          </w:p>
        </w:tc>
        <w:tc>
          <w:tcPr>
            <w:tcW w:w="100" w:type="dxa"/>
            <w:vAlign w:val="bottom"/>
          </w:tcPr>
          <w:p>
            <w:pPr>
              <w:spacing w:after="0"/>
              <w:rPr>
                <w:sz w:val="12"/>
                <w:szCs w:val="12"/>
                <w:color w:val="auto"/>
              </w:rPr>
            </w:pPr>
          </w:p>
        </w:tc>
        <w:tc>
          <w:tcPr>
            <w:tcW w:w="980" w:type="dxa"/>
            <w:vAlign w:val="bottom"/>
          </w:tcPr>
          <w:p>
            <w:pPr>
              <w:jc w:val="right"/>
              <w:spacing w:after="0" w:line="145" w:lineRule="exact"/>
              <w:rPr>
                <w:sz w:val="20"/>
                <w:szCs w:val="20"/>
                <w:color w:val="auto"/>
              </w:rPr>
            </w:pPr>
            <w:r>
              <w:rPr>
                <w:rFonts w:ascii="Arial" w:cs="Arial" w:eastAsia="Arial" w:hAnsi="Arial"/>
                <w:sz w:val="14"/>
                <w:szCs w:val="14"/>
                <w:color w:val="auto"/>
              </w:rPr>
              <w:t>11,329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13,710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Daphne</w:t>
            </w:r>
          </w:p>
        </w:tc>
        <w:tc>
          <w:tcPr>
            <w:tcW w:w="38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4"/>
                <w:szCs w:val="14"/>
                <w:color w:val="auto"/>
              </w:rPr>
              <w:t>AL</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4,182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4,210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5,180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Hoover</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AL</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4,055</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1,313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2,858</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1,313</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3,559</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4,872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1,159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Montgomery / Carmichael Rd</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AL</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4,852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9,048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9,590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Montgomery / Monticello Dr</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AL</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1,280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4,056</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1,280</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4,087</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5,367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Chandler / W Chandler Blvd</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3,707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3,723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4,673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07/25/2013</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Chandler / W Elliot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4,169</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4,213</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547</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4,407</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4,954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Glendale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8,461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8,702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9,310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Mesa / E Guadalupe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1,350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6,290</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1,350</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6,395</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7,745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12/27/2012</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Mesa / E Southern Ave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5,435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2,973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5,545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2,973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5,888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8,861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08/18/2004</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Mesa / Madero Ave</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3,153</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2,547</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849</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2,769</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3,618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874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Mesa / N. Alma School Rd</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3,073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4,402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5,630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07/25/2013</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Mesa / Southern Ave</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4,113</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1,453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2,897</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1,453</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3,063</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4,516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207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04/01/2006</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Peoria / 75th Ave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4,105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4,267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4,919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1,099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01/31/2011</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Peoria / W Beardsley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1,060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4,731</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1,060</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4,765</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5,825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01/02/2007</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Phoenix / E Greenway Pkwy</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4,135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4,621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5,289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1,135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Phoenix / East Bell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1,441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7,982</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1,441</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8,681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10,122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2,590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Phoenix / Missouri Ave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1,702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Phoenix / N 32nd St</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6,897</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2,257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7,820</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2,257</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8,018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10,275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06/30/2006</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Phoenix / N Cave Creek Rd</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3,265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3,530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3,804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4,355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1,035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Phoenix / Washington</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2,995</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3,767</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3,825</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Tempe / S Priest Dr</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3,304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4,154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Tempe / W Broadway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2,566</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1,040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3,562</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1,040</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3,656</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4,696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Tucson</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AZ</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7,845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7,960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9,050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Alameda</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2,919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12,984</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2,123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2,919</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15,107</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18,026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4,103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Alhambra</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10,109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6,065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10,109</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6,416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16,525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04/25/2014</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Anaheim / Old Canal Rd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10,216</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2,765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12,680</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2,765</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12,838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15,603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572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Anaheim / S Adams St</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7,156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3,593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3,330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3,593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3,554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7,147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w w:val="99"/>
              </w:rPr>
              <w:t>Anaheim / S State College Blvd</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6,538</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2,519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2,886</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2,519</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3,101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5,620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07/01/2008</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Antelope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8,345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(267)</w:t>
            </w:r>
          </w:p>
        </w:tc>
        <w:tc>
          <w:tcPr>
            <w:tcW w:w="46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8,418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9,603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1,589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Bellflower</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1,230</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1,350</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639</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1,449</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2,088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05/15/2007</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Belmont</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7,280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7,361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10,861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1,602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Berkeley</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20,811</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1,716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19,602</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1,715</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21,601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23,316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5,142</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10/19/2011</w:t>
            </w:r>
          </w:p>
        </w:tc>
        <w:tc>
          <w:tcPr>
            <w:tcW w:w="206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Bloomington / Bloomington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Ave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CA</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1,937</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2,108</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4"/>
                <w:szCs w:val="14"/>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060" w:type="dxa"/>
            <w:vAlign w:val="bottom"/>
            <w:gridSpan w:val="3"/>
          </w:tcPr>
          <w:p>
            <w:pPr>
              <w:ind w:left="100"/>
              <w:spacing w:after="0" w:line="145" w:lineRule="exact"/>
              <w:rPr>
                <w:sz w:val="20"/>
                <w:szCs w:val="20"/>
                <w:color w:val="auto"/>
              </w:rPr>
            </w:pPr>
            <w:r>
              <w:rPr>
                <w:rFonts w:ascii="Arial" w:cs="Arial" w:eastAsia="Arial" w:hAnsi="Arial"/>
                <w:sz w:val="14"/>
                <w:szCs w:val="14"/>
                <w:color w:val="auto"/>
              </w:rPr>
              <w:t>Bloomington / Linden Ave</w:t>
            </w:r>
          </w:p>
        </w:tc>
        <w:tc>
          <w:tcPr>
            <w:tcW w:w="3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647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1,303</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647</w:t>
            </w:r>
          </w:p>
        </w:tc>
        <w:tc>
          <w:tcPr>
            <w:tcW w:w="100" w:type="dxa"/>
            <w:vAlign w:val="bottom"/>
          </w:tcPr>
          <w:p>
            <w:pPr>
              <w:spacing w:after="0"/>
              <w:rPr>
                <w:sz w:val="12"/>
                <w:szCs w:val="12"/>
                <w:color w:val="auto"/>
              </w:rPr>
            </w:pPr>
          </w:p>
        </w:tc>
        <w:tc>
          <w:tcPr>
            <w:tcW w:w="11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2,136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Burbank / Thornton Ave</w:t>
            </w:r>
          </w:p>
        </w:tc>
        <w:tc>
          <w:tcPr>
            <w:tcW w:w="3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4,061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5,318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4,061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5,607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9,668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08/10/2000</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Burbank / W Verdugo Ave</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CA</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13,003</w:t>
            </w: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3,199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5,082</w:t>
            </w:r>
          </w:p>
        </w:tc>
        <w:tc>
          <w:tcPr>
            <w:tcW w:w="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2,027</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3,619</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6,689</w:t>
            </w:r>
          </w:p>
        </w:tc>
        <w:tc>
          <w:tcPr>
            <w:tcW w:w="1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10,308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2,676</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2"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2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100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6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3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0"/>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04/08/2011</w:t>
            </w:r>
          </w:p>
        </w:tc>
        <w:tc>
          <w:tcPr>
            <w:tcW w:w="212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Burlingame</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5,213</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2,211</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5,829</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2,211</w:t>
            </w: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5,971</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8,182</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03/14/2011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Carson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9,709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9,811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1,215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Castro Valley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6,346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6,801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6,801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1,504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Cerritos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16,707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8,728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15,895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2,685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8,728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18,580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27,308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1,951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Chatsworth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9,922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7,599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9,922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8,007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17,929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1,317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Claremont / South Mills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2,949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1,472</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2,012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1,472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2,285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3,757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762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Claremont / W Arrow Hwy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3,415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1,434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1,646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3,021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Colma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23,788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22,002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2,340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3,947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24,342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28,289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6,005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09/01/2008</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Compton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4,572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1,426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7,582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1,426</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7,639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9,065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1,442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Concord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3,082</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2,822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3,082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3,071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6,153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09/21/2009</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El Cajon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1,100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6,380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1,100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6,488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7,588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1,050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El Sobrante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4,018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1,562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5,580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6,789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1,565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Elk Grove / Power Inn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5,657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894</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6,949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7,032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7,926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Elk Grove / Stockton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6,675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8,640</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8,697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9,337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458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05/01/2010</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Emeryville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3,024</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11,321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3,024</w:t>
            </w:r>
          </w:p>
        </w:tc>
        <w:tc>
          <w:tcPr>
            <w:tcW w:w="1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11,492</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14,516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1,669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Fair Oaks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4,209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644</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11,287</w:t>
            </w:r>
          </w:p>
        </w:tc>
        <w:tc>
          <w:tcPr>
            <w:tcW w:w="20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644</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11,350</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11,994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592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Fontana / Baseline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4,774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4,723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4,858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5,635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Fontana / Foothill Blvd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4,208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4,434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5,202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513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Fontana / Foothill Blvd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684</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3,951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4,192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4,876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09/15/2002</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Fontana / Valley Blvd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961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3,846</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1,000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4,263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5,263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1,514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10/15/2003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Fontana / Valley Blvd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5,524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1,246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3,356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1,300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3,817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5,117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1,240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Gardena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3,710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6,271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2,263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4,110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8,134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12,244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Gilroy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8,207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14,265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14,391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15,531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Glendale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6,084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6,337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6,337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1,984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Hawaiian Gardens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9,178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2,964</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12,478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2,964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12,687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15,651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1,196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Hawthorne / La Cienega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11,981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2,500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18,562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2,500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18,637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21,137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Hawthorne / Rosselle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3,743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1,532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3,871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1,532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4,138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5,670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1,339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06/26/2007</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Hayward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8,329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3,149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8,006</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3,148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3,148</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11,155</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14,303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3,020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Hemet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3,085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6,369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1,146</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6,719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7,865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1,937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Hesperia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156</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430</w:t>
            </w:r>
          </w:p>
        </w:tc>
        <w:tc>
          <w:tcPr>
            <w:tcW w:w="20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156</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604</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Hollywood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9,793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4,555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10,590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4,555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10,702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15,257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Inglewood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5,638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1,379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3,343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1,530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4,166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5,696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1,805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Irvine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4,919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3,821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3,999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3,821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4,141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7,962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05/28/2014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 Quinta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13,025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4,706</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12,604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4,706</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12,749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17,455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Ladera Ranch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6,440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24,500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24,515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30,955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Lake Elsinore / Central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3,134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4,219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4,448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5,035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513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Lake Elsinore / Collier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294</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2,105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2,209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2,503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Lake Forest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17,974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15,093</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18,895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15,093</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18,932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34,025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10/17/2009</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Lancaster / 23rd St W</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1,425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5,855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1,425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5,957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7,382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944</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07/28/2006</w:t>
            </w:r>
          </w:p>
        </w:tc>
        <w:tc>
          <w:tcPr>
            <w:tcW w:w="2120" w:type="dxa"/>
            <w:vAlign w:val="bottom"/>
            <w:gridSpan w:val="3"/>
          </w:tcPr>
          <w:p>
            <w:pPr>
              <w:ind w:left="120"/>
              <w:spacing w:after="0"/>
              <w:rPr>
                <w:sz w:val="20"/>
                <w:szCs w:val="20"/>
                <w:color w:val="auto"/>
              </w:rPr>
            </w:pPr>
            <w:r>
              <w:rPr>
                <w:rFonts w:ascii="Arial" w:cs="Arial" w:eastAsia="Arial" w:hAnsi="Arial"/>
                <w:sz w:val="14"/>
                <w:szCs w:val="14"/>
                <w:color w:val="auto"/>
              </w:rPr>
              <w:t>Lancaster / West Ave J-8</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5,543</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1,347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5,827</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303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1,348</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6,129</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7,477</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1,605</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2"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2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100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6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3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0"/>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Livermore</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0"/>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1,134</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4,615</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1,134</w:t>
            </w: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4,891</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6,025</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1,531</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Long Beach / E Artesia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2,659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1,772</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2,539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1,772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2,839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4,611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Long Beach / E Wardlow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13,179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6,340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17,050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17,073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23,413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Long Beach / W Wardlow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5,859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4,992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5,859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5,037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10,896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913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03/23/2000</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Los Angeles / Casitas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8,661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2,976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1,611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3,562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5,173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1,464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Los Angeles / Fountain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4,994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3,099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4,889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3,099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4,993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8,092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458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12/31/2007</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Los Angeles / La Cienega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9,887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3,991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9,774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3,992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9,889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13,881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2,049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09/01/2008</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Los Angeles / S Central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8,162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2,200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8,108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2,200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8,180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10,380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1,548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Los Angeles / S Western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287</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2,011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2,378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2,665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04/25/2014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Los Angeles / Slauson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8,605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2,401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8,909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11,310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07/17/2012</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Los Gatos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2,550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8,257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8,323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10,873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835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01/01/2004</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Manteca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3,574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2,543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2,739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3,587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882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Marina Del Rey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19,928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18,742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19,928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18,988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38,916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2,615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Menlo Park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9,562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7,675</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1,812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7,675</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2,068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9,743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06/01/2007</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Modesto / Crows Landing</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3,294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909</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3,043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3,339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4,248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Modesto / Sylvan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4,258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1,647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4,215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1,647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4,416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6,063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Moreno Valley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2,048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3,484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3,531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4,013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Morgan Hill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7,278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1,760</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11,772</w:t>
            </w:r>
          </w:p>
        </w:tc>
        <w:tc>
          <w:tcPr>
            <w:tcW w:w="20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1,760</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11,831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13,591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Highlands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799</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2,898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3,697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North Hollywood / Coldwater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20" w:type="dxa"/>
            <w:vAlign w:val="bottom"/>
            <w:gridSpan w:val="3"/>
          </w:tcPr>
          <w:p>
            <w:pPr>
              <w:ind w:left="120"/>
              <w:spacing w:after="0"/>
              <w:rPr>
                <w:sz w:val="20"/>
                <w:szCs w:val="20"/>
                <w:color w:val="auto"/>
              </w:rPr>
            </w:pPr>
            <w:r>
              <w:rPr>
                <w:rFonts w:ascii="Arial" w:cs="Arial" w:eastAsia="Arial" w:hAnsi="Arial"/>
                <w:sz w:val="14"/>
                <w:szCs w:val="14"/>
                <w:color w:val="auto"/>
              </w:rPr>
              <w:t>Canyon</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4,501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4,465</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373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4,501</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4,838</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9,339</w:t>
            </w:r>
          </w:p>
        </w:tc>
        <w:tc>
          <w:tcPr>
            <w:tcW w:w="740" w:type="dxa"/>
            <w:vAlign w:val="bottom"/>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05/01/2006</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Hollywood / Van Owen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6,659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3,125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9,257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3,125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9,501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12,626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2,361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Northridge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6,614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3,641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2,872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3,641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3,165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6,806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Oakland / 29th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10,149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6,359</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5,753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6,359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6,026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12,385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04/24/2000</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Oakland / Fallon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4,104</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3,777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1,138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4,915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4,915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2,053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Oakland / San Leandro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7,719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1,668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7,652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1,668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7,938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9,606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Oceanside / Oceanside Blvd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3,241</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11,361</w:t>
            </w:r>
          </w:p>
        </w:tc>
        <w:tc>
          <w:tcPr>
            <w:tcW w:w="20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3,241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12,251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15,492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3,583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12/09/2014</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Oceanside / Oceanside Blvd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6,050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4,508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4,599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4,648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9,156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Orange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12,124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4,847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12,341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4,847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12,653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17,500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1,048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Oxnard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8,571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5,421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6,761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5,421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7,092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12,513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08/01/2009</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Pacoima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2,166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3,050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7,597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3,050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7,698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10,748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1,262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01/01/2005</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Palmdale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4,602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1,225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5,379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2,233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1,225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7,612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8,837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2,151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Paramount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2,559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1,404</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2,549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1,404</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2,756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4,160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08/31/2000</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Pico Rivera / Beverly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1,150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3,450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3,684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4,834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1,373</w:t>
            </w: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03/04/2014</w:t>
            </w:r>
          </w:p>
        </w:tc>
        <w:tc>
          <w:tcPr>
            <w:tcW w:w="212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Pico Rivera / San Gabriel River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20" w:type="dxa"/>
            <w:vAlign w:val="bottom"/>
            <w:gridSpan w:val="3"/>
          </w:tcPr>
          <w:p>
            <w:pPr>
              <w:ind w:left="120"/>
              <w:spacing w:after="0"/>
              <w:rPr>
                <w:sz w:val="20"/>
                <w:szCs w:val="20"/>
                <w:color w:val="auto"/>
              </w:rPr>
            </w:pPr>
            <w:r>
              <w:rPr>
                <w:rFonts w:ascii="Arial" w:cs="Arial" w:eastAsia="Arial" w:hAnsi="Arial"/>
                <w:sz w:val="14"/>
                <w:szCs w:val="14"/>
                <w:color w:val="auto"/>
              </w:rPr>
              <w:t>Pkwy</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4,445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2,150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4,734</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2,150</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4,777</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6,927</w:t>
            </w:r>
          </w:p>
        </w:tc>
        <w:tc>
          <w:tcPr>
            <w:tcW w:w="74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Placentia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6,647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4,798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5,483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4,798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5,771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05/24/2007</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Pleasanton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7,267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4,283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4,732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5,940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1,265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Richmond / Lakeside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4,796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4,635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5,264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6,217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1,745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09/26/2013</w:t>
            </w:r>
          </w:p>
        </w:tc>
        <w:tc>
          <w:tcPr>
            <w:tcW w:w="21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Richmond / Meeker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3,139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7,437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3,139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7,662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10,801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469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08/18/2004</w:t>
            </w:r>
          </w:p>
        </w:tc>
        <w:tc>
          <w:tcPr>
            <w:tcW w:w="21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Riverside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4,801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4,042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4,596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5,671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1,502</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12/02/2013</w:t>
            </w:r>
          </w:p>
        </w:tc>
        <w:tc>
          <w:tcPr>
            <w:tcW w:w="2120" w:type="dxa"/>
            <w:vAlign w:val="bottom"/>
            <w:gridSpan w:val="3"/>
          </w:tcPr>
          <w:p>
            <w:pPr>
              <w:ind w:left="120"/>
              <w:spacing w:after="0"/>
              <w:rPr>
                <w:sz w:val="20"/>
                <w:szCs w:val="20"/>
                <w:color w:val="auto"/>
              </w:rPr>
            </w:pPr>
            <w:r>
              <w:rPr>
                <w:rFonts w:ascii="Arial" w:cs="Arial" w:eastAsia="Arial" w:hAnsi="Arial"/>
                <w:sz w:val="14"/>
                <w:szCs w:val="14"/>
                <w:color w:val="auto"/>
              </w:rPr>
              <w:t>Rocklin</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6,394</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1,745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8,005</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1,745</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8,063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9,808</w:t>
            </w:r>
          </w:p>
        </w:tc>
        <w:tc>
          <w:tcPr>
            <w:tcW w:w="74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2"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Adjustments and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9"/>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6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6"/>
              </w:rPr>
              <w:t>costs subsequent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04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6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jc w:val="right"/>
              <w:ind w:right="220"/>
              <w:spacing w:after="0" w:line="125" w:lineRule="exact"/>
              <w:rPr>
                <w:sz w:val="20"/>
                <w:szCs w:val="20"/>
                <w:color w:val="auto"/>
              </w:rPr>
            </w:pPr>
            <w:r>
              <w:rPr>
                <w:rFonts w:ascii="Arial" w:cs="Arial" w:eastAsia="Arial" w:hAnsi="Arial"/>
                <w:sz w:val="14"/>
                <w:szCs w:val="14"/>
                <w:color w:val="auto"/>
                <w:w w:val="81"/>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3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0"/>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11/04/2013</w:t>
            </w:r>
          </w:p>
        </w:tc>
        <w:tc>
          <w:tcPr>
            <w:tcW w:w="204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Rohnert Park</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6,389</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990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8,094</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990</w:t>
            </w: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8,257</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9,247</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Sacramento / Auburn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852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4,720</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5,470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6,322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1,611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03/31/2015</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Sacramento / B Street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7,611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1,025</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11,479</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429</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1,025</w:t>
            </w:r>
          </w:p>
        </w:tc>
        <w:tc>
          <w:tcPr>
            <w:tcW w:w="1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11,908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12,933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10/01/2010</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Sacramento / Franklin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2,988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1,738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5,522</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1,844</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5,534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7,378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12/31/2007</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Sacramento / Stockton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2,836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6,936</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462</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7,275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8,350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06/01/2006</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Bernardino / Sterling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5,135</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5,295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6,045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1,259</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06/01/2004</w:t>
            </w:r>
          </w:p>
        </w:tc>
        <w:tc>
          <w:tcPr>
            <w:tcW w:w="204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San Bernardino / W Club</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Center Dr</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3,061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138</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3,239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4,412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Diego / Cedar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13,188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5,919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6,729</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5,919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7,177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13,096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443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12/11/2015</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Diego / Del Sol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2,679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7,029</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2,679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7,034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9,713</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Dimas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5,318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1,867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6,354</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1,867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6,620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8,487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752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Francisco / Egbert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10,636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5,098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4,054</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261</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5,098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4,315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9,413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06/14/2007</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Francisco / Folsom</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18,102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8,457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9,928</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1,837</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8,457</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11,765</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20,222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3,124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Francisco / Otis Street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5,460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18,741</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5,460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18,842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24,302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07/26/2012</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Jose / Charter Park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4,652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2,428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2,323</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260</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2,428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2,583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5,011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09/01/2009</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Jose / N 10th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10,784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6,821</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287</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7,108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12,448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1,142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08/01/2007</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Leandro / Doolittle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15,102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4,601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9,777</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3,422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4,601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13,199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17,800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3,345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10/01/2010</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w w:val="98"/>
              </w:rPr>
              <w:t>San Leandro / Washington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3,343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6,630</w:t>
            </w:r>
          </w:p>
        </w:tc>
        <w:tc>
          <w:tcPr>
            <w:tcW w:w="11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w:t>
            </w:r>
          </w:p>
        </w:tc>
        <w:tc>
          <w:tcPr>
            <w:tcW w:w="5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(f)</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3,291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6,678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913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Lorenzo</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8,784</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8,892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8,892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Ramon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4,819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5,819</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272</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4,819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6,091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10,910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Santa Ana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4,139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2,382</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3,485</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2,615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6,100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07/30/2009</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Santa Clara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7,914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8,218</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8,252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13,002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1,343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Santa Cruz</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8,357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1,588</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11,160</w:t>
            </w: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1,588</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11,283</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12,871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1,010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10/04/2007</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Santa Fe Springs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6,334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3,617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7,022</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368</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3,617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7,390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11,007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1,712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Santa Maria / Farnel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2,908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1,556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2,740</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462</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1,556</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3,202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4,758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389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10/19/2011</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Santa Maria / Skyway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3,141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3,526</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109</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1,309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3,636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4,945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08/31/2004</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Sherman Oaks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16,279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4,051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12,152</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4,051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12,755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16,806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3,763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Stanton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6,895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5,022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2,267</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220</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5,022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2,487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7,509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05/19/2002</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Stockton / Jamestown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2,364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3,272</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3,515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4,164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1,273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12/02/2013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Stockton / Pacific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3,619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2,443</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82</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3,619</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2,525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6,144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04/25/2014</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Sunland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4,968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1,688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6,381</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1,688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6,452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8,140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Sunnyvale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10,732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5,004</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10,732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5,247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15,979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05/02/2008</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Sylmar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6,278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3,058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4,671</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277</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3,058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4,948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8,006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1,112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02/28/2013</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Thousand Oaks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10,883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8,834</w:t>
            </w:r>
          </w:p>
        </w:tc>
        <w:tc>
          <w:tcPr>
            <w:tcW w:w="11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(964)</w:t>
            </w:r>
          </w:p>
        </w:tc>
        <w:tc>
          <w:tcPr>
            <w:tcW w:w="5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(d)</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3,500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8,870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12,370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07/15/2003</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Tracy / E 11th St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5,260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2,638</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3,294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4,205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1,093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04/01/2004</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Tracy / E 11th St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1,937</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946</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2,240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3,186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Vallejo / Sonoma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2,847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1,177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2,157</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1,077</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1,177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3,234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1,065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Vallejo / Tennessee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8,596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13,870</w:t>
            </w:r>
          </w:p>
        </w:tc>
        <w:tc>
          <w:tcPr>
            <w:tcW w:w="11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13,993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16,633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04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Van Nuys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7,939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2,576</w:t>
            </w:r>
          </w:p>
        </w:tc>
        <w:tc>
          <w:tcPr>
            <w:tcW w:w="11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343</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7,939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2,919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10,858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08/31/2004</w:t>
            </w:r>
          </w:p>
        </w:tc>
        <w:tc>
          <w:tcPr>
            <w:tcW w:w="204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Venice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8,410</w:t>
            </w:r>
          </w:p>
        </w:tc>
        <w:tc>
          <w:tcPr>
            <w:tcW w:w="11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(3,057)</w:t>
            </w:r>
          </w:p>
        </w:tc>
        <w:tc>
          <w:tcPr>
            <w:tcW w:w="5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(b)</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5,353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8,156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1,443</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08/29/2013</w:t>
            </w:r>
          </w:p>
        </w:tc>
        <w:tc>
          <w:tcPr>
            <w:tcW w:w="2040" w:type="dxa"/>
            <w:vAlign w:val="bottom"/>
            <w:gridSpan w:val="3"/>
          </w:tcPr>
          <w:p>
            <w:pPr>
              <w:ind w:left="120"/>
              <w:spacing w:after="0"/>
              <w:rPr>
                <w:sz w:val="20"/>
                <w:szCs w:val="20"/>
                <w:color w:val="auto"/>
              </w:rPr>
            </w:pPr>
            <w:r>
              <w:rPr>
                <w:rFonts w:ascii="Arial" w:cs="Arial" w:eastAsia="Arial" w:hAnsi="Arial"/>
                <w:sz w:val="14"/>
                <w:szCs w:val="14"/>
                <w:color w:val="auto"/>
              </w:rPr>
              <w:t>Ventura</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CA</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3,453</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2,837</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223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3,453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3,060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6,513</w:t>
            </w:r>
          </w:p>
        </w:tc>
        <w:tc>
          <w:tcPr>
            <w:tcW w:w="74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2"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8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540" w:type="dxa"/>
            <w:vAlign w:val="bottom"/>
            <w:gridSpan w:val="2"/>
          </w:tcPr>
          <w:p>
            <w:pPr>
              <w:ind w:left="4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10/19/2011</w:t>
            </w:r>
          </w:p>
        </w:tc>
        <w:tc>
          <w:tcPr>
            <w:tcW w:w="228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Victorville</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151</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751</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161</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151</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912</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1,063</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Watsonville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1,699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3,056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1,699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3,355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5,054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998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09/01/2009</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West Sacramento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7,425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7,536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9,936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1,232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06/19/2002</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Whittier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3,257</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2,985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3,190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3,190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1,140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08/29/2013</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Wilmington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6,792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10,726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6,792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10,751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17,543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09/15/2000</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Arvada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1,753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1,521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2,510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1,097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05/25/2011</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Castle Rock / Industrial Way 1</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1,027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3,077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3,337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3,744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07/23/2015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Castle Rock / Industrial Way 2</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531</w:t>
            </w:r>
          </w:p>
        </w:tc>
        <w:tc>
          <w:tcPr>
            <w:tcW w:w="9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531</w:t>
            </w:r>
          </w:p>
        </w:tc>
        <w:tc>
          <w:tcPr>
            <w:tcW w:w="128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531</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06/10/2011</w:t>
            </w:r>
          </w:p>
        </w:tc>
        <w:tc>
          <w:tcPr>
            <w:tcW w:w="228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Colorado Springs / Austin Bluffs</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Pkwy</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1,667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4,199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4,469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80" w:type="dxa"/>
            <w:vAlign w:val="bottom"/>
            <w:shd w:val="clear" w:color="auto" w:fill="CCEEFF"/>
          </w:tcPr>
          <w:p>
            <w:pPr>
              <w:spacing w:after="0"/>
              <w:rPr>
                <w:sz w:val="14"/>
                <w:szCs w:val="14"/>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Colorado Springs / Dublin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3,698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3,400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3,681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901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11/25/2008</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Colorado Springs / S 8th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3,875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1,525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4,310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1,525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4,728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6,253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957</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10/24/2014</w:t>
            </w:r>
          </w:p>
        </w:tc>
        <w:tc>
          <w:tcPr>
            <w:tcW w:w="228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Colorado Springs / Stetson Hills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Blvd</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3,979</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2,077</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4,087</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264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2,077</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4,351</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6,428</w:t>
            </w:r>
          </w:p>
        </w:tc>
        <w:tc>
          <w:tcPr>
            <w:tcW w:w="74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09/15/2000</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Denver / E 40th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2,482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2,052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1,527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3,436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4,181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1,396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Denver / W 96th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3,537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1,574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1,861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616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Fort Carson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6,945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7,057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7,057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09/01/2006</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Parker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4,531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4,549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5,365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6,165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1,512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09/15/2000</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Thornton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2,718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2,044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1,151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3,159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3,407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1,414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09/15/2000</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Westminster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CO</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2,051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1,586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2,779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3,078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1,361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03/17/2014</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Bridgeport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14,028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14,160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15,232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Brookfield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5,010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7,891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991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8,017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9,008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740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01/15/2004</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Groton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5,112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1,277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3,992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1,276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4,437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5,713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1,550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12/31/2007</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Middletown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2,722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932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2,810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932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3,004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3,936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665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Newington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2,328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1,363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2,978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1,363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3,587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4,950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08/16/2002</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Wethersfield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CT</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6,667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4,205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4,433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5,142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1,576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11/19/2015</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Apopka / Park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5,228</w:t>
            </w:r>
          </w:p>
        </w:tc>
        <w:tc>
          <w:tcPr>
            <w:tcW w:w="1140" w:type="dxa"/>
            <w:vAlign w:val="bottom"/>
            <w:gridSpan w:val="2"/>
            <w:shd w:val="clear" w:color="auto" w:fill="CCEEFF"/>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5,228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5,841</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11/19/2015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Apopka / Semoran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5,737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5,743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6,631</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05/02/2012</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Auburndale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1,244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1,228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1,698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07/15/2009</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Bonita Springs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2,198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8,215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2,198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8,342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10,540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1,351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12/23/2014</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Bradenton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1,333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3,677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565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1,333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4,242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5,575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Brandon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4,537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1,327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5,656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1,327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5,830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7,157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489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06/19/2008</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Coral Springs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6,109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3,638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6,590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3,638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6,868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10,506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1,468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Davie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7,907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4,890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11,679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4,890</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11,770</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16,660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01/06/2006</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Deland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2,736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3,971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4,319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5,637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1,172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w w:val="98"/>
              </w:rPr>
              <w:t>Fort Lauderdale / Commercial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5,015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1,576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5,397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1,576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5,726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7,302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Fort Lauderdale / NW 31st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7,348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1,587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4,205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1,587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4,590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6,177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1,465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05/04/2011</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Fort Lauderdale / S State Rd 7</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6,963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2,750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7,002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7,563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10,313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955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Fort Myers / Cypress Lake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6,023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1,691</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4,711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1,691</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5,070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6,761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1,579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Fort Myers / San Carlos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4,983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1,985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5,598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7,583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1,675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03/08/2005</w:t>
            </w:r>
          </w:p>
        </w:tc>
        <w:tc>
          <w:tcPr>
            <w:tcW w:w="22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Greenacres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2,535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1,463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3,244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1,463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3,397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4,860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1,019</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10/01/2015</w:t>
            </w:r>
          </w:p>
        </w:tc>
        <w:tc>
          <w:tcPr>
            <w:tcW w:w="2280" w:type="dxa"/>
            <w:vAlign w:val="bottom"/>
            <w:gridSpan w:val="3"/>
          </w:tcPr>
          <w:p>
            <w:pPr>
              <w:ind w:left="120"/>
              <w:spacing w:after="0"/>
              <w:rPr>
                <w:sz w:val="20"/>
                <w:szCs w:val="20"/>
                <w:color w:val="auto"/>
              </w:rPr>
            </w:pPr>
            <w:r>
              <w:rPr>
                <w:rFonts w:ascii="Arial" w:cs="Arial" w:eastAsia="Arial" w:hAnsi="Arial"/>
                <w:sz w:val="14"/>
                <w:szCs w:val="14"/>
                <w:color w:val="auto"/>
              </w:rPr>
              <w:t>Gulf Breeze / Gulf Breeze Pkwy</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FL</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2,900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620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2,886</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620</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2,900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3,520</w:t>
            </w: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2"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320"/>
              <w:spacing w:after="0" w:line="139" w:lineRule="exact"/>
              <w:rPr>
                <w:sz w:val="20"/>
                <w:szCs w:val="20"/>
                <w:color w:val="auto"/>
              </w:rPr>
            </w:pPr>
            <w:r>
              <w:rPr>
                <w:rFonts w:ascii="Arial" w:cs="Arial" w:eastAsia="Arial" w:hAnsi="Arial"/>
                <w:sz w:val="14"/>
                <w:szCs w:val="14"/>
                <w:color w:val="auto"/>
              </w:rPr>
              <w:t>Land</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3"/>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8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79"/>
              </w:rPr>
              <w:t>State</w:t>
            </w:r>
          </w:p>
        </w:tc>
        <w:tc>
          <w:tcPr>
            <w:tcW w:w="560" w:type="dxa"/>
            <w:vAlign w:val="bottom"/>
            <w:gridSpan w:val="2"/>
          </w:tcPr>
          <w:p>
            <w:pPr>
              <w:ind w:left="60"/>
              <w:spacing w:after="0" w:line="125" w:lineRule="exact"/>
              <w:rPr>
                <w:sz w:val="20"/>
                <w:szCs w:val="20"/>
                <w:color w:val="auto"/>
              </w:rPr>
            </w:pPr>
            <w:r>
              <w:rPr>
                <w:rFonts w:ascii="Arial" w:cs="Arial" w:eastAsia="Arial" w:hAnsi="Arial"/>
                <w:sz w:val="14"/>
                <w:szCs w:val="14"/>
                <w:color w:val="auto"/>
              </w:rPr>
              <w:t>Debt</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91"/>
              </w:rPr>
              <w:t>initial cost</w:t>
            </w: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4"/>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Gulf Breeze / McClure Dr</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FL</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ind w:left="40"/>
              <w:spacing w:after="0" w:line="125" w:lineRule="exact"/>
              <w:rPr>
                <w:sz w:val="20"/>
                <w:szCs w:val="20"/>
                <w:color w:val="auto"/>
              </w:rPr>
            </w:pPr>
            <w:r>
              <w:rPr>
                <w:rFonts w:ascii="Arial" w:cs="Arial" w:eastAsia="Arial" w:hAnsi="Arial"/>
                <w:sz w:val="14"/>
                <w:szCs w:val="14"/>
                <w:color w:val="auto"/>
                <w:w w:val="85"/>
              </w:rPr>
              <w:t>6,170</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660</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12,590</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660</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12,604</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13,264</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01/01/2010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Hialeah / E 65th Street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5,838</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1,750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7,150</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7,261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1,129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08/01/2008</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Hialeah / Okeechobee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7,588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7,714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10,514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1,489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09/01/2010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Hialeah / W 84th St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5,838</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1,678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6,807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1,678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6,888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8,566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945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11/20/2007</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Hollywood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6,616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3,214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8,689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3,214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9,055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12,269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2,017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Jacksonville / Monument Rd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5,571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10,708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10,785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11,275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Jacksonville / Timuquana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4,600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3,744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3,884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4,884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12/28/2012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Kenneth City</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2,245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3,403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4,208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05/02/2012</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Lakeland / Harden Blvd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3,767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4,701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4,910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5,503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05/02/2012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Lakeland / South Florida Ave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5,412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871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6,905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7,153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8,024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704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09/03/2014</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Lakeland / US Hwy 98</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529</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3,604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3,708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4,237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12/27/2012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Land O Lakes</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6,333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4,490</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4,491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5,290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377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Madeira Beach</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3,473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1,686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5,163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1,686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5,461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7,147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1,669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Margate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3,234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3,139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1,495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4,595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5,064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1,579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Miami / Coral Way</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7,892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3,257</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9,713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3,257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9,892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13,149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907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10/25/2011</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Miami / Hammocks Blvd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6,324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5,198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5,331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5,852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Miami / NW 12th St</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7,629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1,325</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4,395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2,103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1,419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6,404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7,823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2,194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Miami / NW 2nd Ave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5,559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6,513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1,979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6,704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8,683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02/04/2011</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Miami / SW 147th Ave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2,375</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5,543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2,374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5,655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8,029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05/31/2007</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Miami / SW 186th St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4,312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1,238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7,597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7,965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9,203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1,897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11/08/2013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Miami / SW 68th Ave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9,887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3,305</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11,997</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3,305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12,050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15,355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Miami / SW 72nd Street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7,730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5,315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4,305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2,113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5,859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5,874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11,733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2,086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11/30/2009</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Miami Gardens</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6,660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4,798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9,475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4,798</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9,611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14,409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1,515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06/18/2015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Naples / Goodlette Road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17,220</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17,290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17,290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221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Naples / Old US 41</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1,990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4,887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1,990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5,306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11/08/2013</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Naranja</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8,429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603</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11,223</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603</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11,327</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11,930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620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Lauderdale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4,016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3,516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4,959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2,010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 Miami</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8,429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1,256</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6,535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1,256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7,169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8,425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2,345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Oakland Park</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9,764</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2,030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19,241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2,030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19,367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21,397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03/08/2005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Ocoee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2,982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872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3,642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3,970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4,842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1,205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11/19/2015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Orlando / Hoffner Ave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6,697</w:t>
            </w:r>
          </w:p>
        </w:tc>
        <w:tc>
          <w:tcPr>
            <w:tcW w:w="11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6,697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7,209</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03/08/2005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Orlando / Hunters Creek</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9,760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2,233</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9,223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515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2,233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9,738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11,971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2,888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Orlando / LB McLeod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8,454</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1,216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1,216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5,490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1,724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06/17/2015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Orlando / Lee Rd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5,364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5,366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5,901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03/08/2005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Orlando / Metrowest</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5,566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1,474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6,101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1,474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6,405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7,879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1,897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07/15/2010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Orlando / Orange Blossom Trail</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2,133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2,846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351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03/08/2005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Orlando / Waterford Lakes</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1"/>
              </w:rPr>
              <w:t>3,603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1,166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4,816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1,301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1,166</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6,117</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7,283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1,733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11/07/2013</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Palm Springs</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2,108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8,028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2,108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8,187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10,295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05/31/2013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Plantation</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5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3,850</w:t>
            </w:r>
          </w:p>
        </w:tc>
        <w:tc>
          <w:tcPr>
            <w:tcW w:w="1000" w:type="dxa"/>
            <w:vAlign w:val="bottom"/>
            <w:gridSpan w:val="2"/>
            <w:shd w:val="clear" w:color="auto" w:fill="CCEEFF"/>
          </w:tcPr>
          <w:p>
            <w:pPr>
              <w:ind w:left="60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(1,504)</w:t>
            </w:r>
          </w:p>
        </w:tc>
        <w:tc>
          <w:tcPr>
            <w:tcW w:w="54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(d)</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2,346</w:t>
            </w:r>
          </w:p>
        </w:tc>
        <w:tc>
          <w:tcPr>
            <w:tcW w:w="128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2,346</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08/26/2004</w:t>
            </w:r>
          </w:p>
        </w:tc>
        <w:tc>
          <w:tcPr>
            <w:tcW w:w="2180" w:type="dxa"/>
            <w:vAlign w:val="bottom"/>
            <w:gridSpan w:val="3"/>
          </w:tcPr>
          <w:p>
            <w:pPr>
              <w:ind w:left="120"/>
              <w:spacing w:after="0"/>
              <w:rPr>
                <w:sz w:val="20"/>
                <w:szCs w:val="20"/>
                <w:color w:val="auto"/>
              </w:rPr>
            </w:pPr>
            <w:r>
              <w:rPr>
                <w:rFonts w:ascii="Arial" w:cs="Arial" w:eastAsia="Arial" w:hAnsi="Arial"/>
                <w:sz w:val="14"/>
                <w:szCs w:val="14"/>
                <w:color w:val="auto"/>
              </w:rPr>
              <w:t>Port Charlotte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1,389</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4,632</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267</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1,389</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4,899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6,288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1,497</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2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jc w:val="right"/>
              <w:ind w:right="26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08/26/2004</w:t>
            </w:r>
          </w:p>
        </w:tc>
        <w:tc>
          <w:tcPr>
            <w:tcW w:w="222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Riverview</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FL</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4,595</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654</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2,953</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311</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654</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3,264</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3,918</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1,030</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Sarasota / Clark Rd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7,803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4,666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9,016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4,666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9,303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13,969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12/23/2014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Sarasota / Washington Blvd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1,192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2,919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1,192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2,948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4,140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12/03/2012</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Seminole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2,324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1,133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3,017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1,133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3,205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4,338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12/23/2014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South Pasadena</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9,420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8,890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10,106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8,890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10,202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19,092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04/15/2014</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Stuart / Gran Park Way</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1,640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8,358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1,640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8,501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10,141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391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Stuart / Kanner Hwy</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5,083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6,333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Stuart / NW Federal Hwy 1</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3,125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3,208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3,968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Tallahassee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9,225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1,460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21,471</w:t>
            </w:r>
          </w:p>
        </w:tc>
        <w:tc>
          <w:tcPr>
            <w:tcW w:w="1140" w:type="dxa"/>
            <w:vAlign w:val="bottom"/>
            <w:gridSpan w:val="2"/>
            <w:shd w:val="clear" w:color="auto" w:fill="CCEEFF"/>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1,460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21,471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22,931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Tamiami</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5,042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7,164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5,042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7,493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12,535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1,014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11/22/2006</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Tampa / Cypress St</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3,523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3,533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881</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3,695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4,576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03/27/2007</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Tampa / W Cleveland St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3,551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1,425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4,766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1,425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5,082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6,507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1,307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12/23/2014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Tampa / W Hillsborough Ave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2,374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1,086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2,937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3,322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4,408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Valrico</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4,358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1,197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4,411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1,197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4,695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5,892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1,475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01/13/2006</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Venice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6,714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1,969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5,903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6,222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8,192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1,748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08/10/2000</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West Palm Beach / Forest Hill Bl</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1,164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1,246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3,162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4,408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1,340</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08/10/2000</w:t>
            </w:r>
          </w:p>
        </w:tc>
        <w:tc>
          <w:tcPr>
            <w:tcW w:w="222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West Palm Beach / N Military</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Trail 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4,415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2,511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3,360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4,776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1,436</w:t>
            </w: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88"/>
              </w:rPr>
              <w:t>11/01/2013</w:t>
            </w:r>
          </w:p>
        </w:tc>
        <w:tc>
          <w:tcPr>
            <w:tcW w:w="222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West Palm Beach / N Military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220" w:type="dxa"/>
            <w:vAlign w:val="bottom"/>
            <w:gridSpan w:val="3"/>
          </w:tcPr>
          <w:p>
            <w:pPr>
              <w:ind w:left="120"/>
              <w:spacing w:after="0"/>
              <w:rPr>
                <w:sz w:val="20"/>
                <w:szCs w:val="20"/>
                <w:color w:val="auto"/>
              </w:rPr>
            </w:pPr>
            <w:r>
              <w:rPr>
                <w:rFonts w:ascii="Arial" w:cs="Arial" w:eastAsia="Arial" w:hAnsi="Arial"/>
                <w:sz w:val="14"/>
                <w:szCs w:val="14"/>
                <w:color w:val="auto"/>
              </w:rPr>
              <w:t>Trail 2</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1,595</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2,833</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1,595</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2,938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4,533</w:t>
            </w:r>
          </w:p>
        </w:tc>
        <w:tc>
          <w:tcPr>
            <w:tcW w:w="740" w:type="dxa"/>
            <w:vAlign w:val="bottom"/>
          </w:tcPr>
          <w:p>
            <w:pPr>
              <w:jc w:val="right"/>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w w:val="98"/>
              </w:rPr>
              <w:t>West Palm Beach / S Military Trail</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3,340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1,729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4,058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1,730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4,159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5,889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w w:val="98"/>
              </w:rPr>
              <w:t>West Palm Beach / Southern Blvd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1,752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4,909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5,359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1,696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Weston</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FL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7,009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1,680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11,342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1,680</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11,431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13,111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Alpharetta / Holcomb Bridge Rd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1,587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1,973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1,882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3,855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623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Alpharetta / Jones Bridge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5,781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1,420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8,902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1,420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8,930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10,350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08/08/2006</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Alpharetta / North Main St</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5,075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1,893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3,161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1,894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3,351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5,245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884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08/06/2014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Atlanta / Chattahoochee Ave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1,132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10,080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1,132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10,183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11,315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Atlanta / Cheshire Bridge Rd NE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11,791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3,737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8,333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3,738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9,058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12,796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10/22/2014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Atlanta / Edgewood Ave SE</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7,699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10,295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10,354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10,942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04/03/2014</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Atlanta / Mt Vernon Hwy</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2,961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19,819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2,961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19,913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22,874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877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Atlanta / Roswell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1,665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2,028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1,665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2,320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3,985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02/28/2005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Atlanta / Virginia Ave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6,294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3,319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8,325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3,319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9,054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12,373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2,706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Augusta</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2,025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2,299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2,384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3,094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Austell</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3,325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6,550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6,582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7,122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Buford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5,484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5,507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6,007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05/07/2015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Dacula / Auburn Rd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4,468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2,087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4,295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2,087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4,431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6,518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01/17/2006</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Dacula / Braselton Hwy</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3,670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1,993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3,001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1,993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3,181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5,174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06/17/2010</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Douglasville</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1,209</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1,117</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2,326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Duluth / Berkeley Lake Rd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4,014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5,718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1,350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5,749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7,099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Duluth / Breckinridge Blvd</w:t>
            </w:r>
          </w:p>
        </w:tc>
        <w:tc>
          <w:tcPr>
            <w:tcW w:w="4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3,834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6,336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6,399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7,559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2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Duluth / Peachtree Industrial Blvd</w:t>
            </w:r>
          </w:p>
        </w:tc>
        <w:tc>
          <w:tcPr>
            <w:tcW w:w="4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4,163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7,516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7,542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7,982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88"/>
              </w:rPr>
              <w:t>11/30/2012</w:t>
            </w:r>
          </w:p>
        </w:tc>
        <w:tc>
          <w:tcPr>
            <w:tcW w:w="2220" w:type="dxa"/>
            <w:vAlign w:val="bottom"/>
            <w:gridSpan w:val="3"/>
          </w:tcPr>
          <w:p>
            <w:pPr>
              <w:ind w:left="120"/>
              <w:spacing w:after="0"/>
              <w:rPr>
                <w:sz w:val="20"/>
                <w:szCs w:val="20"/>
                <w:color w:val="auto"/>
              </w:rPr>
            </w:pPr>
            <w:r>
              <w:rPr>
                <w:rFonts w:ascii="Arial" w:cs="Arial" w:eastAsia="Arial" w:hAnsi="Arial"/>
                <w:sz w:val="14"/>
                <w:szCs w:val="14"/>
                <w:color w:val="auto"/>
              </w:rPr>
              <w:t>Eastpoint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5,497</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1,718</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6,388</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171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1,718</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6,559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8,277</w:t>
            </w:r>
          </w:p>
        </w:tc>
        <w:tc>
          <w:tcPr>
            <w:tcW w:w="74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2"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Ellenwood</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GA</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2,666</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260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3,992</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260</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4,018</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4,278</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06/14/2007</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Johns Creek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3,373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1,454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4,151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4,328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5,782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1,000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Jonesboro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6,174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6,188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6,728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06/17/2010</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Kennesaw / Cobb Parkway NW</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1,151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1,346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2,019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237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w w:val="96"/>
              </w:rPr>
              <w:t>Kennesaw / George Busbee Pkwy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4,702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9,126</w:t>
            </w:r>
          </w:p>
        </w:tc>
        <w:tc>
          <w:tcPr>
            <w:tcW w:w="1140" w:type="dxa"/>
            <w:vAlign w:val="bottom"/>
            <w:gridSpan w:val="2"/>
            <w:shd w:val="clear" w:color="auto" w:fill="CCEEFF"/>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9,126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9,626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Lawrenceville / Hurricane Shoals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Rd</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3,335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2,117</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2,784</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291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2,117</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3,075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5,192</w:t>
            </w:r>
          </w:p>
        </w:tc>
        <w:tc>
          <w:tcPr>
            <w:tcW w:w="74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4"/>
                <w:szCs w:val="14"/>
                <w:color w:val="auto"/>
              </w:rPr>
            </w:pP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Lawrenceville / Lawrenceville</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Hwy 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3,058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3,085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4"/>
                <w:szCs w:val="14"/>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Lawrenceville / Lawrenceville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Hwy 2</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3,025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1,510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4,674</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1,510</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4,705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6,215</w:t>
            </w: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Lawrenceville / Old Norcross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870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3,705</w:t>
            </w:r>
          </w:p>
        </w:tc>
        <w:tc>
          <w:tcPr>
            <w:tcW w:w="1140" w:type="dxa"/>
            <w:vAlign w:val="bottom"/>
            <w:gridSpan w:val="2"/>
            <w:shd w:val="clear" w:color="auto" w:fill="CCEEFF"/>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3,705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4,575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11/12/2009</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Lithonia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1,958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3,645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1,958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3,782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5,740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625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Marietta / Austell Rd SW</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3,560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3,571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4,641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06/17/2010</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Marietta / Cobb Parkway 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2,617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2,949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3,836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488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Marietta / Powers Ferry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5,421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9,242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9,266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9,696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Marietta / West Oak Pkwy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4,343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6,395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6,416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6,916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Peachtree City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1,080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8,628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8,640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9,720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04/24/2015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Powder Springs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6,014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6,075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6,445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Sandy Springs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6,919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11,439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1,740</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11,462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13,202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Savannah / King George Blvd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2,935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4,889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4,906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5,296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Savannah / King George Blvd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3,370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3,388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3,778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Sharpsburg</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4,852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8,455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8,476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8,836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Smyrna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4,553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1,360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7,002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1,360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7,037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8,397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Snellville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4,026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2,691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4,356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7,047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1,384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Stone Mountain / Annistown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2,784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1,817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4,382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1,817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4,710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6,527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1,464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Stone Mountain / S Hairston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3,505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3,912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4,837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1,157</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06/14/2007</w:t>
            </w:r>
          </w:p>
        </w:tc>
        <w:tc>
          <w:tcPr>
            <w:tcW w:w="220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Sugar Hill / Nelson Brogdon Blvd</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w:t>
            </w:r>
          </w:p>
        </w:tc>
        <w:tc>
          <w:tcPr>
            <w:tcW w:w="14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2,547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1,371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2,770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4"/>
                <w:szCs w:val="14"/>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06/14/2007</w:t>
            </w:r>
          </w:p>
        </w:tc>
        <w:tc>
          <w:tcPr>
            <w:tcW w:w="220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Sugar Hill / Nelson Brogdon Blvd</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14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GA</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1,368</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2,540</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1,367</w:t>
            </w:r>
          </w:p>
        </w:tc>
        <w:tc>
          <w:tcPr>
            <w:tcW w:w="1080" w:type="dxa"/>
            <w:vAlign w:val="bottom"/>
          </w:tcPr>
          <w:p>
            <w:pPr>
              <w:jc w:val="right"/>
              <w:spacing w:after="0"/>
              <w:rPr>
                <w:sz w:val="20"/>
                <w:szCs w:val="20"/>
                <w:color w:val="auto"/>
              </w:rPr>
            </w:pPr>
            <w:r>
              <w:rPr>
                <w:rFonts w:ascii="Arial" w:cs="Arial" w:eastAsia="Arial" w:hAnsi="Arial"/>
                <w:sz w:val="14"/>
                <w:szCs w:val="14"/>
                <w:color w:val="auto"/>
              </w:rPr>
              <w:t>2,811</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4,178</w:t>
            </w:r>
          </w:p>
        </w:tc>
        <w:tc>
          <w:tcPr>
            <w:tcW w:w="740" w:type="dxa"/>
            <w:vAlign w:val="bottom"/>
          </w:tcPr>
          <w:p>
            <w:pPr>
              <w:jc w:val="right"/>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10/15/2013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Tucker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5,848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1,773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10,456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1,773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10,523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12,296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Wilmington Island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GA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5,571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9,423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9,455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10,215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05/03/2013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Honolulu</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HI</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17,382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4,674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18,350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4,674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18,533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23,207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1,257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Kahului</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HI</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3,984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15,044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3,984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15,961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19,945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3,724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06/25/2007</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Kapolei / Farrington Hwy 1</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HI</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9,289</w:t>
            </w:r>
          </w:p>
        </w:tc>
        <w:tc>
          <w:tcPr>
            <w:tcW w:w="78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24,701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564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25,265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25,265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5,686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12/06/2013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Kapolei / Farrington Hwy 2</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HI</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7,137</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7,776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7,839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7,839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05/03/2013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Wahiawa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HI</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3,553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2,626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2,746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4,063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Bedford Park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2,469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3,289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3,640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06/08/2015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Berwyn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965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9,085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965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9,230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10,195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Chicago / 60th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1,363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5,850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1,363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5,999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Chicago / 87th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5,846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2,881</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6,324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2,881</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6,419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9,300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Chicago / 95th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7,828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7,925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8,675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02/13/2013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Chicago / Montrose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8,276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9,485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9,551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718</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Chicago / Pulaski Rd</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3,615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1,143</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6,138</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308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1,143</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6,446</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7,589</w:t>
            </w:r>
          </w:p>
        </w:tc>
        <w:tc>
          <w:tcPr>
            <w:tcW w:w="740" w:type="dxa"/>
            <w:vAlign w:val="bottom"/>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2"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320"/>
              <w:spacing w:after="0" w:line="139" w:lineRule="exact"/>
              <w:rPr>
                <w:sz w:val="20"/>
                <w:szCs w:val="20"/>
                <w:color w:val="auto"/>
              </w:rPr>
            </w:pPr>
            <w:r>
              <w:rPr>
                <w:rFonts w:ascii="Arial" w:cs="Arial" w:eastAsia="Arial" w:hAnsi="Arial"/>
                <w:sz w:val="14"/>
                <w:szCs w:val="14"/>
                <w:color w:val="auto"/>
              </w:rPr>
              <w:t>Land</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3"/>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85"/>
              </w:rPr>
              <w:t>State</w:t>
            </w:r>
          </w:p>
        </w:tc>
        <w:tc>
          <w:tcPr>
            <w:tcW w:w="620" w:type="dxa"/>
            <w:vAlign w:val="bottom"/>
            <w:gridSpan w:val="2"/>
          </w:tcPr>
          <w:p>
            <w:pPr>
              <w:jc w:val="right"/>
              <w:ind w:right="260"/>
              <w:spacing w:after="0" w:line="125" w:lineRule="exact"/>
              <w:rPr>
                <w:sz w:val="20"/>
                <w:szCs w:val="20"/>
                <w:color w:val="auto"/>
              </w:rPr>
            </w:pPr>
            <w:r>
              <w:rPr>
                <w:rFonts w:ascii="Arial" w:cs="Arial" w:eastAsia="Arial" w:hAnsi="Arial"/>
                <w:sz w:val="14"/>
                <w:szCs w:val="14"/>
                <w:color w:val="auto"/>
              </w:rPr>
              <w:t>Debt</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91"/>
              </w:rPr>
              <w:t>initial cost</w:t>
            </w: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4"/>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Chicago / South Wabash</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IL</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621</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3,428</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2,226</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621</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5,654</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6,275</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1,618</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11/10/2004</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Chicago / Stony Island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1,925</w:t>
            </w:r>
          </w:p>
        </w:tc>
        <w:tc>
          <w:tcPr>
            <w:tcW w:w="1000" w:type="dxa"/>
            <w:vAlign w:val="bottom"/>
            <w:gridSpan w:val="2"/>
          </w:tcPr>
          <w:p>
            <w:pPr>
              <w:ind w:left="60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1,925</w:t>
            </w:r>
          </w:p>
        </w:tc>
        <w:tc>
          <w:tcPr>
            <w:tcW w:w="128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1,925</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Chicago / West Addison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5,433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449</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2,471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3,275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3,724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1,122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Chicago / West Harrison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4,477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2,582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5,402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5,874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1,186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Chicago / Western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670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4,718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4,819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5,489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Cicero / Ogden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1,590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9,371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9,439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11,029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Cicero / Roosevelt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3,224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3,304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4,214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07/15/2003</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Crest Hill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2,340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847</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2,946</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968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3,637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4,605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1,187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10/01/2007</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Gurnee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8,296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8,424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9,798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1,803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Highland Park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11,852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5,798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6,016</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5,798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6,121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11,919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667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Lincolnshire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3,585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5,128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1,438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5,162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6,600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12/01/2008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Naperville / Ogden Avenue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7,355</w:t>
            </w:r>
          </w:p>
        </w:tc>
        <w:tc>
          <w:tcPr>
            <w:tcW w:w="11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(711)</w:t>
            </w:r>
          </w:p>
        </w:tc>
        <w:tc>
          <w:tcPr>
            <w:tcW w:w="54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7,494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9,444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1,385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Naperville / State Route 59</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4,734</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1,860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5,793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1,860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5,901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7,761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05/03/2008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 Aurora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2,409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5,833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5,976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6,576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1,210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Skokie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3,857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1,119</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7,502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1,119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7,710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8,829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10/15/2002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South Holland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2,382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2,879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3,227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4,092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1,147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08/01/2008</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Tinley Park</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IL</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1,823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4,794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1,548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6,062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7,610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10/10/2008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Carmel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4,929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1,169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4,393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1,169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4,677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5,846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985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Connersville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1,097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472</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315</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472</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10/31/2008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Ft Wayne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1,899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1,899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3,585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5,484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789</w:t>
            </w:r>
          </w:p>
        </w:tc>
        <w:tc>
          <w:tcPr>
            <w:tcW w:w="80" w:type="dxa"/>
            <w:vAlign w:val="bottom"/>
          </w:tcPr>
          <w:p>
            <w:pPr>
              <w:spacing w:after="0"/>
              <w:rPr>
                <w:sz w:val="12"/>
                <w:szCs w:val="12"/>
                <w:color w:val="auto"/>
              </w:rPr>
            </w:pP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10/10/2008</w:t>
            </w:r>
          </w:p>
        </w:tc>
        <w:tc>
          <w:tcPr>
            <w:tcW w:w="210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Indianapolis / Dandy Trail-</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Windham Lake Dr</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IN</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5,537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4,545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409</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850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4,954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5,804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Indianapolis / E 65th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3,457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3,792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4,380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965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Indianapolis / E 86th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1,060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646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1,294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1,458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2,104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10/10/2008</w:t>
            </w:r>
          </w:p>
        </w:tc>
        <w:tc>
          <w:tcPr>
            <w:tcW w:w="210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Indianapolis / Southport Rd-</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00" w:type="dxa"/>
            <w:vAlign w:val="bottom"/>
            <w:gridSpan w:val="3"/>
          </w:tcPr>
          <w:p>
            <w:pPr>
              <w:ind w:left="120"/>
              <w:spacing w:after="0"/>
              <w:rPr>
                <w:sz w:val="20"/>
                <w:szCs w:val="20"/>
                <w:color w:val="auto"/>
              </w:rPr>
            </w:pPr>
            <w:r>
              <w:rPr>
                <w:rFonts w:ascii="Arial" w:cs="Arial" w:eastAsia="Arial" w:hAnsi="Arial"/>
                <w:sz w:val="14"/>
                <w:szCs w:val="14"/>
                <w:color w:val="auto"/>
              </w:rPr>
              <w:t>Kildeer Dr</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IN</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426</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2,903</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389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426</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3,292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3,718</w:t>
            </w:r>
          </w:p>
        </w:tc>
        <w:tc>
          <w:tcPr>
            <w:tcW w:w="740" w:type="dxa"/>
            <w:vAlign w:val="bottom"/>
          </w:tcPr>
          <w:p>
            <w:pPr>
              <w:jc w:val="right"/>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10/10/2008</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Mishawaka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4,862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3,349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3,648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4,278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798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Richmond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IN</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723</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482</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723</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920</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1,643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04/13/2006</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Wichita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KS</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2,045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1,897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2,330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745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Covington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1,951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2,543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839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2,689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3,528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358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Crescent Springs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5,313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5,318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5,438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Erlanger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3,731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7,132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7,142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Florence / Centennial Circle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8,234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8,241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8,481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Florence / Steilen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6,181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13,616</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13,618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14,158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Louisville / Bardstown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3,244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3,646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4,232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1,137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Louisville / Warwick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4,137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4,611</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4,825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6,042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1,417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Louisville / Wattbourne Ln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4,612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2,677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2,943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3,835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Walton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KY</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6,245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6,258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6,548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Metairie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LA</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3,688</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2,056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4,216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2,056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4,530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6,586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1,362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New Orleans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LA</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5,213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4,058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4,325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4,059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5,027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9,086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1,652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06/01/2003</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Ashland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5,643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3,324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3,694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4,168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1,454</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2"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Auburn</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MA</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0"/>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918</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3,728</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365</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919</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4,092</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5,011</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Billerica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3,023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6,697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3,023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6,889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9,912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Brockton / Centre St / Rte 123</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647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2,762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2,955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3,602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1,140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Brockton / Oak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5,029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829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6,195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829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6,674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7,503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11/09/2012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Danvers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7,662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3,115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5,736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3,115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5,924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9,039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Dedham / Allied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2,443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7,328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1,411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2,443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8,739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11,182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2,949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03/04/2002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Dedham / Milton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2,127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3,041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935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2,127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3,976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6,103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1,540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05/13/2015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Dedham / Providence Highway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1,625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10,875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1,625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10,884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12,509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East Somerville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Everett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2,129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3,221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3,913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1,069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Foxboro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4,158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4,637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5,396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2,031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Framingham</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Hudson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3,287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3,122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3,593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4,399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1,590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12/31/2007</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Jamaica Plain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9,245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3,285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11,275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3,285</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11,912</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15,197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2,526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10/18/2002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Kingston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5,351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2,491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2,706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3,261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1,078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06/22/2001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Lynn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1,703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3,237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1,703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3,675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5,378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1,490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03/31/2004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Marshfield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4,533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1,039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4,155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4,438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5,464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1,414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11/14/2002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Milton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2,838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3,979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6,656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2,838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10,635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13,473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2,774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Andover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3,679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4,120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4,246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5,019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10/15/1999</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 Oxford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3,780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1,762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2,232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2,759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993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02/28/2001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Northborough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4,489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2,715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3,286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3,566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1,445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08/15/1999</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Norwood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6,523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2,336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4,099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6,320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1,570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Plainville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4,913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2,223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4,430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2,223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4,891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7,114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1,728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Quincy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1,359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4,078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4,503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5,863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1,451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05/15/2000</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Raynham</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2,270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2,950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3,620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1,200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Revere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4,821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2,275</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6,935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2,275</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7,118</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9,393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774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Saugus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9,142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1,725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5,514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1,725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6,095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7,820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2,207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06/15/2001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Somerville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11,664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1,728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6,570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939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1,731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7,506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9,237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2,757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Stoneham</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5,826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5,241</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944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5,428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6,372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1,568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Stoughton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1,754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2,769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3,091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4,846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1,315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Tyngsboro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1,843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1,843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5,075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6,918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Waltham</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5,095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11,310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1,120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3,770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12,430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16,200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3,984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09/14/2000</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Weymouth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3,129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3,360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6,166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1,424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Woburn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283</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12/01/2006</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Worcester / Ararat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3,989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4,433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1,350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4,615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5,965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1,129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Worcester / Millbury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MA</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4,383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4,377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3,206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7,583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8,479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2,754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Annapolis / Renard Ct / Annex</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15,544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8,896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9,236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10,612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2,153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04/17/2007</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Annapolis / Trout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6,291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5,248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7,247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5,247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7,467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12,714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1,755</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Arnold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2,558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9,446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2,558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9,946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12,504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2,844</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05/31/2012</w:t>
            </w: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Baltimore / Eastern Ave 1</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4,434</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1,185</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5,051</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166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1,185</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5,217</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6,402</w:t>
            </w:r>
          </w:p>
        </w:tc>
        <w:tc>
          <w:tcPr>
            <w:tcW w:w="740" w:type="dxa"/>
            <w:vAlign w:val="bottom"/>
          </w:tcPr>
          <w:p>
            <w:pPr>
              <w:jc w:val="right"/>
              <w:spacing w:after="0"/>
              <w:rPr>
                <w:sz w:val="20"/>
                <w:szCs w:val="20"/>
                <w:color w:val="auto"/>
              </w:rPr>
            </w:pPr>
            <w:r>
              <w:rPr>
                <w:rFonts w:ascii="Arial" w:cs="Arial" w:eastAsia="Arial" w:hAnsi="Arial"/>
                <w:sz w:val="14"/>
                <w:szCs w:val="14"/>
                <w:color w:val="auto"/>
              </w:rPr>
              <w:t>502</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2"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320"/>
              <w:spacing w:after="0" w:line="139" w:lineRule="exact"/>
              <w:rPr>
                <w:sz w:val="20"/>
                <w:szCs w:val="20"/>
                <w:color w:val="auto"/>
              </w:rPr>
            </w:pPr>
            <w:r>
              <w:rPr>
                <w:rFonts w:ascii="Arial" w:cs="Arial" w:eastAsia="Arial" w:hAnsi="Arial"/>
                <w:sz w:val="14"/>
                <w:szCs w:val="14"/>
                <w:color w:val="auto"/>
              </w:rPr>
              <w:t>Land</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3"/>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jc w:val="right"/>
              <w:ind w:right="280"/>
              <w:spacing w:after="0" w:line="125" w:lineRule="exact"/>
              <w:rPr>
                <w:sz w:val="20"/>
                <w:szCs w:val="20"/>
                <w:color w:val="auto"/>
              </w:rPr>
            </w:pPr>
            <w:r>
              <w:rPr>
                <w:rFonts w:ascii="Arial" w:cs="Arial" w:eastAsia="Arial" w:hAnsi="Arial"/>
                <w:sz w:val="14"/>
                <w:szCs w:val="14"/>
                <w:color w:val="auto"/>
              </w:rPr>
              <w:t>Debt</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91"/>
              </w:rPr>
              <w:t>initial cost</w:t>
            </w: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4"/>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02/13/2013</w:t>
            </w:r>
          </w:p>
        </w:tc>
        <w:tc>
          <w:tcPr>
            <w:tcW w:w="21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Baltimore / Eastern Ave 2</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MD</w:t>
            </w: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6,997</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1,266</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10,789</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1,266</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10,923</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12,189</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Baltimore / Moravia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4,360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5,955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800</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6,115</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6,915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06/01/2010</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Baltimore / N Howard St</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1,900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5,277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5,432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7,332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Bethesda</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11,900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3,671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18,331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1,347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3,671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19,678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23,349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6,084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10/20/2010</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Capitol Heights</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8,105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1,461</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9,866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1,461</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10,110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11,571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1,429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03/07/2012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Cockeysville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3,743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5,600</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5,904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6,369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624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Columbia</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7,810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1,736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9,632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1,736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10,009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11,745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2,819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12/02/2005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Edgewood / Pulaski Hwy 1</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1,000</w:t>
            </w:r>
          </w:p>
        </w:tc>
        <w:tc>
          <w:tcPr>
            <w:tcW w:w="1000" w:type="dxa"/>
            <w:vAlign w:val="bottom"/>
            <w:gridSpan w:val="2"/>
          </w:tcPr>
          <w:p>
            <w:pPr>
              <w:ind w:left="600"/>
              <w:spacing w:after="0" w:line="14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(575)</w:t>
            </w:r>
          </w:p>
        </w:tc>
        <w:tc>
          <w:tcPr>
            <w:tcW w:w="54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425</w:t>
            </w:r>
          </w:p>
        </w:tc>
        <w:tc>
          <w:tcPr>
            <w:tcW w:w="128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09/10/2015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Edgewood / Pulaski Hwy 2</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5,178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5,275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01/11/2007</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Ft. Washington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8,848</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4,920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9,174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4,920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9,405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14,325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2,252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Gambrills</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4,758</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1,905</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7,104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1,905</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7,311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9,216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07/08/2011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Glen Burnie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11,247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1,303</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4,218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1,303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4,565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5,868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623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06/10/2013</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Hanover</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2,160</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11,340</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2,160</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11,407</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13,567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Lanham</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11,753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3,346</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10,079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2,618</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11,513</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14,131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3,797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12/27/2007</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Laurel</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5,849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3,000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5,930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6,127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9,127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1,325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12/27/2012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Lexington Park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4,314</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8,412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4,314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8,572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12,886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688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09/17/2008</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Pasadena / Fort Smallwood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w w:val="93"/>
              </w:rPr>
              <w:t>10,025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1,869</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3,056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1,869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3,762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5,631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03/24/2011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Pasadena / Mountain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7,407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7,562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11,062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911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08/01/2011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Randallstown</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4,450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6,331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6,645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7,409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09/01/2006</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Rockville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12,011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4,596</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11,328</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4,596</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11,720</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16,316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2,890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Towson / East Joppa Rd 1</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3,810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861</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4,742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861</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4,991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5,852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1,472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Towson / East Joppa Rd 2</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MD</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6,018</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1,094</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9,598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1,094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9,754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10,848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882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Belleville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MI</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3,763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4,984</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5,100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6,054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Grandville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MI</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726</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1,298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726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1,730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2,456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Mt Clemens</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MI</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1,796</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2,313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3,111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Florissant</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3,311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1,241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4,648</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1,241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4,994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6,235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1,254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Grandview</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1,770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612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2,187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2,799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784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06/01/2000</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 Louis / Forest Park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2,479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156</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1,313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1,930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2,103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899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 Louis / Gravois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2,607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676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3,551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3,902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4,578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06/01/2000</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St Louis / Halls Ferry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2,507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2,791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3,481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1,178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St Louis / Old Tesson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MO</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6,397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1,444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4,162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1,444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4,528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5,972</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1,139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Biloxi</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MS</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3,947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3,971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4,741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Canton</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MS</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7,767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7,776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9,016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Ridgeland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MS</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9,135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9,167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9,577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10/15/2013</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Cary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4,229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3,614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1,788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3,614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1,801</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5,415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05/05/2015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Charlotte / Monroe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4,050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6,867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7,003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11,053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12/08/2015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Charlotte / S Tryon St</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3,931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3,932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5,304</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06/19/2015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Charlotte / Wendover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1,408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5,461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1,408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5,516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6,924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Concord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4,873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4,900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5,670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88"/>
              </w:rPr>
              <w:t>12/11/2014</w:t>
            </w:r>
          </w:p>
        </w:tc>
        <w:tc>
          <w:tcPr>
            <w:tcW w:w="2100" w:type="dxa"/>
            <w:vAlign w:val="bottom"/>
            <w:gridSpan w:val="3"/>
          </w:tcPr>
          <w:p>
            <w:pPr>
              <w:ind w:left="120"/>
              <w:spacing w:after="0"/>
              <w:rPr>
                <w:sz w:val="20"/>
                <w:szCs w:val="20"/>
                <w:color w:val="auto"/>
              </w:rPr>
            </w:pPr>
            <w:r>
              <w:rPr>
                <w:rFonts w:ascii="Arial" w:cs="Arial" w:eastAsia="Arial" w:hAnsi="Arial"/>
                <w:sz w:val="14"/>
                <w:szCs w:val="14"/>
                <w:color w:val="auto"/>
              </w:rPr>
              <w:t>Greensboro / High Point Rd</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3,712</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1,069</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4,199</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1,069</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4,269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5,338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113</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2"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320"/>
              <w:spacing w:after="0" w:line="139" w:lineRule="exact"/>
              <w:rPr>
                <w:sz w:val="20"/>
                <w:szCs w:val="20"/>
                <w:color w:val="auto"/>
              </w:rPr>
            </w:pPr>
            <w:r>
              <w:rPr>
                <w:rFonts w:ascii="Arial" w:cs="Arial" w:eastAsia="Arial" w:hAnsi="Arial"/>
                <w:sz w:val="14"/>
                <w:szCs w:val="14"/>
                <w:color w:val="auto"/>
              </w:rPr>
              <w:t>Land</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3"/>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jc w:val="right"/>
              <w:ind w:right="280"/>
              <w:spacing w:after="0" w:line="125" w:lineRule="exact"/>
              <w:rPr>
                <w:sz w:val="20"/>
                <w:szCs w:val="20"/>
                <w:color w:val="auto"/>
              </w:rPr>
            </w:pPr>
            <w:r>
              <w:rPr>
                <w:rFonts w:ascii="Arial" w:cs="Arial" w:eastAsia="Arial" w:hAnsi="Arial"/>
                <w:sz w:val="14"/>
                <w:szCs w:val="14"/>
                <w:color w:val="auto"/>
              </w:rPr>
              <w:t>Debt</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91"/>
              </w:rPr>
              <w:t>initial cost</w:t>
            </w: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4"/>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12/11/2014</w:t>
            </w:r>
          </w:p>
        </w:tc>
        <w:tc>
          <w:tcPr>
            <w:tcW w:w="21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Greensboro / Lawndale Drive</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NC</w:t>
            </w: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6,502</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3,725</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7,036</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3,723</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7,150</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10,873</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Hickory</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5,844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5,862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12/11/2014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Hickory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3,329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5,418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5,478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6,353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Morganton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5,724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5,746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6,346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06/18/2014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Raleigh</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4,265</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4,337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7,277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88"/>
              </w:rPr>
              <w:t>12/11/2014</w:t>
            </w:r>
          </w:p>
        </w:tc>
        <w:tc>
          <w:tcPr>
            <w:tcW w:w="210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Winston-Salem / Peters Creek</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00" w:type="dxa"/>
            <w:vAlign w:val="bottom"/>
            <w:gridSpan w:val="3"/>
          </w:tcPr>
          <w:p>
            <w:pPr>
              <w:ind w:left="120"/>
              <w:spacing w:after="0"/>
              <w:rPr>
                <w:sz w:val="20"/>
                <w:szCs w:val="20"/>
                <w:color w:val="auto"/>
              </w:rPr>
            </w:pPr>
            <w:r>
              <w:rPr>
                <w:rFonts w:ascii="Arial" w:cs="Arial" w:eastAsia="Arial" w:hAnsi="Arial"/>
                <w:sz w:val="14"/>
                <w:szCs w:val="14"/>
                <w:color w:val="auto"/>
              </w:rPr>
              <w:t>Pkwy</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NC</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3,011</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1,548</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3,495</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97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1,548</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3,592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5,140</w:t>
            </w:r>
          </w:p>
        </w:tc>
        <w:tc>
          <w:tcPr>
            <w:tcW w:w="74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4"/>
                <w:szCs w:val="14"/>
                <w:color w:val="auto"/>
              </w:rPr>
            </w:pP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12/11/2014</w:t>
            </w:r>
          </w:p>
        </w:tc>
        <w:tc>
          <w:tcPr>
            <w:tcW w:w="210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4"/>
                <w:szCs w:val="14"/>
                <w:color w:val="auto"/>
              </w:rPr>
              <w:t>Winston-Salem / University</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Pkwy</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NC</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4,266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5,084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5,150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6,281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4"/>
                <w:szCs w:val="14"/>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04/15/1999</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Merrimack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NH</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3,793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754</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3,848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4,665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1,410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Nashua</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NH</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755</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871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Avenel</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1,518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8,037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1,518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8,463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9,981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2,536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12/28/2004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Bayville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3,648</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1,193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5,312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1,193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5,710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6,903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1,767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09/01/2008</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Bellmawr</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4,765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3,675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5,080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8,755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908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Berkeley Heights</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6,887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1,598</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7,553</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1,598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7,750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9,348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12/18/2014</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Burlington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3,846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477</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6,534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6,687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7,164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182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10/07/2015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Cherry Hill / Church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1,057</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6,037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6,044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7,101</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Cherry Hill / Marlton Pike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2,534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2,323</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1,549</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2,323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1,870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4,193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12/18/2014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Cherry Hill / Rockhill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1,960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3,463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3,999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Cranbury</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6,910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3,543</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5,095</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3,543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5,866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9,409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480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12/18/2014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Denville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8,926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14,398</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14,508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15,092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Edison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8,591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8,547</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1,638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2,518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10,186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12,704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3,536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Egg Harbor Township</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3,980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1,724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5,001</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1,724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5,724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7,448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2,315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03/15/2007</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Ewing</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1,552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4,720</w:t>
            </w:r>
          </w:p>
        </w:tc>
        <w:tc>
          <w:tcPr>
            <w:tcW w:w="11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(44)</w:t>
            </w:r>
          </w:p>
        </w:tc>
        <w:tc>
          <w:tcPr>
            <w:tcW w:w="54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(c, d)</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1,562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4,666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6,228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1,136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Fairfield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6,001</w:t>
            </w:r>
          </w:p>
        </w:tc>
        <w:tc>
          <w:tcPr>
            <w:tcW w:w="7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9,402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9,507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9,507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Fort Lee / Bergen Blvd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12,649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4,402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9,831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319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4,402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10,150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14,552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836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Fort Lee / Main St</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2,280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27,409</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2,280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27,442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29,722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03/15/2001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Glen Rock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1,109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2,401</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2,847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4,069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1,048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12/18/2014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Hackensack / Railroad Ave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7,630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2,053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9,882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2,053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9,977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12,030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Hackensack / South River St</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2,283</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11,234</w:t>
            </w:r>
          </w:p>
        </w:tc>
        <w:tc>
          <w:tcPr>
            <w:tcW w:w="180" w:type="dxa"/>
            <w:vAlign w:val="bottom"/>
          </w:tcPr>
          <w:p>
            <w:pPr>
              <w:spacing w:after="0"/>
              <w:rPr>
                <w:sz w:val="12"/>
                <w:szCs w:val="12"/>
                <w:color w:val="auto"/>
              </w:rPr>
            </w:pP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2,283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12,145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14,428</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3,650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08/23/2012</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Hackettstown</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5,879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2,144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6,660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2,144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6,804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8,948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Harrison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3,529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6,003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6,263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6,563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574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Hazlet</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7,580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1,362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10,262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1,781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1,362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12,043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13,405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4,100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07/02/2002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Hoboken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7,765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2,687</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6,092</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2,687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6,416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9,103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2,302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Howell</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3,259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3,407</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3,857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6,297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1,559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Iselin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4,696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4,524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505</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5,108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5,613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2,048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Jersey City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8,050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16,342</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8,050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16,455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24,505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Lawnside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1,249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5,613</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1,249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5,897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7,146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Lawrenceville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5,261</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10,230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3,402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10,764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14,166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3,466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Linden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3,673</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1,517</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8,384</w:t>
            </w:r>
          </w:p>
        </w:tc>
        <w:tc>
          <w:tcPr>
            <w:tcW w:w="11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1,517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8,675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10,192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2,440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12/22/2004</w:t>
            </w:r>
          </w:p>
        </w:tc>
        <w:tc>
          <w:tcPr>
            <w:tcW w:w="21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Lumberton</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3,986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831</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4,060</w:t>
            </w:r>
          </w:p>
        </w:tc>
        <w:tc>
          <w:tcPr>
            <w:tcW w:w="11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831</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4,352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5,183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1,395</w:t>
            </w: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03/15/2001</w:t>
            </w:r>
          </w:p>
        </w:tc>
        <w:tc>
          <w:tcPr>
            <w:tcW w:w="2100" w:type="dxa"/>
            <w:vAlign w:val="bottom"/>
            <w:gridSpan w:val="3"/>
          </w:tcPr>
          <w:p>
            <w:pPr>
              <w:ind w:left="120"/>
              <w:spacing w:after="0"/>
              <w:rPr>
                <w:sz w:val="20"/>
                <w:szCs w:val="20"/>
                <w:color w:val="auto"/>
              </w:rPr>
            </w:pPr>
            <w:r>
              <w:rPr>
                <w:rFonts w:ascii="Arial" w:cs="Arial" w:eastAsia="Arial" w:hAnsi="Arial"/>
                <w:sz w:val="14"/>
                <w:szCs w:val="14"/>
                <w:color w:val="auto"/>
              </w:rPr>
              <w:t>Lyndhurst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2,679</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1,032</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2,928</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5,427</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8,355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1,951</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2"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08/23/2012</w:t>
            </w:r>
          </w:p>
        </w:tc>
        <w:tc>
          <w:tcPr>
            <w:tcW w:w="22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Mahwah</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NJ</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7"/>
              </w:rPr>
              <w:t>10,934</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1,890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13,112</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275</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1,890</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13,387</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15,277</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1,225</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12/16/2011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Maple Shade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4,043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1,093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5,492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1,093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5,672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6,765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12/07/2001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Metuchen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5,491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1,153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4,462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4,817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5,970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1,796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08/28/2012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Montville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7,958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1,511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11,749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1,511</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11,879</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13,390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1,054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Morrisville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2,487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7,494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2,202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1,688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10,495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12,183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2,855</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Mt Laurel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2,993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5,217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5,401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5,730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11/02/2006</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Neptune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4,204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8,906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4,204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9,286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13,490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2,297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Newark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7,330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8,340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8,477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9,283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775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Bergen / 83rd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10,002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2,299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12,728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2,299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13,268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15,567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3,768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10/06/2011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 Bergen / Kennedy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861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17,127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17,369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18,230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1,902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07/25/2003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Bergen / River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6,606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6,936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9,036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2,366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North Brunswick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6,128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2,789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4,404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150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2,789</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4,554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7,343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435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12/31/2001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Old Bridge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5,525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2,758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6,450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1,005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2,758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7,455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10,213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2,917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Parlin / Cheesequake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5,273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5,731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5,731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2,418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Parlin / Route 9 North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2,517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4,516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560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2,517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5,076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7,593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1,728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Parsippany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6,322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2,353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7,798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2,354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7,939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10,293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739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06/02/2011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Pennsauken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3,667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1,644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3,115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1,644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3,477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5,121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Riverdale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7,158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14,541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14,562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16,562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12/09/2009</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South Brunswick</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2,915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5,835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5,996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944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Toms River / Route 37 East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4,843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1,790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9,935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10,403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12,193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3,058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Toms River / Route 37 East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10,765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10,779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12,579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Toms River / Route 9</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980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4,717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4,742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5,722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Trenton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2,180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8,007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2,180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8,049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10,229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12/28/2004</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Union / Green Ln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6,222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1,754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6,237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6,661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8,415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2,061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Union / Route 22 West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6,908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1,133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7,239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1,133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7,439</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8,572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Watchung</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6,811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1,843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4,499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1,843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4,741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6,584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405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Albuquerque / Airport Dr NW</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NM</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1,797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1,874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2,629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08/31/2007</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Albuquerque / Calle Cuervo NW</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NM</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4,506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1,298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4,628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1,298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5,298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6,596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1,303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Santa Fe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NM</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5,724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3,066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7,366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3,066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7,797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10,863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Henderson / Racetrack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4,672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6,348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1,470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6,414</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7,884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Henderson / Stephanie Pl</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8,048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2,934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8,897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2,934</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9,167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12,101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Las Vegas / Bonanza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3,984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820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6,716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820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6,778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7,598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Las Vegas / Durango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4,384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1,140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4,434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5,574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06/22/2011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Las Vegas / Jones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1,441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1,810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1,441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1,950</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3,391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Las Vegas / Las Vegas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2,830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6,834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2,830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6,924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9,754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02/22/2000</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Las Vegas / N Lamont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1,144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1,229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1,507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610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Las Vegas / North Lamb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2,601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3,900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3,918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4,197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Las Vegas / Pecos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1,420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5,900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1,420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5,965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7,385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Las Vegas / Rancho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5,899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5,952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6,542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Las Vegas / W Charleston Blvd</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NV</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550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1,319</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550</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1,389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1,939</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2"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0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0"/>
              </w:rPr>
              <w:t>improvements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Las Vegas / W Sahara Ave</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NV</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4,321</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773</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6,006</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182</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773</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6,188</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6,961</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Las Vegas / W Tropicana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4,222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4,936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5,022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5,422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425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Las Vegas</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1,260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4,589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4,648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5,908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Ballston Spa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9,941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9,963</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10,853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12/19/2007</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Bohemia</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1,456</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1,398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1,456</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1,792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3,248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Bronx / Edson Av</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17,369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3,450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21,210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3,450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21,632</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25,082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2,320</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Bronx / Fordham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9,289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3,995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11,870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3,995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12,668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16,663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3,948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10/02/2008</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Brooklyn / 3rd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19,087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12,993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10,405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12,993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10,791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23,784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2,108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Brooklyn / 64th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21,188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16,188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23,309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16,257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23,587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39,844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2,146</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05/21/2010</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Brooklyn / Atlantic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7,790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2,802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6,536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2,802</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6,818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9,620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12/11/2014</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Brooklyn / Avenue M</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12,085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7,665</w:t>
            </w:r>
          </w:p>
        </w:tc>
        <w:tc>
          <w:tcPr>
            <w:tcW w:w="1140" w:type="dxa"/>
            <w:vAlign w:val="bottom"/>
            <w:gridSpan w:val="2"/>
            <w:shd w:val="clear" w:color="auto" w:fill="CCEEFF"/>
          </w:tcPr>
          <w:p>
            <w:pPr>
              <w:ind w:left="74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12,085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7,665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19,750</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10/02/2008</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Centereach</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4,073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2,226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1,657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2,226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1,879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4,105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08/10/2012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Central Valley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12,173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2,800</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12,648</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15,448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1,182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11/23/2010</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Freeport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5,676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3,784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5,676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4,676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10,352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844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Hauppauge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5,482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1,238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7,095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1,238</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7,447</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8,685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Hicksville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8,633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2,581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10,677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2,581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10,765</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13,346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966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Kingston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4,789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6,199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6,330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7,167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11/26/2002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w w:val="97"/>
              </w:rPr>
              <w:t>Mt Vernon / N Mac Questen Pkwy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7,950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1,926</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7,622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977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1,926</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8,599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10,525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2,946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Mt Vernon / Northwest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1,585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6,025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2,838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1,585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8,863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10,448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2,679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02/07/2002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Nanuet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3,588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2,072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4,644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2,738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5,701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8,439</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2,094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New Paltz</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2,059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3,715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2,059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4,184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6,243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1,367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New York</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7"/>
              </w:rPr>
              <w:t>18,346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16,978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3,060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17,757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20,817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5,088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12/04/2000</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Plainview</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7,475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4,287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3,710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4,287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4,444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8,731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1,889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07/18/2012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Poughkeepsie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5,879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1,038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1,038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7,997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9,035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736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Ridge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6,050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1,762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6,934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1,762</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6,993</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8,755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Cincinnati / Glencrossing Way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1,941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1,217</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2,126</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3,343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283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Cincinnati / Glendale-Milford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4,444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1,815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5,733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1,815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6,005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7,820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Cincinnati / Hamilton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2,941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2,177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2,941</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2,449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5,390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Cincinnati / Wooster Pk</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5,349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1,445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3,755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1,445</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4,024</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Columbus / Innis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2,654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3,357</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3,840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1,181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Columbus / Kenny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1,227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5,057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1,227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5,135</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6,362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Fairfield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3,769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904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3,856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904</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4,158</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Greenville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189</w:t>
            </w: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Hamilton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2,910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673</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3,049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3,722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389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Hilliard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2,021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1,613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2,369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1,613</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2,610</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4,223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Kent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220</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1,471</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1,691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Lebanon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4,039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1,657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1,566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1,657</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1,906</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3,563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20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Mentor / Heisley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1,226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658</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1,267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658</w:t>
            </w:r>
          </w:p>
        </w:tc>
        <w:tc>
          <w:tcPr>
            <w:tcW w:w="12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1,599</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2,257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0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Mentor / Mentor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1,254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409</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1,609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409</w:t>
            </w:r>
          </w:p>
        </w:tc>
        <w:tc>
          <w:tcPr>
            <w:tcW w:w="12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1,762</w:t>
            </w: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2,171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88"/>
              </w:rPr>
              <w:t>06/27/2011</w:t>
            </w:r>
          </w:p>
        </w:tc>
        <w:tc>
          <w:tcPr>
            <w:tcW w:w="2200" w:type="dxa"/>
            <w:vAlign w:val="bottom"/>
            <w:gridSpan w:val="3"/>
          </w:tcPr>
          <w:p>
            <w:pPr>
              <w:ind w:left="120"/>
              <w:spacing w:after="0"/>
              <w:rPr>
                <w:sz w:val="20"/>
                <w:szCs w:val="20"/>
                <w:color w:val="auto"/>
              </w:rPr>
            </w:pPr>
            <w:r>
              <w:rPr>
                <w:rFonts w:ascii="Arial" w:cs="Arial" w:eastAsia="Arial" w:hAnsi="Arial"/>
                <w:sz w:val="14"/>
                <w:szCs w:val="14"/>
                <w:color w:val="auto"/>
              </w:rPr>
              <w:t>Middletown</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OH</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1,223</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534</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1,047</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533</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1,164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1,697</w:t>
            </w:r>
          </w:p>
        </w:tc>
        <w:tc>
          <w:tcPr>
            <w:tcW w:w="740" w:type="dxa"/>
            <w:vAlign w:val="bottom"/>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2"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 and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9"/>
              </w:rPr>
              <w:t>Land</w:t>
            </w: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0"/>
              </w:rPr>
              <w:t>improvements</w:t>
            </w:r>
          </w:p>
        </w:tc>
        <w:tc>
          <w:tcPr>
            <w:tcW w:w="112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2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85"/>
              </w:rPr>
              <w:t>State</w:t>
            </w:r>
          </w:p>
        </w:tc>
        <w:tc>
          <w:tcPr>
            <w:tcW w:w="540" w:type="dxa"/>
            <w:vAlign w:val="bottom"/>
            <w:gridSpan w:val="2"/>
          </w:tcPr>
          <w:p>
            <w:pPr>
              <w:ind w:left="4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00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7"/>
              </w:rPr>
              <w:t>initial cost</w:t>
            </w:r>
          </w:p>
        </w:tc>
        <w:tc>
          <w:tcPr>
            <w:tcW w:w="112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3"/>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06/27/2011</w:t>
            </w:r>
          </w:p>
        </w:tc>
        <w:tc>
          <w:tcPr>
            <w:tcW w:w="22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Sidney</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OH</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201</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201</w:t>
            </w: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343</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544</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Troy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273</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544</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273</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671</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Washington Court House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197</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499</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197</w:t>
            </w:r>
          </w:p>
        </w:tc>
        <w:tc>
          <w:tcPr>
            <w:tcW w:w="1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570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767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Whitehall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726</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1,965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726</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2,080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2,806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Willoughby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1,035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155</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1,811</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155</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1,889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2,044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06/27/2011</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Xenia</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OH</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302</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1,022</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302</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1,086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1,388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153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Aloha / NW 185th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OR</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6,022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1,221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6,262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1,221</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6,560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7,781</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1,942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Aloha / SW 229th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OR</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4,569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2,014</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5,786</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2,014</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5,951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7,965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11/24/2015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Hillsboro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OR</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9,158</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732</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9,174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9,906</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09/15/2009</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King City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OR</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2,957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2,520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6,845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2,520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9,432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1,081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12/28/2004</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Bensalem / Bristol Pike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3,188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1,131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4,525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1,131</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4,848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5,979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1,509</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03/30/2006</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Bensalem / Knights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3,015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3,212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3,962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894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Collegeville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490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6,947</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490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7,050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7,540</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11/15/1999</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Doylestown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3,442</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1,129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521</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4,270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4,791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1,592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Kennedy Township</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2,529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3,173</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736</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3,458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4,194</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1,431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02/06/2004</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Philadelphia / Roosevelt Bl</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5,473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1,965</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5,925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1,237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1,965</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7,162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9,127</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2,372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Philadelphia / Wayne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10,368</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596</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10,412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11,008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1,148</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08/03/2000</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Pittsburgh / E Entry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2,529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1,990</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1,082</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2,823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3,905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1,154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Pittsburgh / Landings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3,936</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3,967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4,367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05/01/2004</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Pittsburgh / Penn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3,730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889</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4,117</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889</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4,753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5,642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1,991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Skippack</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4,552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4,632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5,352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West Mifflin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8,931</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8,999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9,839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01/01/2011</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Willow Grove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PA</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5,058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1,297</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4,027</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1,297</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4,370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5,667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Johnston / Hartford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RI</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2,658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4,799</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2,658</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5,442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8,100</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1,691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12/01/2011</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Johnston / Plainfield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RI</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1,827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2,127</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533</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2,203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2,736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Bluffton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1,010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8,673</w:t>
            </w:r>
          </w:p>
        </w:tc>
        <w:tc>
          <w:tcPr>
            <w:tcW w:w="11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1,010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8,673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9,683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Charleston / Ashley River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5,390</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5,409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5,909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08/26/2004</w:t>
            </w:r>
          </w:p>
        </w:tc>
        <w:tc>
          <w:tcPr>
            <w:tcW w:w="226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Charleston / Glenn McConnell</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Pkwy</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3,416</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1,279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4,171</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272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1,279</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4,443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5,722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1,371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Charleston / Maybank Hwy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5,601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9,364</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9,395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9,995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Charleston / Savannah Hwy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3,794</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3,815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4,185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03/30/2015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Columbia / Clemson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1,483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5,415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1,483</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5,476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6,959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07/19/2012</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Columbia / Decker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3,208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1,784</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2,745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1,784</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2,881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4,665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262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Columbia / Harban Ct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1"/>
              </w:rPr>
              <w:t>2,737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3,312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839</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3,650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4,489</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1,153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Columbia / Percival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2,115</w:t>
            </w:r>
          </w:p>
        </w:tc>
        <w:tc>
          <w:tcPr>
            <w:tcW w:w="11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480</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2,115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2,595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Goose Creek</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1,683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4,372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1,088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1,683</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5,460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7,143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1,594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Greenville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8,467</w:t>
            </w:r>
          </w:p>
        </w:tc>
        <w:tc>
          <w:tcPr>
            <w:tcW w:w="11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8,467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9,087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Lexington / Northpoint Dr</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5,732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5,735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6,515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Lexington / St Peters Church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1,481</w:t>
            </w:r>
          </w:p>
        </w:tc>
        <w:tc>
          <w:tcPr>
            <w:tcW w:w="11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1,481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2,231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2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Mt Pleasant / Bowman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5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1,740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3,094</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1,740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3,163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4,903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10/01/2015</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Mt Pleasant / Hwy 17 N</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SC</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4,702</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2,342</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2,344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6,944</w:t>
            </w: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2"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Building and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Land</w:t>
            </w:r>
          </w:p>
        </w:tc>
        <w:tc>
          <w:tcPr>
            <w:tcW w:w="9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8"/>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4"/>
              </w:rPr>
              <w:t>initial cost</w:t>
            </w:r>
          </w:p>
        </w:tc>
        <w:tc>
          <w:tcPr>
            <w:tcW w:w="9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3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0"/>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Mt Pleasant / Stockade Ln</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SC</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97"/>
              </w:rPr>
              <w:t>14,347</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11,680</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19,626</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10"/>
              <w:spacing w:after="0" w:line="12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11,680</w:t>
            </w: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19,626</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31,306</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Myrtle Beach</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3,921</w:t>
            </w: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510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3,921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4,431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North Charleston</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5,809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8,753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8,772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10,022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03/30/2015</w:t>
            </w:r>
          </w:p>
        </w:tc>
        <w:tc>
          <w:tcPr>
            <w:tcW w:w="216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North Charleston / Dorchester</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60" w:type="dxa"/>
            <w:vAlign w:val="bottom"/>
            <w:gridSpan w:val="3"/>
          </w:tcPr>
          <w:p>
            <w:pPr>
              <w:ind w:left="120"/>
              <w:spacing w:after="0"/>
              <w:rPr>
                <w:sz w:val="20"/>
                <w:szCs w:val="20"/>
                <w:color w:val="auto"/>
              </w:rPr>
            </w:pPr>
            <w:r>
              <w:rPr>
                <w:rFonts w:ascii="Arial" w:cs="Arial" w:eastAsia="Arial" w:hAnsi="Arial"/>
                <w:sz w:val="14"/>
                <w:szCs w:val="14"/>
                <w:color w:val="auto"/>
              </w:rPr>
              <w:t>Road</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SC</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280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5,814</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280</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5,885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6,165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Summerville / Old Trolley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4,454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4,693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5,143</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1,442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12/11/2014</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Taylors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SC</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5,398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1,433</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6,071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1,433</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6,148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7,581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Bartlett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2,346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3,798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3,907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4,539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04/15/2011</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Cordova / Houston Levee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652</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1,791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1,885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2,537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265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w w:val="97"/>
              </w:rPr>
              <w:t>Cordova / N Germantown Pkwy 1</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2,720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852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3,039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3,891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989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w w:val="97"/>
              </w:rPr>
              <w:t>Cordova / N Germantown Pkwy 2</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6,794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8,187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4,628</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8,187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4,708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12,895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1,077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01/05/2007</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Cordova / Patriot Cove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894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2,680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2,841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3,735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Franklin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7,000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3,357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8,984</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3,357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9,179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12,536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778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Knoxville / Ebenezer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7,338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470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13,299</w:t>
            </w:r>
          </w:p>
        </w:tc>
        <w:tc>
          <w:tcPr>
            <w:tcW w:w="11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13,299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13,769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Knoxville / Lovell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5,152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1,360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8,475</w:t>
            </w: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1,360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8,475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9,835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Lenoir City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5,481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10,738</w:t>
            </w:r>
          </w:p>
        </w:tc>
        <w:tc>
          <w:tcPr>
            <w:tcW w:w="114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850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10,738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11,588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Memphis</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8,893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8,919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9,489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Memphis / Covington Way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1,599</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2,623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2,662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2,936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Memphis / Mt Moriah</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2,518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1,617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2,875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1,617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3,039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4,656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260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Memphis / Mt Moriah Terrace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7,925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2,928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1,313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3,202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4,515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Memphis / Raleigh-LaGrange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972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1,280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1,348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1,458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Memphis / Riverdale Bend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803</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4,635</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4,769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5,572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Memphis / Summer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3,388</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1,040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3,867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1,040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4,039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5,079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04/13/2006</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Nashville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TN</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2,810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2,598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961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3,559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3,949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11/22/2006</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Allen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4,410</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901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5,553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901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5,845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6,746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1,463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Arlington / Debbie Lane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742</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7,072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742</w:t>
            </w:r>
          </w:p>
        </w:tc>
        <w:tc>
          <w:tcPr>
            <w:tcW w:w="1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7,110</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7,852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Arlington / E Pioneer Pkwy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534</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2,525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534</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2,992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3,526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1,054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Arlington / Randol Mill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630</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5,214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5,236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5,866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Arlington / US 287 Frontage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2,674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5,340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5,532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6,099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Arlington / Watson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698</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3,862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247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698</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4,109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4,807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01/13/2015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Austin / 1st Street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807</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7,689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807</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7,859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8,666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197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01/13/2015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Austin / Brodie Lane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5,717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1,155</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8,552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1,155</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8,737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9,892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Austin / Burnet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8,893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870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4,832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5,702</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1,542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01/13/2015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Austin / Capital of Texas Hwy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10,117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13,248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10,117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13,404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23,521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Austin / McNeil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3,411</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4,502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3,411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4,578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7,989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613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08/08/2014</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Austin / North Lamar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5,041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1,047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9,969</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10,126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11,173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04/14/2015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Baytown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6,586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619</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7,916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8,535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Coppell / Belt Line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4,295</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724</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5,743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5,949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6,673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Coppell / Denton Tap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2,270</w:t>
            </w:r>
          </w:p>
        </w:tc>
        <w:tc>
          <w:tcPr>
            <w:tcW w:w="9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9,333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2,270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9,349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11,619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Dallas / Clark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5,011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1,837</w:t>
            </w:r>
          </w:p>
        </w:tc>
        <w:tc>
          <w:tcPr>
            <w:tcW w:w="9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8,426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1,837</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8,816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10,653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08/26/2004</w:t>
            </w:r>
          </w:p>
        </w:tc>
        <w:tc>
          <w:tcPr>
            <w:tcW w:w="2160" w:type="dxa"/>
            <w:vAlign w:val="bottom"/>
            <w:gridSpan w:val="3"/>
          </w:tcPr>
          <w:p>
            <w:pPr>
              <w:ind w:left="120"/>
              <w:spacing w:after="0"/>
              <w:rPr>
                <w:sz w:val="20"/>
                <w:szCs w:val="20"/>
                <w:color w:val="auto"/>
              </w:rPr>
            </w:pPr>
            <w:r>
              <w:rPr>
                <w:rFonts w:ascii="Arial" w:cs="Arial" w:eastAsia="Arial" w:hAnsi="Arial"/>
                <w:sz w:val="14"/>
                <w:szCs w:val="14"/>
                <w:color w:val="auto"/>
              </w:rPr>
              <w:t>Dallas / E Northwest Hwy</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4,432</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6,181</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1,199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4,432</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7,380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11,812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2,261</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2"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 and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9"/>
              </w:rPr>
              <w:t>Land</w:t>
            </w: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0"/>
              </w:rPr>
              <w:t>improvements</w:t>
            </w:r>
          </w:p>
        </w:tc>
        <w:tc>
          <w:tcPr>
            <w:tcW w:w="112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8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18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85"/>
              </w:rPr>
              <w:t>State</w:t>
            </w:r>
          </w:p>
        </w:tc>
        <w:tc>
          <w:tcPr>
            <w:tcW w:w="62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Debt</w:t>
            </w:r>
          </w:p>
        </w:tc>
        <w:tc>
          <w:tcPr>
            <w:tcW w:w="7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7"/>
              </w:rPr>
              <w:t>initial cost</w:t>
            </w:r>
          </w:p>
        </w:tc>
        <w:tc>
          <w:tcPr>
            <w:tcW w:w="100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7"/>
              </w:rPr>
              <w:t>initial cost</w:t>
            </w:r>
          </w:p>
        </w:tc>
        <w:tc>
          <w:tcPr>
            <w:tcW w:w="112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w w:val="92"/>
              </w:rPr>
              <w:t>to acquisition</w:t>
            </w:r>
          </w:p>
        </w:tc>
        <w:tc>
          <w:tcPr>
            <w:tcW w:w="4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Land</w:t>
            </w:r>
          </w:p>
        </w:tc>
        <w:tc>
          <w:tcPr>
            <w:tcW w:w="128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3"/>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04/13/2006</w:t>
            </w:r>
          </w:p>
        </w:tc>
        <w:tc>
          <w:tcPr>
            <w:tcW w:w="218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Dallas / Garland Rd</w:t>
            </w:r>
          </w:p>
        </w:tc>
        <w:tc>
          <w:tcPr>
            <w:tcW w:w="3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TX</w:t>
            </w: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1,974</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337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2,216</w:t>
            </w: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638</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337</w:t>
            </w: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2,854</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3,191</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947</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Dallas / Haskell Ave</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275</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11,183</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275</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11,438</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11,713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05/04/2006</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Dallas / Inwood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11,106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1,980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12,501</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1,979</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13,009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14,988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3,364</w:t>
            </w:r>
          </w:p>
        </w:tc>
      </w:tr>
      <w:tr>
        <w:trPr>
          <w:trHeight w:val="127"/>
        </w:trPr>
        <w:tc>
          <w:tcPr>
            <w:tcW w:w="880" w:type="dxa"/>
            <w:vAlign w:val="bottom"/>
          </w:tcPr>
          <w:p>
            <w:pPr>
              <w:jc w:val="center"/>
              <w:spacing w:after="0" w:line="127"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27" w:lineRule="exact"/>
              <w:rPr>
                <w:sz w:val="20"/>
                <w:szCs w:val="20"/>
                <w:color w:val="auto"/>
              </w:rPr>
            </w:pPr>
            <w:r>
              <w:rPr>
                <w:rFonts w:ascii="Arial" w:cs="Arial" w:eastAsia="Arial" w:hAnsi="Arial"/>
                <w:sz w:val="14"/>
                <w:szCs w:val="14"/>
                <w:color w:val="auto"/>
              </w:rPr>
              <w:t>Dallas / Lyndon B Johnson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880" w:type="dxa"/>
            <w:vAlign w:val="bottom"/>
          </w:tcPr>
          <w:p>
            <w:pPr>
              <w:spacing w:after="0"/>
              <w:rPr>
                <w:sz w:val="14"/>
                <w:szCs w:val="14"/>
                <w:color w:val="auto"/>
              </w:rPr>
            </w:pPr>
          </w:p>
        </w:tc>
        <w:tc>
          <w:tcPr>
            <w:tcW w:w="2180" w:type="dxa"/>
            <w:vAlign w:val="bottom"/>
            <w:gridSpan w:val="3"/>
          </w:tcPr>
          <w:p>
            <w:pPr>
              <w:ind w:left="120"/>
              <w:spacing w:after="0"/>
              <w:rPr>
                <w:sz w:val="20"/>
                <w:szCs w:val="20"/>
                <w:color w:val="auto"/>
              </w:rPr>
            </w:pPr>
            <w:r>
              <w:rPr>
                <w:rFonts w:ascii="Arial" w:cs="Arial" w:eastAsia="Arial" w:hAnsi="Arial"/>
                <w:sz w:val="14"/>
                <w:szCs w:val="14"/>
                <w:color w:val="auto"/>
              </w:rPr>
              <w:t>Freeway</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4,615</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1,729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7,876</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427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1,729</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8,303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10,032</w:t>
            </w:r>
          </w:p>
        </w:tc>
        <w:tc>
          <w:tcPr>
            <w:tcW w:w="74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4"/>
                <w:szCs w:val="14"/>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Dallas / N Central Expressway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17,137</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13,392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15,019</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13,392</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15,075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28,467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1,250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Dallas / Preston Rd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5,082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7,656</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921</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7,775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8,696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719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08/10/2012</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Dallas / Preston Rd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3,806</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2,542</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3,274</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2,542</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3,543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6,085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Dallas / Shiloh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3,293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7,104</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781</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7,391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8,172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138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Dallas / W Northwest Hwy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6,547</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1,320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6,581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7,901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Dallas / Walton Walker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2,904</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5,970</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547</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6,264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6,811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116</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DeSoto</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5,404</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8,298</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821</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8,521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9,342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Duncanville / E Hwy 67</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4,053</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1,328</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4,997</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1,328</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5,231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6,559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Duncanville / E Wheatland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7,062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793</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7,293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8,086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El Paso / Desert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3,207</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890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3,231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4,121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El Paso / Dyer St</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5,034</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5,055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6,565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El Paso / Joe Battle Blvd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1,010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5,238</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1,010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5,274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6,284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El Paso / Joe Battle Blvd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2,775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2,803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3,653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El Paso / Woodrow Bean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420</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1,752</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1,763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2,183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05/08/2013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Euless / Mid-Cities Blvd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4,342</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1,374</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5,636</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1,374</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5,761</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7,135</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04/01/2011</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Euless / W Euless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2,845</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3,213</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704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671</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3,917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4,588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642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12/09/2013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Fort Worth / Mandy Lane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2,093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2,033</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2,495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2,033</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2,638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4,671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Fort Worth / W Rosedale St</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4,236</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5,794</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390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630</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6,185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6,815</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1,908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w w:val="98"/>
              </w:rPr>
              <w:t>Fort Worth / White Settlement Rd</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3,663</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3,158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2,512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3,158</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2,593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5,751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Garland / Beltline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3,319</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1,424</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2,209</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1,424</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2,408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3,832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Garland / Texas 66</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4,598</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991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6,999</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991</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7,187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8,178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Grand Prairie / N Hwy 360 1</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2,437</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551</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2,330</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551</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2,756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3,307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888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08/10/2012</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Grand Prairie / N Hwy 360 2</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3,121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2,327</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1,551</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2,327</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1,729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4,056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11/13/2015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Houston / 3535 Katy Freeway</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6,643</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7,551</w:t>
            </w:r>
          </w:p>
        </w:tc>
        <w:tc>
          <w:tcPr>
            <w:tcW w:w="11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6,643</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7,551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14,194</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02/05/2014</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Houston / Katy Fwy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1,767</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12,368</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1,767</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12,416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14,183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12/14/2010</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Houston / Ryewater Dr</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402</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1,870</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402</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2,089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2,491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327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Houston / Senate Ave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5,235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5,238</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6,748</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Houston / South Main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2,017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4,181</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2,017</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4,306</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6,323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636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04/13/2006</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Houston / Southwest Freeway</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8,661</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2,596</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8,735</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2,596</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9,154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11,750</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2,394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02/29/2012</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Houston / Space Center Blvd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5,652</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1,036</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8,133</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1,036</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8,237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9,273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847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Irving / N State Hwy 161</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951</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5,842</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951</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6,037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6,988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110</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Irving / Story Rd</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585</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5,445</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177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585</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5,622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6,207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Kemah</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7"/>
              </w:rPr>
              <w:t>12,220</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2,720</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26,547</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2,720</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26,559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29,279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11/04/2013</w:t>
            </w:r>
          </w:p>
        </w:tc>
        <w:tc>
          <w:tcPr>
            <w:tcW w:w="21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Killeen</w:t>
            </w:r>
          </w:p>
        </w:tc>
        <w:tc>
          <w:tcPr>
            <w:tcW w:w="4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2,601</w:t>
            </w: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1,207</w:t>
            </w:r>
          </w:p>
        </w:tc>
        <w:tc>
          <w:tcPr>
            <w:tcW w:w="10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1,688</w:t>
            </w:r>
          </w:p>
        </w:tc>
        <w:tc>
          <w:tcPr>
            <w:tcW w:w="112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1,207</w:t>
            </w:r>
          </w:p>
        </w:tc>
        <w:tc>
          <w:tcPr>
            <w:tcW w:w="12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2,049</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3,256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12/14/2010</w:t>
            </w:r>
          </w:p>
        </w:tc>
        <w:tc>
          <w:tcPr>
            <w:tcW w:w="218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La Porte</w:t>
            </w:r>
          </w:p>
        </w:tc>
        <w:tc>
          <w:tcPr>
            <w:tcW w:w="4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1,608</w:t>
            </w:r>
          </w:p>
        </w:tc>
        <w:tc>
          <w:tcPr>
            <w:tcW w:w="10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2,351</w:t>
            </w:r>
          </w:p>
        </w:tc>
        <w:tc>
          <w:tcPr>
            <w:tcW w:w="11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1,608</w:t>
            </w:r>
          </w:p>
        </w:tc>
        <w:tc>
          <w:tcPr>
            <w:tcW w:w="12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2,675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4,283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04/15/2015</w:t>
            </w:r>
          </w:p>
        </w:tc>
        <w:tc>
          <w:tcPr>
            <w:tcW w:w="2180" w:type="dxa"/>
            <w:vAlign w:val="bottom"/>
            <w:gridSpan w:val="3"/>
          </w:tcPr>
          <w:p>
            <w:pPr>
              <w:ind w:left="120"/>
              <w:spacing w:after="0"/>
              <w:rPr>
                <w:sz w:val="20"/>
                <w:szCs w:val="20"/>
                <w:color w:val="auto"/>
              </w:rPr>
            </w:pPr>
            <w:r>
              <w:rPr>
                <w:rFonts w:ascii="Arial" w:cs="Arial" w:eastAsia="Arial" w:hAnsi="Arial"/>
                <w:sz w:val="14"/>
                <w:szCs w:val="14"/>
                <w:color w:val="auto"/>
              </w:rPr>
              <w:t>Lewisville</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5,029</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2,665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6,399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219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2,665</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6,618</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9,283</w:t>
            </w: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2"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Building and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Adjustments and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Gross carrying amount at December 31, 2015</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320"/>
              <w:spacing w:after="0" w:line="139" w:lineRule="exact"/>
              <w:rPr>
                <w:sz w:val="20"/>
                <w:szCs w:val="20"/>
                <w:color w:val="auto"/>
              </w:rPr>
            </w:pPr>
            <w:r>
              <w:rPr>
                <w:rFonts w:ascii="Arial" w:cs="Arial" w:eastAsia="Arial" w:hAnsi="Arial"/>
                <w:sz w:val="14"/>
                <w:szCs w:val="14"/>
                <w:color w:val="auto"/>
              </w:rPr>
              <w:t>Land</w:t>
            </w:r>
          </w:p>
        </w:tc>
        <w:tc>
          <w:tcPr>
            <w:tcW w:w="1000" w:type="dxa"/>
            <w:vAlign w:val="bottom"/>
            <w:gridSpan w:val="2"/>
          </w:tcPr>
          <w:p>
            <w:pPr>
              <w:jc w:val="center"/>
              <w:ind w:right="160"/>
              <w:spacing w:after="0" w:line="139" w:lineRule="exact"/>
              <w:rPr>
                <w:sz w:val="20"/>
                <w:szCs w:val="20"/>
                <w:color w:val="auto"/>
              </w:rPr>
            </w:pPr>
            <w:r>
              <w:rPr>
                <w:rFonts w:ascii="Arial" w:cs="Arial" w:eastAsia="Arial" w:hAnsi="Arial"/>
                <w:sz w:val="14"/>
                <w:szCs w:val="14"/>
                <w:color w:val="auto"/>
                <w:w w:val="90"/>
              </w:rPr>
              <w:t>improvements</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6"/>
              </w:rPr>
              <w:t>costs subsequent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5"/>
              </w:rPr>
              <w:t>Building and</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39" w:lineRule="exact"/>
              <w:rPr>
                <w:sz w:val="20"/>
                <w:szCs w:val="20"/>
                <w:color w:val="auto"/>
              </w:rPr>
            </w:pPr>
            <w:r>
              <w:rPr>
                <w:rFonts w:ascii="Arial" w:cs="Arial" w:eastAsia="Arial" w:hAnsi="Arial"/>
                <w:sz w:val="14"/>
                <w:szCs w:val="14"/>
                <w:color w:val="auto"/>
                <w:w w:val="8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060" w:type="dxa"/>
            <w:vAlign w:val="bottom"/>
            <w:gridSpan w:val="3"/>
          </w:tcPr>
          <w:p>
            <w:pPr>
              <w:ind w:left="120"/>
              <w:spacing w:after="0" w:line="125" w:lineRule="exact"/>
              <w:rPr>
                <w:sz w:val="20"/>
                <w:szCs w:val="20"/>
                <w:color w:val="auto"/>
              </w:rPr>
            </w:pPr>
            <w:r>
              <w:rPr>
                <w:rFonts w:ascii="Arial" w:cs="Arial" w:eastAsia="Arial" w:hAnsi="Arial"/>
                <w:sz w:val="14"/>
                <w:szCs w:val="14"/>
                <w:color w:val="auto"/>
              </w:rPr>
              <w:t>Store Name</w:t>
            </w:r>
          </w:p>
        </w:tc>
        <w:tc>
          <w:tcPr>
            <w:tcW w:w="48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79"/>
              </w:rPr>
              <w:t>State</w:t>
            </w:r>
          </w:p>
        </w:tc>
        <w:tc>
          <w:tcPr>
            <w:tcW w:w="620" w:type="dxa"/>
            <w:vAlign w:val="bottom"/>
            <w:gridSpan w:val="2"/>
          </w:tcPr>
          <w:p>
            <w:pPr>
              <w:jc w:val="right"/>
              <w:ind w:right="280"/>
              <w:spacing w:after="0" w:line="125" w:lineRule="exact"/>
              <w:rPr>
                <w:sz w:val="20"/>
                <w:szCs w:val="20"/>
                <w:color w:val="auto"/>
              </w:rPr>
            </w:pPr>
            <w:r>
              <w:rPr>
                <w:rFonts w:ascii="Arial" w:cs="Arial" w:eastAsia="Arial" w:hAnsi="Arial"/>
                <w:sz w:val="14"/>
                <w:szCs w:val="14"/>
                <w:color w:val="auto"/>
              </w:rPr>
              <w:t>Debt</w:t>
            </w:r>
          </w:p>
        </w:tc>
        <w:tc>
          <w:tcPr>
            <w:tcW w:w="760" w:type="dxa"/>
            <w:vAlign w:val="bottom"/>
            <w:gridSpan w:val="2"/>
          </w:tcPr>
          <w:p>
            <w:pPr>
              <w:jc w:val="right"/>
              <w:ind w:right="180"/>
              <w:spacing w:after="0" w:line="125" w:lineRule="exact"/>
              <w:rPr>
                <w:sz w:val="20"/>
                <w:szCs w:val="20"/>
                <w:color w:val="auto"/>
              </w:rPr>
            </w:pPr>
            <w:r>
              <w:rPr>
                <w:rFonts w:ascii="Arial" w:cs="Arial" w:eastAsia="Arial" w:hAnsi="Arial"/>
                <w:sz w:val="14"/>
                <w:szCs w:val="14"/>
                <w:color w:val="auto"/>
                <w:w w:val="91"/>
              </w:rPr>
              <w:t>initial cost</w:t>
            </w: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4"/>
              </w:rPr>
              <w:t>initial cost</w:t>
            </w: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2"/>
              </w:rPr>
              <w:t>to acquisition</w:t>
            </w:r>
          </w:p>
        </w:tc>
        <w:tc>
          <w:tcPr>
            <w:tcW w:w="540" w:type="dxa"/>
            <w:vAlign w:val="bottom"/>
            <w:gridSpan w:val="2"/>
          </w:tcPr>
          <w:p>
            <w:pPr>
              <w:spacing w:after="0" w:line="125" w:lineRule="exact"/>
              <w:rPr>
                <w:sz w:val="20"/>
                <w:szCs w:val="20"/>
                <w:color w:val="auto"/>
              </w:rPr>
            </w:pPr>
            <w:r>
              <w:rPr>
                <w:rFonts w:ascii="Arial" w:cs="Arial" w:eastAsia="Arial" w:hAnsi="Arial"/>
                <w:sz w:val="14"/>
                <w:szCs w:val="14"/>
                <w:color w:val="auto"/>
              </w:rPr>
              <w:t>Notes</w:t>
            </w:r>
          </w:p>
        </w:tc>
        <w:tc>
          <w:tcPr>
            <w:tcW w:w="90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Land</w:t>
            </w:r>
          </w:p>
        </w:tc>
        <w:tc>
          <w:tcPr>
            <w:tcW w:w="1300" w:type="dxa"/>
            <w:vAlign w:val="bottom"/>
            <w:gridSpan w:val="2"/>
          </w:tcPr>
          <w:p>
            <w:pPr>
              <w:jc w:val="center"/>
              <w:ind w:right="180"/>
              <w:spacing w:after="0" w:line="125" w:lineRule="exact"/>
              <w:rPr>
                <w:sz w:val="20"/>
                <w:szCs w:val="20"/>
                <w:color w:val="auto"/>
              </w:rPr>
            </w:pPr>
            <w:r>
              <w:rPr>
                <w:rFonts w:ascii="Arial" w:cs="Arial" w:eastAsia="Arial" w:hAnsi="Arial"/>
                <w:sz w:val="14"/>
                <w:szCs w:val="14"/>
                <w:color w:val="auto"/>
                <w:w w:val="90"/>
              </w:rPr>
              <w:t>improvements</w:t>
            </w:r>
          </w:p>
        </w:tc>
        <w:tc>
          <w:tcPr>
            <w:tcW w:w="92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shd w:val="clear" w:color="auto" w:fill="CCEEFF"/>
          </w:tcPr>
          <w:p>
            <w:pPr>
              <w:ind w:left="120"/>
              <w:spacing w:after="0" w:line="125" w:lineRule="exact"/>
              <w:rPr>
                <w:sz w:val="20"/>
                <w:szCs w:val="20"/>
                <w:color w:val="auto"/>
              </w:rPr>
            </w:pPr>
            <w:r>
              <w:rPr>
                <w:rFonts w:ascii="Arial" w:cs="Arial" w:eastAsia="Arial" w:hAnsi="Arial"/>
                <w:sz w:val="14"/>
                <w:szCs w:val="14"/>
                <w:color w:val="auto"/>
              </w:rPr>
              <w:t>Mansfield</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TX</w:t>
            </w: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4,330</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925</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7,411</w:t>
            </w: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ind w:left="500"/>
              <w:spacing w:after="0" w:line="125" w:lineRule="exact"/>
              <w:rPr>
                <w:sz w:val="20"/>
                <w:szCs w:val="20"/>
                <w:color w:val="auto"/>
              </w:rPr>
            </w:pPr>
            <w:r>
              <w:rPr>
                <w:rFonts w:ascii="Arial" w:cs="Arial" w:eastAsia="Arial" w:hAnsi="Arial"/>
                <w:sz w:val="14"/>
                <w:szCs w:val="14"/>
                <w:color w:val="auto"/>
                <w:w w:val="76"/>
              </w:rPr>
              <w:t>925</w:t>
            </w: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7,569</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8,494</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Mesquite</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5,536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1,910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6,580</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1,910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6,705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8,615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Midland / Andrews Hwy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1,430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8,353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1,430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8,376</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9,806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Midland / Loop 250 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1,320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10,291</w:t>
            </w: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1,320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10,291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11,611</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Pearland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5,691</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3,400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7,812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3,400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7,814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11,214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Plano / 14th Street</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5,354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1,681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7,606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1,681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7,821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9,502</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Plano / K Ave 1</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5,445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1,631</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8,498</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425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1,631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8,923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10,554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04/15/2015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Plano / K Ave 2</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4,124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1,298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5,293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1,298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5,442</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6,740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11/22/2006</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Plano / Plano Parkway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5,049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1,010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6,203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1,010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7,715</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1,664</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11/22/2006</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Plano / Spring Creek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4,386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614</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3,775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613</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4,121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4,734</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1,053</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Plano / Wagner Way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2,753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4,353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2,753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4,484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7,237</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08/10/2006</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Rowlett</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2,092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1,002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2,601</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1,003</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2,945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3,948</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806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Antonio / Culebra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2,279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1,269</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1,816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1,270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2,529</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3,799</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12/14/2007</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Antonio / DeZavala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6,194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2,471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3,556</w:t>
            </w:r>
          </w:p>
        </w:tc>
        <w:tc>
          <w:tcPr>
            <w:tcW w:w="11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(172)</w:t>
            </w:r>
          </w:p>
        </w:tc>
        <w:tc>
          <w:tcPr>
            <w:tcW w:w="54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(e)</w:t>
            </w: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2,471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3,384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5,855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789</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10/23/2015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 Antonio / San Pedro Ave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7,560</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1,140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7,567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8,707</w:t>
            </w:r>
          </w:p>
        </w:tc>
        <w:tc>
          <w:tcPr>
            <w:tcW w:w="8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 Antonio / Westchase Dr</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2,405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253</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1,496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253</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1,734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1,987</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572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Seabrook</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1,910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8,564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1,910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8,584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10,494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04/13/2006</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South Houston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2,955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478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4,069</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824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478</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4,893</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5,371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1,449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Spring / I-45 North</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3,208</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506</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5,096</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226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506</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5,322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5,828</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511</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08/02/2011</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Spring / Treaschwig Rd</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1,897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978</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1,347</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244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979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1,590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2,569</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02/24/2015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The Woodlands</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7,744</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1,511</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11,861</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1,511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12,063</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13,574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04/08/2015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Trenton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2,375</w:t>
            </w:r>
          </w:p>
        </w:tc>
        <w:tc>
          <w:tcPr>
            <w:tcW w:w="114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2,375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2,375</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Weatherford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TX</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5,932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5,944</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6,574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10/20/2010</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East Millcreek</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2,925</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986</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3,455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165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986</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3,620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4,606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11/23/2010</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Murray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3,709</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571</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986</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2,139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571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3,125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3,696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04/01/2011</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Orem</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1,981</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841</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2,335</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841</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2,525</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3,366</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06/01/2004</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Salt Lake City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3,383</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642</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2,607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393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642</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3,000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3,642</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Sandy / South 700 East 1</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5,229</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1,349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4,372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552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1,349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4,924</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6,273</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1,467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09/28/2012</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Sandy / South 700 East 2</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8,867</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2,063</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5,202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1,498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2,063</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6,700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8,763</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11/23/2010</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West Jordan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2,034</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735</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2,146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422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735</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2,568</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3,303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406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West Valley City</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UT</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2,665</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461</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1,722</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193</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461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1,915</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2,376</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Alexandria / N Henry St</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3"/>
              </w:rPr>
              <w:t>14,752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5,029</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18,943</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5,029</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18,997</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24,026</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1,698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06/06/2007</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Alexandria / S Dove St</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1,620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13,103</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604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1,620</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13,707</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15,327</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3,393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10/20/2010</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Arlington</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4,802</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889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5,691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5,691</w:t>
            </w: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2,198</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11/01/2013</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Burke</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11,534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7,347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55</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11,534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7,402</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18,936</w:t>
            </w: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1,303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Chantilly</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6,230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1,100</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10,606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1,100</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10,670</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11,770</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Chesapeake / Bruce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1,074</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9,464</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1,074</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9,580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10,654</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06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Chesapeake / Military Hwy</w:t>
            </w:r>
          </w:p>
        </w:tc>
        <w:tc>
          <w:tcPr>
            <w:tcW w:w="4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2,507</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332</w:t>
            </w:r>
          </w:p>
        </w:tc>
        <w:tc>
          <w:tcPr>
            <w:tcW w:w="10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4,106</w:t>
            </w:r>
          </w:p>
        </w:tc>
        <w:tc>
          <w:tcPr>
            <w:tcW w:w="11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115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332</w:t>
            </w:r>
          </w:p>
        </w:tc>
        <w:tc>
          <w:tcPr>
            <w:tcW w:w="13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4,221</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4,553</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221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060" w:type="dxa"/>
            <w:vAlign w:val="bottom"/>
            <w:gridSpan w:val="3"/>
            <w:shd w:val="clear" w:color="auto" w:fill="CCEEFF"/>
          </w:tcPr>
          <w:p>
            <w:pPr>
              <w:ind w:left="120"/>
              <w:spacing w:after="0" w:line="145" w:lineRule="exact"/>
              <w:rPr>
                <w:sz w:val="20"/>
                <w:szCs w:val="20"/>
                <w:color w:val="auto"/>
              </w:rPr>
            </w:pPr>
            <w:r>
              <w:rPr>
                <w:rFonts w:ascii="Arial" w:cs="Arial" w:eastAsia="Arial" w:hAnsi="Arial"/>
                <w:sz w:val="14"/>
                <w:szCs w:val="14"/>
                <w:color w:val="auto"/>
              </w:rPr>
              <w:t>Chesapeake / Poplar Hill Rd</w:t>
            </w:r>
          </w:p>
        </w:tc>
        <w:tc>
          <w:tcPr>
            <w:tcW w:w="4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VA</w:t>
            </w:r>
          </w:p>
        </w:tc>
        <w:tc>
          <w:tcPr>
            <w:tcW w:w="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5,964</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540</w:t>
            </w:r>
          </w:p>
        </w:tc>
        <w:tc>
          <w:tcPr>
            <w:tcW w:w="10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9,977</w:t>
            </w:r>
          </w:p>
        </w:tc>
        <w:tc>
          <w:tcPr>
            <w:tcW w:w="11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541</w:t>
            </w:r>
          </w:p>
        </w:tc>
        <w:tc>
          <w:tcPr>
            <w:tcW w:w="13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10,090</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10,631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2"/>
                <w:szCs w:val="12"/>
                <w:color w:val="auto"/>
              </w:rPr>
            </w:pPr>
          </w:p>
        </w:tc>
      </w:tr>
      <w:tr>
        <w:trPr>
          <w:trHeight w:val="179"/>
        </w:trPr>
        <w:tc>
          <w:tcPr>
            <w:tcW w:w="880" w:type="dxa"/>
            <w:vAlign w:val="bottom"/>
          </w:tcPr>
          <w:p>
            <w:pPr>
              <w:jc w:val="center"/>
              <w:spacing w:after="0"/>
              <w:rPr>
                <w:sz w:val="20"/>
                <w:szCs w:val="20"/>
                <w:color w:val="auto"/>
              </w:rPr>
            </w:pPr>
            <w:r>
              <w:rPr>
                <w:rFonts w:ascii="Arial" w:cs="Arial" w:eastAsia="Arial" w:hAnsi="Arial"/>
                <w:sz w:val="14"/>
                <w:szCs w:val="14"/>
                <w:color w:val="auto"/>
                <w:w w:val="91"/>
              </w:rPr>
              <w:t>01/07/2014</w:t>
            </w:r>
          </w:p>
        </w:tc>
        <w:tc>
          <w:tcPr>
            <w:tcW w:w="2060" w:type="dxa"/>
            <w:vAlign w:val="bottom"/>
            <w:gridSpan w:val="3"/>
          </w:tcPr>
          <w:p>
            <w:pPr>
              <w:ind w:left="120"/>
              <w:spacing w:after="0"/>
              <w:rPr>
                <w:sz w:val="20"/>
                <w:szCs w:val="20"/>
                <w:color w:val="auto"/>
              </w:rPr>
            </w:pPr>
            <w:r>
              <w:rPr>
                <w:rFonts w:ascii="Arial" w:cs="Arial" w:eastAsia="Arial" w:hAnsi="Arial"/>
                <w:sz w:val="14"/>
                <w:szCs w:val="14"/>
                <w:color w:val="auto"/>
              </w:rPr>
              <w:t>Chesapeake / Woodlake Dr</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VA</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8,714</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4,014</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14,872</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94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4,014</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14,966</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18,980</w:t>
            </w:r>
          </w:p>
        </w:tc>
        <w:tc>
          <w:tcPr>
            <w:tcW w:w="74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2"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center"/>
              <w:spacing w:after="0"/>
              <w:rPr>
                <w:sz w:val="20"/>
                <w:szCs w:val="20"/>
                <w:color w:val="auto"/>
              </w:rPr>
            </w:pPr>
            <w:r>
              <w:rPr>
                <w:rFonts w:ascii="Arial" w:cs="Arial" w:eastAsia="Arial" w:hAnsi="Arial"/>
                <w:sz w:val="14"/>
                <w:szCs w:val="14"/>
                <w:color w:val="auto"/>
                <w:w w:val="89"/>
              </w:rPr>
              <w:t>Date acquired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Building and</w:t>
            </w:r>
          </w:p>
        </w:tc>
        <w:tc>
          <w:tcPr>
            <w:tcW w:w="1100" w:type="dxa"/>
            <w:vAlign w:val="bottom"/>
            <w:gridSpan w:val="3"/>
          </w:tcPr>
          <w:p>
            <w:pPr>
              <w:spacing w:after="0"/>
              <w:rPr>
                <w:sz w:val="20"/>
                <w:szCs w:val="20"/>
                <w:color w:val="auto"/>
              </w:rPr>
            </w:pPr>
            <w:r>
              <w:rPr>
                <w:rFonts w:ascii="Arial" w:cs="Arial" w:eastAsia="Arial" w:hAnsi="Arial"/>
                <w:sz w:val="14"/>
                <w:szCs w:val="14"/>
                <w:color w:val="auto"/>
              </w:rPr>
              <w:t>Adjustments and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color w:val="auto"/>
                <w:w w:val="90"/>
              </w:rPr>
              <w:t>Gross carrying amount at December 31, 2015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880" w:type="dxa"/>
            <w:vAlign w:val="bottom"/>
          </w:tcPr>
          <w:p>
            <w:pPr>
              <w:jc w:val="center"/>
              <w:spacing w:after="0" w:line="139" w:lineRule="exact"/>
              <w:rPr>
                <w:sz w:val="20"/>
                <w:szCs w:val="20"/>
                <w:color w:val="auto"/>
              </w:rPr>
            </w:pPr>
            <w:r>
              <w:rPr>
                <w:rFonts w:ascii="Arial" w:cs="Arial" w:eastAsia="Arial" w:hAnsi="Arial"/>
                <w:sz w:val="14"/>
                <w:szCs w:val="14"/>
                <w:color w:val="auto"/>
                <w:w w:val="91"/>
              </w:rPr>
              <w:t>or development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w w:val="89"/>
              </w:rPr>
              <w:t>Land</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39" w:lineRule="exact"/>
              <w:rPr>
                <w:sz w:val="20"/>
                <w:szCs w:val="20"/>
                <w:color w:val="auto"/>
              </w:rPr>
            </w:pPr>
            <w:r>
              <w:rPr>
                <w:rFonts w:ascii="Arial" w:cs="Arial" w:eastAsia="Arial" w:hAnsi="Arial"/>
                <w:sz w:val="14"/>
                <w:szCs w:val="14"/>
                <w:color w:val="auto"/>
                <w:w w:val="90"/>
              </w:rPr>
              <w:t>improvements</w:t>
            </w:r>
          </w:p>
        </w:tc>
        <w:tc>
          <w:tcPr>
            <w:tcW w:w="1100" w:type="dxa"/>
            <w:vAlign w:val="bottom"/>
            <w:gridSpan w:val="3"/>
          </w:tcPr>
          <w:p>
            <w:pPr>
              <w:spacing w:after="0" w:line="139" w:lineRule="exact"/>
              <w:rPr>
                <w:sz w:val="20"/>
                <w:szCs w:val="20"/>
                <w:color w:val="auto"/>
              </w:rPr>
            </w:pPr>
            <w:r>
              <w:rPr>
                <w:rFonts w:ascii="Arial" w:cs="Arial" w:eastAsia="Arial" w:hAnsi="Arial"/>
                <w:sz w:val="14"/>
                <w:szCs w:val="14"/>
                <w:color w:val="auto"/>
                <w:w w:val="99"/>
              </w:rPr>
              <w:t>costs subsequent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39" w:lineRule="exact"/>
              <w:rPr>
                <w:sz w:val="20"/>
                <w:szCs w:val="20"/>
                <w:color w:val="auto"/>
              </w:rPr>
            </w:pPr>
            <w:r>
              <w:rPr>
                <w:rFonts w:ascii="Arial" w:cs="Arial" w:eastAsia="Arial" w:hAnsi="Arial"/>
                <w:sz w:val="14"/>
                <w:szCs w:val="14"/>
                <w:color w:val="auto"/>
                <w:w w:val="93"/>
              </w:rPr>
              <w:t>Building and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spacing w:after="0" w:line="139" w:lineRule="exact"/>
              <w:rPr>
                <w:sz w:val="20"/>
                <w:szCs w:val="20"/>
                <w:color w:val="auto"/>
              </w:rPr>
            </w:pPr>
            <w:r>
              <w:rPr>
                <w:rFonts w:ascii="Arial" w:cs="Arial" w:eastAsia="Arial" w:hAnsi="Arial"/>
                <w:sz w:val="14"/>
                <w:szCs w:val="14"/>
                <w:color w:val="auto"/>
                <w:w w:val="98"/>
              </w:rPr>
              <w:t>Accumulated</w:t>
            </w:r>
          </w:p>
        </w:tc>
      </w:tr>
      <w:tr>
        <w:trPr>
          <w:trHeight w:val="145"/>
        </w:trPr>
        <w:tc>
          <w:tcPr>
            <w:tcW w:w="880" w:type="dxa"/>
            <w:vAlign w:val="bottom"/>
          </w:tcPr>
          <w:p>
            <w:pPr>
              <w:jc w:val="center"/>
              <w:spacing w:after="0" w:line="125" w:lineRule="exact"/>
              <w:rPr>
                <w:sz w:val="20"/>
                <w:szCs w:val="20"/>
                <w:color w:val="auto"/>
              </w:rPr>
            </w:pPr>
            <w:r>
              <w:rPr>
                <w:rFonts w:ascii="Arial" w:cs="Arial" w:eastAsia="Arial" w:hAnsi="Arial"/>
                <w:sz w:val="14"/>
                <w:szCs w:val="14"/>
                <w:color w:val="auto"/>
                <w:w w:val="89"/>
              </w:rPr>
              <w:t>completed</w:t>
            </w:r>
          </w:p>
        </w:tc>
        <w:tc>
          <w:tcPr>
            <w:tcW w:w="2300" w:type="dxa"/>
            <w:vAlign w:val="bottom"/>
            <w:gridSpan w:val="3"/>
          </w:tcPr>
          <w:p>
            <w:pPr>
              <w:ind w:left="80"/>
              <w:spacing w:after="0" w:line="125" w:lineRule="exact"/>
              <w:rPr>
                <w:sz w:val="20"/>
                <w:szCs w:val="20"/>
                <w:color w:val="auto"/>
              </w:rPr>
            </w:pPr>
            <w:r>
              <w:rPr>
                <w:rFonts w:ascii="Arial" w:cs="Arial" w:eastAsia="Arial" w:hAnsi="Arial"/>
                <w:sz w:val="14"/>
                <w:szCs w:val="14"/>
                <w:color w:val="auto"/>
              </w:rPr>
              <w:t>Store Name</w:t>
            </w:r>
          </w:p>
        </w:tc>
        <w:tc>
          <w:tcPr>
            <w:tcW w:w="420" w:type="dxa"/>
            <w:vAlign w:val="bottom"/>
            <w:gridSpan w:val="2"/>
          </w:tcPr>
          <w:p>
            <w:pPr>
              <w:jc w:val="right"/>
              <w:ind w:right="140"/>
              <w:spacing w:after="0" w:line="125" w:lineRule="exact"/>
              <w:rPr>
                <w:sz w:val="20"/>
                <w:szCs w:val="20"/>
                <w:color w:val="auto"/>
              </w:rPr>
            </w:pPr>
            <w:r>
              <w:rPr>
                <w:rFonts w:ascii="Arial" w:cs="Arial" w:eastAsia="Arial" w:hAnsi="Arial"/>
                <w:sz w:val="14"/>
                <w:szCs w:val="14"/>
                <w:color w:val="auto"/>
                <w:w w:val="79"/>
              </w:rPr>
              <w:t>State</w:t>
            </w:r>
          </w:p>
        </w:tc>
        <w:tc>
          <w:tcPr>
            <w:tcW w:w="20" w:type="dxa"/>
            <w:vAlign w:val="bottom"/>
          </w:tcPr>
          <w:p>
            <w:pPr>
              <w:spacing w:after="0"/>
              <w:rPr>
                <w:sz w:val="12"/>
                <w:szCs w:val="12"/>
                <w:color w:val="auto"/>
              </w:rPr>
            </w:pPr>
          </w:p>
        </w:tc>
        <w:tc>
          <w:tcPr>
            <w:tcW w:w="780" w:type="dxa"/>
            <w:vAlign w:val="bottom"/>
            <w:gridSpan w:val="3"/>
          </w:tcPr>
          <w:p>
            <w:pPr>
              <w:ind w:left="180"/>
              <w:spacing w:after="0" w:line="125" w:lineRule="exact"/>
              <w:rPr>
                <w:sz w:val="20"/>
                <w:szCs w:val="20"/>
                <w:color w:val="auto"/>
              </w:rPr>
            </w:pPr>
            <w:r>
              <w:rPr>
                <w:rFonts w:ascii="Arial" w:cs="Arial" w:eastAsia="Arial" w:hAnsi="Arial"/>
                <w:sz w:val="14"/>
                <w:szCs w:val="14"/>
                <w:color w:val="auto"/>
              </w:rPr>
              <w:t>Debt</w:t>
            </w:r>
          </w:p>
        </w:tc>
        <w:tc>
          <w:tcPr>
            <w:tcW w:w="720" w:type="dxa"/>
            <w:vAlign w:val="bottom"/>
            <w:gridSpan w:val="2"/>
          </w:tcPr>
          <w:p>
            <w:pPr>
              <w:jc w:val="center"/>
              <w:ind w:right="80"/>
              <w:spacing w:after="0" w:line="125" w:lineRule="exact"/>
              <w:rPr>
                <w:sz w:val="20"/>
                <w:szCs w:val="20"/>
                <w:color w:val="auto"/>
              </w:rPr>
            </w:pPr>
            <w:r>
              <w:rPr>
                <w:rFonts w:ascii="Arial" w:cs="Arial" w:eastAsia="Arial" w:hAnsi="Arial"/>
                <w:sz w:val="14"/>
                <w:szCs w:val="14"/>
                <w:color w:val="auto"/>
                <w:w w:val="97"/>
              </w:rPr>
              <w:t>initial cost</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25" w:lineRule="exact"/>
              <w:rPr>
                <w:sz w:val="20"/>
                <w:szCs w:val="20"/>
                <w:color w:val="auto"/>
              </w:rPr>
            </w:pPr>
            <w:r>
              <w:rPr>
                <w:rFonts w:ascii="Arial" w:cs="Arial" w:eastAsia="Arial" w:hAnsi="Arial"/>
                <w:sz w:val="14"/>
                <w:szCs w:val="14"/>
                <w:color w:val="auto"/>
                <w:w w:val="97"/>
              </w:rPr>
              <w:t>initial cost</w:t>
            </w:r>
          </w:p>
        </w:tc>
        <w:tc>
          <w:tcPr>
            <w:tcW w:w="80" w:type="dxa"/>
            <w:vAlign w:val="bottom"/>
          </w:tcPr>
          <w:p>
            <w:pPr>
              <w:spacing w:after="0"/>
              <w:rPr>
                <w:sz w:val="12"/>
                <w:szCs w:val="12"/>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4"/>
                <w:szCs w:val="14"/>
                <w:color w:val="auto"/>
              </w:rPr>
              <w:t>to acquisition</w:t>
            </w:r>
          </w:p>
        </w:tc>
        <w:tc>
          <w:tcPr>
            <w:tcW w:w="500" w:type="dxa"/>
            <w:vAlign w:val="bottom"/>
            <w:gridSpan w:val="3"/>
          </w:tcPr>
          <w:p>
            <w:pPr>
              <w:jc w:val="right"/>
              <w:ind w:right="130"/>
              <w:spacing w:after="0" w:line="125" w:lineRule="exact"/>
              <w:rPr>
                <w:sz w:val="20"/>
                <w:szCs w:val="20"/>
                <w:color w:val="auto"/>
              </w:rPr>
            </w:pPr>
            <w:r>
              <w:rPr>
                <w:rFonts w:ascii="Arial" w:cs="Arial" w:eastAsia="Arial" w:hAnsi="Arial"/>
                <w:sz w:val="14"/>
                <w:szCs w:val="14"/>
                <w:color w:val="auto"/>
                <w:w w:val="81"/>
              </w:rPr>
              <w:t>Notes</w:t>
            </w:r>
          </w:p>
        </w:tc>
        <w:tc>
          <w:tcPr>
            <w:tcW w:w="760" w:type="dxa"/>
            <w:vAlign w:val="bottom"/>
            <w:gridSpan w:val="2"/>
          </w:tcPr>
          <w:p>
            <w:pPr>
              <w:jc w:val="right"/>
              <w:ind w:right="360"/>
              <w:spacing w:after="0" w:line="125" w:lineRule="exact"/>
              <w:rPr>
                <w:sz w:val="20"/>
                <w:szCs w:val="20"/>
                <w:color w:val="auto"/>
              </w:rPr>
            </w:pPr>
            <w:r>
              <w:rPr>
                <w:rFonts w:ascii="Arial" w:cs="Arial" w:eastAsia="Arial" w:hAnsi="Arial"/>
                <w:sz w:val="14"/>
                <w:szCs w:val="14"/>
                <w:color w:val="auto"/>
              </w:rPr>
              <w:t>Land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25" w:lineRule="exact"/>
              <w:rPr>
                <w:sz w:val="20"/>
                <w:szCs w:val="20"/>
                <w:color w:val="auto"/>
              </w:rPr>
            </w:pPr>
            <w:r>
              <w:rPr>
                <w:rFonts w:ascii="Arial" w:cs="Arial" w:eastAsia="Arial" w:hAnsi="Arial"/>
                <w:sz w:val="14"/>
                <w:szCs w:val="14"/>
                <w:color w:val="auto"/>
                <w:w w:val="90"/>
              </w:rPr>
              <w:t>improvements</w:t>
            </w:r>
          </w:p>
        </w:tc>
        <w:tc>
          <w:tcPr>
            <w:tcW w:w="780" w:type="dxa"/>
            <w:vAlign w:val="bottom"/>
            <w:gridSpan w:val="2"/>
          </w:tcPr>
          <w:p>
            <w:pPr>
              <w:jc w:val="right"/>
              <w:ind w:right="280"/>
              <w:spacing w:after="0" w:line="125"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820" w:type="dxa"/>
            <w:vAlign w:val="bottom"/>
            <w:gridSpan w:val="3"/>
          </w:tcPr>
          <w:p>
            <w:pPr>
              <w:jc w:val="right"/>
              <w:ind w:right="100"/>
              <w:spacing w:after="0" w:line="125" w:lineRule="exact"/>
              <w:rPr>
                <w:sz w:val="20"/>
                <w:szCs w:val="20"/>
                <w:color w:val="auto"/>
              </w:rPr>
            </w:pPr>
            <w:r>
              <w:rPr>
                <w:rFonts w:ascii="Arial" w:cs="Arial" w:eastAsia="Arial" w:hAnsi="Arial"/>
                <w:sz w:val="14"/>
                <w:szCs w:val="14"/>
                <w:color w:val="auto"/>
                <w:w w:val="91"/>
              </w:rPr>
              <w:t>depreciation</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25"/>
        </w:trPr>
        <w:tc>
          <w:tcPr>
            <w:tcW w:w="8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8"/>
              </w:rPr>
              <w:t>05/26/2011</w:t>
            </w:r>
          </w:p>
        </w:tc>
        <w:tc>
          <w:tcPr>
            <w:tcW w:w="2300" w:type="dxa"/>
            <w:vAlign w:val="bottom"/>
            <w:gridSpan w:val="3"/>
            <w:shd w:val="clear" w:color="auto" w:fill="CCEEFF"/>
          </w:tcPr>
          <w:p>
            <w:pPr>
              <w:ind w:left="80"/>
              <w:spacing w:after="0" w:line="125" w:lineRule="exact"/>
              <w:rPr>
                <w:sz w:val="20"/>
                <w:szCs w:val="20"/>
                <w:color w:val="auto"/>
              </w:rPr>
            </w:pPr>
            <w:r>
              <w:rPr>
                <w:rFonts w:ascii="Arial" w:cs="Arial" w:eastAsia="Arial" w:hAnsi="Arial"/>
                <w:sz w:val="14"/>
                <w:szCs w:val="14"/>
                <w:color w:val="auto"/>
              </w:rPr>
              <w:t>Dumfries</w:t>
            </w:r>
          </w:p>
        </w:tc>
        <w:tc>
          <w:tcPr>
            <w:tcW w:w="2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VA</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0"/>
              <w:spacing w:after="0" w:line="125"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rPr>
                <w:sz w:val="10"/>
                <w:szCs w:val="10"/>
                <w:color w:val="auto"/>
              </w:rPr>
            </w:pPr>
          </w:p>
        </w:tc>
        <w:tc>
          <w:tcPr>
            <w:tcW w:w="640" w:type="dxa"/>
            <w:vAlign w:val="bottom"/>
            <w:shd w:val="clear" w:color="auto" w:fill="CCEEFF"/>
          </w:tcPr>
          <w:p>
            <w:pPr>
              <w:ind w:left="440"/>
              <w:spacing w:after="0" w:line="125" w:lineRule="exact"/>
              <w:rPr>
                <w:sz w:val="20"/>
                <w:szCs w:val="20"/>
                <w:color w:val="auto"/>
              </w:rPr>
            </w:pPr>
            <w:r>
              <w:rPr>
                <w:rFonts w:ascii="Arial" w:cs="Arial" w:eastAsia="Arial" w:hAnsi="Arial"/>
                <w:sz w:val="14"/>
                <w:szCs w:val="14"/>
                <w:color w:val="auto"/>
                <w:w w:val="76"/>
              </w:rPr>
              <w:t>932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9,349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ind w:left="400"/>
              <w:spacing w:after="0" w:line="125" w:lineRule="exact"/>
              <w:rPr>
                <w:sz w:val="20"/>
                <w:szCs w:val="20"/>
                <w:color w:val="auto"/>
              </w:rPr>
            </w:pPr>
            <w:r>
              <w:rPr>
                <w:rFonts w:ascii="Arial" w:cs="Arial" w:eastAsia="Arial" w:hAnsi="Arial"/>
                <w:sz w:val="14"/>
                <w:szCs w:val="14"/>
                <w:color w:val="auto"/>
                <w:w w:val="76"/>
              </w:rPr>
              <w:t>932</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9,527</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10,459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1,201</w:t>
            </w:r>
          </w:p>
        </w:tc>
        <w:tc>
          <w:tcPr>
            <w:tcW w:w="80" w:type="dxa"/>
            <w:vAlign w:val="bottom"/>
            <w:shd w:val="clear" w:color="auto" w:fill="CCEEFF"/>
          </w:tcPr>
          <w:p>
            <w:pPr>
              <w:spacing w:after="0"/>
              <w:rPr>
                <w:sz w:val="10"/>
                <w:szCs w:val="10"/>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Falls Church / Hollywood Rd</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8,780</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5,703</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13,307</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302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5,703</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13,609</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19,312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1,134</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Falls Church / Seminary Rd</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9,283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1,259</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6,975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7,391</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8,650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2,177</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11/30/2012</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w w:val="94"/>
              </w:rPr>
              <w:t>Fredericksburg / Jefferson Davis Hwy</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2,926</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1,438</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2,459</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1,438</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2,632</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4,070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Fredericksburg / Plank Rd 1</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4,191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2,128</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5,398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5,515</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7,643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Fredericksburg / Plank Rd 2</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20" w:type="dxa"/>
            <w:vAlign w:val="bottom"/>
          </w:tcPr>
          <w:p>
            <w:pPr>
              <w:spacing w:after="0"/>
              <w:rPr>
                <w:sz w:val="12"/>
                <w:szCs w:val="12"/>
                <w:color w:val="auto"/>
              </w:rPr>
            </w:pPr>
          </w:p>
        </w:tc>
        <w:tc>
          <w:tcPr>
            <w:tcW w:w="78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3,170</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6,717</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3,170</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6,755</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9,925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12/18/2014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Glen Allen</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5,037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5" w:lineRule="exact"/>
              <w:rPr>
                <w:sz w:val="20"/>
                <w:szCs w:val="20"/>
                <w:color w:val="auto"/>
              </w:rPr>
            </w:pPr>
            <w:r>
              <w:rPr>
                <w:rFonts w:ascii="Arial" w:cs="Arial" w:eastAsia="Arial" w:hAnsi="Arial"/>
                <w:sz w:val="14"/>
                <w:szCs w:val="14"/>
                <w:color w:val="auto"/>
                <w:w w:val="76"/>
              </w:rPr>
              <w:t>609</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8,220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8,268</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8,877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Hampton / Big Bethel Rd</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4,043</w:t>
            </w:r>
          </w:p>
        </w:tc>
        <w:tc>
          <w:tcPr>
            <w:tcW w:w="120" w:type="dxa"/>
            <w:vAlign w:val="bottom"/>
          </w:tcPr>
          <w:p>
            <w:pPr>
              <w:spacing w:after="0"/>
              <w:rPr>
                <w:sz w:val="12"/>
                <w:szCs w:val="12"/>
                <w:color w:val="auto"/>
              </w:rPr>
            </w:pPr>
          </w:p>
        </w:tc>
        <w:tc>
          <w:tcPr>
            <w:tcW w:w="640" w:type="dxa"/>
            <w:vAlign w:val="bottom"/>
          </w:tcPr>
          <w:p>
            <w:pPr>
              <w:ind w:left="440"/>
              <w:spacing w:after="0" w:line="145" w:lineRule="exact"/>
              <w:rPr>
                <w:sz w:val="20"/>
                <w:szCs w:val="20"/>
                <w:color w:val="auto"/>
              </w:rPr>
            </w:pPr>
            <w:r>
              <w:rPr>
                <w:rFonts w:ascii="Arial" w:cs="Arial" w:eastAsia="Arial" w:hAnsi="Arial"/>
                <w:sz w:val="14"/>
                <w:szCs w:val="14"/>
                <w:color w:val="auto"/>
                <w:w w:val="76"/>
              </w:rPr>
              <w:t>550</w:t>
            </w: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6,697</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550</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6,742</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7,292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Hampton / LaSalle Ave</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5" w:lineRule="exact"/>
              <w:rPr>
                <w:sz w:val="20"/>
                <w:szCs w:val="20"/>
                <w:color w:val="auto"/>
              </w:rPr>
            </w:pPr>
            <w:r>
              <w:rPr>
                <w:rFonts w:ascii="Arial" w:cs="Arial" w:eastAsia="Arial" w:hAnsi="Arial"/>
                <w:sz w:val="14"/>
                <w:szCs w:val="14"/>
                <w:color w:val="auto"/>
                <w:w w:val="76"/>
              </w:rPr>
              <w:t>610</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8,883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8,984</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9,594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Hampton / Pembroke Ave</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20" w:type="dxa"/>
            <w:vAlign w:val="bottom"/>
          </w:tcPr>
          <w:p>
            <w:pPr>
              <w:spacing w:after="0"/>
              <w:rPr>
                <w:sz w:val="12"/>
                <w:szCs w:val="12"/>
                <w:color w:val="auto"/>
              </w:rPr>
            </w:pPr>
          </w:p>
        </w:tc>
        <w:tc>
          <w:tcPr>
            <w:tcW w:w="78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7,849</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7,040</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7,849</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7,164</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15,013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366</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Manassas</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5" w:lineRule="exact"/>
              <w:rPr>
                <w:sz w:val="20"/>
                <w:szCs w:val="20"/>
                <w:color w:val="auto"/>
              </w:rPr>
            </w:pPr>
            <w:r>
              <w:rPr>
                <w:rFonts w:ascii="Arial" w:cs="Arial" w:eastAsia="Arial" w:hAnsi="Arial"/>
                <w:sz w:val="14"/>
                <w:szCs w:val="14"/>
                <w:color w:val="auto"/>
                <w:w w:val="76"/>
              </w:rPr>
              <w:t>750</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6,242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6,280</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7,030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Newport News / Denbigh Blvd</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5,614</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4,619</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5,870</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126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4,619</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5,996</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10,615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312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w w:val="98"/>
              </w:rPr>
              <w:t>Newport News / J Clyde Morris Blvd</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4,838</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6,124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4,838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6,262</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11,100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327</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Newport News / Tyler Ave</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4,503</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2,740</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4,955</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2,740</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5,079</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7,819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271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Norfolk / Granby St</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4,835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1,785</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8,543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1,785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8,644</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10,429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Norfolk / Naval Base Rd</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4,314</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4,078</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5,975</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4,078</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6,112</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10,190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322</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03/17/2015</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Portsmouth</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2,687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118</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4,797</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5,031</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5,149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Richmond / Hull St</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6,514</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2,016</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9,425</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9,536</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11,552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488</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Richmond / Laburnum Ave</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8,385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5,945</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7,613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5,945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7,763</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13,708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406</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Richmond / Midlothian Turnpike</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4,925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2,735</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5,699</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121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2,735</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5,820</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8,555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304</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Richmond / Old Staples Mill Rd</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6,861</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5,905</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6,869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6,990</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12,895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08/26/2004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Richmond / W Broad St</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4,445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2,305</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5,467</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372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2,305</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5,839</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8,144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1,759</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10/01/2015</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Sandston</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6,470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5" w:lineRule="exact"/>
              <w:rPr>
                <w:sz w:val="20"/>
                <w:szCs w:val="20"/>
                <w:color w:val="auto"/>
              </w:rPr>
            </w:pPr>
            <w:r>
              <w:rPr>
                <w:rFonts w:ascii="Arial" w:cs="Arial" w:eastAsia="Arial" w:hAnsi="Arial"/>
                <w:sz w:val="14"/>
                <w:szCs w:val="14"/>
                <w:color w:val="auto"/>
                <w:w w:val="76"/>
              </w:rPr>
              <w:t>570</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10,525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10,590</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11,160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09/20/2012</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Stafford / Jefferson Davis Hwy</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4,309</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1,172</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5,562</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1,172</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5,700</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6,872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511</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01/23/2009</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Stafford / SUSA Dr</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4,305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2,076</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5,175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2,076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5,321</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7,397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w w:val="98"/>
              </w:rPr>
              <w:t>Virginia Beach / General Booth Blvd</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7,265</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1,142</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11,721</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107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1,142</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11,828</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12,970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Virginia Beach / Kempsville Rd</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7,513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3,934</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11,413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3,934</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11,498</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15,432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01/07/2014</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Virginia Beach / Village Dr</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VA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9,548</w:t>
            </w:r>
          </w:p>
        </w:tc>
        <w:tc>
          <w:tcPr>
            <w:tcW w:w="120" w:type="dxa"/>
            <w:vAlign w:val="bottom"/>
          </w:tcPr>
          <w:p>
            <w:pPr>
              <w:spacing w:after="0"/>
              <w:rPr>
                <w:sz w:val="12"/>
                <w:szCs w:val="12"/>
                <w:color w:val="auto"/>
              </w:rPr>
            </w:pPr>
          </w:p>
        </w:tc>
        <w:tc>
          <w:tcPr>
            <w:tcW w:w="640" w:type="dxa"/>
            <w:vAlign w:val="bottom"/>
          </w:tcPr>
          <w:p>
            <w:pPr>
              <w:ind w:left="440"/>
              <w:spacing w:after="0" w:line="145" w:lineRule="exact"/>
              <w:rPr>
                <w:sz w:val="20"/>
                <w:szCs w:val="20"/>
                <w:color w:val="auto"/>
              </w:rPr>
            </w:pPr>
            <w:r>
              <w:rPr>
                <w:rFonts w:ascii="Arial" w:cs="Arial" w:eastAsia="Arial" w:hAnsi="Arial"/>
                <w:sz w:val="14"/>
                <w:szCs w:val="14"/>
                <w:color w:val="auto"/>
                <w:w w:val="76"/>
              </w:rPr>
              <w:t>331</w:t>
            </w: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13,175</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113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331</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13,288</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13,619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681</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02/15/2006</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Lakewood / 80th St</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4,350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1,389</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4,780</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5,099</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6,489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1,393</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02/15/2006</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Lakewood / Pacific Hwy</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4,352</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1,917</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5,256</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227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1,918</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5,482</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7,400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1,467</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04/30/2014</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Puyallup</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5" w:lineRule="exact"/>
              <w:rPr>
                <w:sz w:val="20"/>
                <w:szCs w:val="20"/>
                <w:color w:val="auto"/>
              </w:rPr>
            </w:pPr>
            <w:r>
              <w:rPr>
                <w:rFonts w:ascii="Arial" w:cs="Arial" w:eastAsia="Arial" w:hAnsi="Arial"/>
                <w:sz w:val="14"/>
                <w:szCs w:val="14"/>
                <w:color w:val="auto"/>
                <w:w w:val="76"/>
              </w:rPr>
              <w:t>437</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3,808</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3,880</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4,317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07/01/2005</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Seattle</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7,159</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2,727</w:t>
            </w: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7,241</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2,727</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7,601</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10,328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2,152</w:t>
            </w: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02/15/2006</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Tacoma</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6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3,353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1,031</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3,103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3,258</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4,289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901</w:t>
            </w:r>
          </w:p>
        </w:tc>
        <w:tc>
          <w:tcPr>
            <w:tcW w:w="80" w:type="dxa"/>
            <w:vAlign w:val="bottom"/>
            <w:shd w:val="clear" w:color="auto" w:fill="CCEEFF"/>
          </w:tcPr>
          <w:p>
            <w:pPr>
              <w:spacing w:after="0"/>
              <w:rPr>
                <w:sz w:val="12"/>
                <w:szCs w:val="12"/>
                <w:color w:val="auto"/>
              </w:rPr>
            </w:pP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07/02/2012</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Vancouver</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WA</w:t>
            </w:r>
          </w:p>
        </w:tc>
        <w:tc>
          <w:tcPr>
            <w:tcW w:w="680" w:type="dxa"/>
            <w:vAlign w:val="bottom"/>
            <w:gridSpan w:val="3"/>
          </w:tcPr>
          <w:p>
            <w:pPr>
              <w:jc w:val="right"/>
              <w:ind w:right="20"/>
              <w:spacing w:after="0" w:line="145" w:lineRule="exact"/>
              <w:rPr>
                <w:sz w:val="20"/>
                <w:szCs w:val="20"/>
                <w:color w:val="auto"/>
              </w:rPr>
            </w:pPr>
            <w:r>
              <w:rPr>
                <w:rFonts w:ascii="Arial" w:cs="Arial" w:eastAsia="Arial" w:hAnsi="Arial"/>
                <w:sz w:val="14"/>
                <w:szCs w:val="14"/>
                <w:color w:val="auto"/>
              </w:rPr>
              <w:t>3,025</w:t>
            </w:r>
          </w:p>
        </w:tc>
        <w:tc>
          <w:tcPr>
            <w:tcW w:w="120" w:type="dxa"/>
            <w:vAlign w:val="bottom"/>
          </w:tcPr>
          <w:p>
            <w:pPr>
              <w:spacing w:after="0"/>
              <w:rPr>
                <w:sz w:val="12"/>
                <w:szCs w:val="12"/>
                <w:color w:val="auto"/>
              </w:rPr>
            </w:pPr>
          </w:p>
        </w:tc>
        <w:tc>
          <w:tcPr>
            <w:tcW w:w="640" w:type="dxa"/>
            <w:vAlign w:val="bottom"/>
          </w:tcPr>
          <w:p>
            <w:pPr>
              <w:ind w:left="440"/>
              <w:spacing w:after="0" w:line="145" w:lineRule="exact"/>
              <w:rPr>
                <w:sz w:val="20"/>
                <w:szCs w:val="20"/>
                <w:color w:val="auto"/>
              </w:rPr>
            </w:pPr>
            <w:r>
              <w:rPr>
                <w:rFonts w:ascii="Arial" w:cs="Arial" w:eastAsia="Arial" w:hAnsi="Arial"/>
                <w:sz w:val="14"/>
                <w:szCs w:val="14"/>
                <w:color w:val="auto"/>
                <w:w w:val="76"/>
              </w:rPr>
              <w:t>709</w:t>
            </w: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rPr>
              <w:t>4,280</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154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709</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4,434</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5,143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r>
      <w:tr>
        <w:trPr>
          <w:trHeight w:val="145"/>
        </w:trPr>
        <w:tc>
          <w:tcPr>
            <w:tcW w:w="8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8"/>
              </w:rPr>
              <w:t>Various</w:t>
            </w:r>
          </w:p>
        </w:tc>
        <w:tc>
          <w:tcPr>
            <w:tcW w:w="2300" w:type="dxa"/>
            <w:vAlign w:val="bottom"/>
            <w:gridSpan w:val="3"/>
            <w:shd w:val="clear" w:color="auto" w:fill="CCEEFF"/>
          </w:tcPr>
          <w:p>
            <w:pPr>
              <w:ind w:left="80"/>
              <w:spacing w:after="0" w:line="145" w:lineRule="exact"/>
              <w:rPr>
                <w:sz w:val="20"/>
                <w:szCs w:val="20"/>
                <w:color w:val="auto"/>
              </w:rPr>
            </w:pPr>
            <w:r>
              <w:rPr>
                <w:rFonts w:ascii="Arial" w:cs="Arial" w:eastAsia="Arial" w:hAnsi="Arial"/>
                <w:sz w:val="14"/>
                <w:szCs w:val="14"/>
                <w:color w:val="auto"/>
              </w:rPr>
              <w:t>Other corporate assets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line="145"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2,202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78,352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80,554</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80,554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17,442</w:t>
            </w:r>
          </w:p>
        </w:tc>
      </w:tr>
      <w:tr>
        <w:trPr>
          <w:trHeight w:val="145"/>
        </w:trPr>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88"/>
              </w:rPr>
              <w:t>Various</w:t>
            </w:r>
          </w:p>
        </w:tc>
        <w:tc>
          <w:tcPr>
            <w:tcW w:w="230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Construction in progress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ind w:left="5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24,909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0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24,909</w:t>
            </w:r>
          </w:p>
        </w:tc>
        <w:tc>
          <w:tcPr>
            <w:tcW w:w="78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24,909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r>
      <w:tr>
        <w:trPr>
          <w:trHeight w:val="127"/>
        </w:trPr>
        <w:tc>
          <w:tcPr>
            <w:tcW w:w="8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8"/>
              </w:rPr>
              <w:t>Various</w:t>
            </w:r>
          </w:p>
        </w:tc>
        <w:tc>
          <w:tcPr>
            <w:tcW w:w="2300" w:type="dxa"/>
            <w:vAlign w:val="bottom"/>
            <w:gridSpan w:val="3"/>
            <w:shd w:val="clear" w:color="auto" w:fill="CCEEFF"/>
          </w:tcPr>
          <w:p>
            <w:pPr>
              <w:ind w:left="80"/>
              <w:spacing w:after="0" w:line="127" w:lineRule="exact"/>
              <w:rPr>
                <w:sz w:val="20"/>
                <w:szCs w:val="20"/>
                <w:color w:val="auto"/>
              </w:rPr>
            </w:pPr>
            <w:r>
              <w:rPr>
                <w:rFonts w:ascii="Arial" w:cs="Arial" w:eastAsia="Arial" w:hAnsi="Arial"/>
                <w:sz w:val="14"/>
                <w:szCs w:val="14"/>
                <w:color w:val="auto"/>
              </w:rPr>
              <w:t>Intangible tenant relationships and</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88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lease rights</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83,610</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21,159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104,769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104,769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80,503</w:t>
            </w:r>
          </w:p>
        </w:tc>
      </w:tr>
      <w:tr>
        <w:trPr>
          <w:trHeight w:val="152"/>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2,774,378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center"/>
              <w:spacing w:after="0" w:line="151"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1,402,731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5"/>
              </w:rPr>
              <w:t>$   4,654,170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360,495</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3"/>
              </w:rPr>
              <w:t>1,401,322</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5,016,074</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1"/>
              </w:rPr>
              <w:t>$ 6,417,396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728,087</w:t>
            </w:r>
          </w:p>
        </w:tc>
        <w:tc>
          <w:tcPr>
            <w:tcW w:w="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2"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Extra Space Storage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Real Estate and Accumulated Depreciation (Continued)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238125</wp:posOffset>
            </wp:positionV>
            <wp:extent cx="728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385" w:lineRule="exact"/>
        <w:rPr>
          <w:sz w:val="20"/>
          <w:szCs w:val="20"/>
          <w:color w:val="auto"/>
        </w:rPr>
      </w:pPr>
    </w:p>
    <w:p>
      <w:pPr>
        <w:ind w:left="340" w:hanging="334"/>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partial disposition of land</w:t>
      </w:r>
    </w:p>
    <w:p>
      <w:pPr>
        <w:ind w:left="340" w:hanging="334"/>
        <w:spacing w:after="0" w:line="21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property casualty loss</w:t>
      </w:r>
    </w:p>
    <w:p>
      <w:pPr>
        <w:ind w:left="340" w:hanging="334"/>
        <w:spacing w:after="0" w:line="21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asset transfers between land, building and/or equipment</w:t>
      </w:r>
    </w:p>
    <w:p>
      <w:pPr>
        <w:ind w:left="340" w:hanging="334"/>
        <w:spacing w:after="0" w:line="21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impairment charge</w:t>
      </w:r>
    </w:p>
    <w:p>
      <w:pPr>
        <w:ind w:left="340" w:hanging="334"/>
        <w:spacing w:after="0" w:line="216"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a purchase price adjustment</w:t>
      </w:r>
    </w:p>
    <w:p>
      <w:pPr>
        <w:ind w:left="340" w:hanging="334"/>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Adjustment relates to the acquisition of a joint venture partner’s interest</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219"/>
          </w:cols>
          <w:pgMar w:left="240" w:top="452" w:right="144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real estate facilities during the years ended December 31, 2015, 2014 and 2013 is as follows:</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Operating facilities</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4,722,162</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4,126,648</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3,379,512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1,609,608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Improvements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from construction in progress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Dispositions and 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end of year</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6,392,487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4,722,162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4,126,648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beginning of year</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604,336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496,754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Depreciation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123,751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Dispositions and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40"/>
              <w:spacing w:after="0"/>
              <w:rPr>
                <w:sz w:val="20"/>
                <w:szCs w:val="20"/>
                <w:color w:val="auto"/>
              </w:rPr>
            </w:pPr>
            <w:r>
              <w:rPr>
                <w:rFonts w:ascii="Arial" w:cs="Arial" w:eastAsia="Arial" w:hAnsi="Arial"/>
                <w:sz w:val="18"/>
                <w:szCs w:val="18"/>
                <w:color w:val="auto"/>
              </w:rPr>
              <w:t>Balance at end of year</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728,087</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604,336</w:t>
            </w:r>
          </w:p>
        </w:tc>
        <w:tc>
          <w:tcPr>
            <w:tcW w:w="2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development/redevelopment:</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17,870</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6,650</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Transfers to operating facilities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(19,971)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(12,308)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Dispositions and other</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Balance at end of year</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24,909</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17,870</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assets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5,689,309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4,135,696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3,636,544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cost of real estate for U.S. federal income tax purposes is $5,758,588.</w:t>
      </w:r>
    </w:p>
    <w:p>
      <w:pPr>
        <w:spacing w:after="0" w:line="1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520"/>
          </w:cols>
          <w:pgMar w:left="240" w:top="452" w:right="11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3" w:lineRule="exact"/>
        <w:rPr>
          <w:sz w:val="20"/>
          <w:szCs w:val="20"/>
          <w:color w:val="auto"/>
        </w:rPr>
      </w:pPr>
    </w:p>
    <w:p>
      <w:pPr>
        <w:ind w:left="460" w:hanging="454"/>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16" w:lineRule="exact"/>
        <w:rPr>
          <w:sz w:val="20"/>
          <w:szCs w:val="20"/>
          <w:color w:val="auto"/>
        </w:rPr>
      </w:pPr>
    </w:p>
    <w:p>
      <w:pPr>
        <w:ind w:right="120" w:firstLine="457"/>
        <w:spacing w:after="0" w:line="283" w:lineRule="auto"/>
        <w:rPr>
          <w:sz w:val="20"/>
          <w:szCs w:val="20"/>
          <w:color w:val="auto"/>
        </w:rPr>
      </w:pPr>
      <w:r>
        <w:rPr>
          <w:rFonts w:ascii="Arial" w:cs="Arial" w:eastAsia="Arial" w:hAnsi="Arial"/>
          <w:sz w:val="16"/>
          <w:szCs w:val="16"/>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1" w:lineRule="exact"/>
        <w:rPr>
          <w:sz w:val="20"/>
          <w:szCs w:val="20"/>
          <w:color w:val="auto"/>
        </w:rPr>
      </w:pPr>
    </w:p>
    <w:p>
      <w:pPr>
        <w:ind w:right="640" w:firstLine="457"/>
        <w:spacing w:after="0" w:line="326"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34" w:lineRule="exact"/>
        <w:rPr>
          <w:sz w:val="20"/>
          <w:szCs w:val="20"/>
          <w:color w:val="auto"/>
        </w:rPr>
      </w:pPr>
    </w:p>
    <w:p>
      <w:pPr>
        <w:ind w:right="160" w:firstLine="457"/>
        <w:spacing w:after="0" w:line="250"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333" w:lineRule="exact"/>
        <w:rPr>
          <w:sz w:val="20"/>
          <w:szCs w:val="20"/>
          <w:color w:val="auto"/>
        </w:rPr>
      </w:pPr>
    </w:p>
    <w:p>
      <w:pPr>
        <w:ind w:left="460" w:hanging="454"/>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123" w:lineRule="exact"/>
        <w:rPr>
          <w:sz w:val="20"/>
          <w:szCs w:val="20"/>
          <w:color w:val="auto"/>
        </w:rPr>
      </w:pPr>
    </w:p>
    <w:p>
      <w:pPr>
        <w:ind w:left="460" w:hanging="454"/>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16"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2015.</w:t>
      </w:r>
    </w:p>
    <w:p>
      <w:pPr>
        <w:spacing w:after="0" w:line="163"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120" w:firstLine="457"/>
        <w:spacing w:after="0" w:line="263" w:lineRule="auto"/>
        <w:rPr>
          <w:sz w:val="20"/>
          <w:szCs w:val="20"/>
          <w:color w:val="auto"/>
        </w:rPr>
      </w:pPr>
      <w:r>
        <w:rPr>
          <w:rFonts w:ascii="Arial" w:cs="Arial" w:eastAsia="Arial" w:hAnsi="Arial"/>
          <w:sz w:val="18"/>
          <w:szCs w:val="18"/>
          <w:color w:val="auto"/>
        </w:rPr>
        <w:t>Our independent registered public accounting firm, Ernst &amp; Young LLP, has issued the following attestation report over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2"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right="6400" w:firstLine="6"/>
        <w:spacing w:after="0" w:line="413" w:lineRule="auto"/>
        <w:tabs>
          <w:tab w:leader="none" w:pos="449"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Attestation Report of the Registered Public Accounting Firm Report of Independent Registered Public Accounting Firm</w:t>
      </w: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The Board of Directors and Stockholders of Extra Space Storage Inc.</w:t>
      </w:r>
    </w:p>
    <w:p>
      <w:pPr>
        <w:spacing w:after="0" w:line="221" w:lineRule="exact"/>
        <w:rPr>
          <w:sz w:val="20"/>
          <w:szCs w:val="20"/>
          <w:color w:val="auto"/>
        </w:rPr>
      </w:pPr>
    </w:p>
    <w:p>
      <w:pPr>
        <w:ind w:right="240" w:firstLine="457"/>
        <w:spacing w:after="0" w:line="288" w:lineRule="auto"/>
        <w:rPr>
          <w:sz w:val="20"/>
          <w:szCs w:val="20"/>
          <w:color w:val="auto"/>
        </w:rPr>
      </w:pPr>
      <w:r>
        <w:rPr>
          <w:rFonts w:ascii="Arial" w:cs="Arial" w:eastAsia="Arial" w:hAnsi="Arial"/>
          <w:sz w:val="16"/>
          <w:szCs w:val="16"/>
          <w:color w:val="auto"/>
        </w:rPr>
        <w:t>We have audited Extra Space Storage Inc.’s (the “Company”) internal control over financial reporting as of December 31, 2015, based on criteria established in Internal Control—Integrated Framework issued by the Committee of Sponsoring Organizations of the Treadway Commission (2013 framework) (the COSO criteria). Extra Space Storage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firstLine="457"/>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240" w:firstLine="457"/>
        <w:spacing w:after="0" w:line="263" w:lineRule="auto"/>
        <w:rPr>
          <w:sz w:val="20"/>
          <w:szCs w:val="20"/>
          <w:color w:val="auto"/>
        </w:rPr>
      </w:pPr>
      <w:r>
        <w:rPr>
          <w:rFonts w:ascii="Arial" w:cs="Arial" w:eastAsia="Arial" w:hAnsi="Arial"/>
          <w:sz w:val="18"/>
          <w:szCs w:val="18"/>
          <w:color w:val="auto"/>
        </w:rPr>
        <w:t>In our opinion, Extra Space Storage Inc. maintained, in all material respects, effective internal control over financial reporting as of December 31, 2015, based on the COSO criteria.</w:t>
      </w:r>
    </w:p>
    <w:p>
      <w:pPr>
        <w:spacing w:after="0" w:line="180"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as of December 31, 2015, and 2014 and the related consolidated statements of operations, comprehensive income, stockholders’ equity, and cash flows for each of the three years in the period ended December 31, 2015 of Extra Space Storage Inc. and our report dated February 29, 2016 expressed an unqualified opinion thereon.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2"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ind w:left="460" w:hanging="454"/>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16" w:lineRule="exact"/>
        <w:rPr>
          <w:sz w:val="20"/>
          <w:szCs w:val="20"/>
          <w:color w:val="auto"/>
        </w:rPr>
      </w:pPr>
    </w:p>
    <w:p>
      <w:pPr>
        <w:ind w:firstLine="457"/>
        <w:spacing w:after="0" w:line="326" w:lineRule="auto"/>
        <w:rPr>
          <w:sz w:val="20"/>
          <w:szCs w:val="20"/>
          <w:color w:val="auto"/>
        </w:rPr>
      </w:pPr>
      <w:r>
        <w:rPr>
          <w:rFonts w:ascii="Arial" w:cs="Arial" w:eastAsia="Arial" w:hAnsi="Arial"/>
          <w:sz w:val="16"/>
          <w:szCs w:val="16"/>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240" w:top="452" w:right="5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16"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Information required by this item is incorporated by reference to the information set forth under the captions “Executive Officers,” and “Information About the Board of Directors and its Committees” in our definitive Proxy Statement to be filed with the Securities and Exchange Commission pursuant to Regulation 14A within 120 days after December 31, 2014.</w:t>
      </w:r>
    </w:p>
    <w:p>
      <w:pPr>
        <w:spacing w:after="0" w:line="188"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63" w:lineRule="exact"/>
        <w:rPr>
          <w:sz w:val="20"/>
          <w:szCs w:val="20"/>
          <w:color w:val="auto"/>
        </w:rPr>
      </w:pPr>
    </w:p>
    <w:p>
      <w:pPr>
        <w:ind w:right="280" w:firstLine="457"/>
        <w:spacing w:after="0" w:line="292" w:lineRule="auto"/>
        <w:rPr>
          <w:sz w:val="20"/>
          <w:szCs w:val="20"/>
          <w:color w:val="auto"/>
        </w:rPr>
      </w:pPr>
      <w:r>
        <w:rPr>
          <w:rFonts w:ascii="Arial" w:cs="Arial" w:eastAsia="Arial" w:hAnsi="Arial"/>
          <w:sz w:val="16"/>
          <w:szCs w:val="16"/>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400, Salt Lake City, Utah 84121, Attn: Clint Halverson or by telephoning (801) 365-4600.</w:t>
      </w:r>
    </w:p>
    <w:p>
      <w:pPr>
        <w:spacing w:after="0" w:line="3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16"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2015.</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6" w:lineRule="exact"/>
        <w:rPr>
          <w:sz w:val="20"/>
          <w:szCs w:val="20"/>
          <w:color w:val="auto"/>
        </w:rPr>
      </w:pPr>
    </w:p>
    <w:p>
      <w:pPr>
        <w:jc w:val="both"/>
        <w:ind w:right="100" w:firstLine="457"/>
        <w:spacing w:after="0" w:line="300" w:lineRule="auto"/>
        <w:rPr>
          <w:sz w:val="20"/>
          <w:szCs w:val="20"/>
          <w:color w:val="auto"/>
        </w:rPr>
      </w:pPr>
      <w:r>
        <w:rPr>
          <w:rFonts w:ascii="Arial" w:cs="Arial" w:eastAsia="Arial" w:hAnsi="Arial"/>
          <w:sz w:val="16"/>
          <w:szCs w:val="16"/>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2015.</w:t>
      </w:r>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16"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2015.</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16" w:lineRule="exact"/>
        <w:rPr>
          <w:sz w:val="20"/>
          <w:szCs w:val="20"/>
          <w:color w:val="auto"/>
        </w:rPr>
      </w:pPr>
    </w:p>
    <w:p>
      <w:pPr>
        <w:jc w:val="both"/>
        <w:ind w:right="120" w:firstLine="457"/>
        <w:spacing w:after="0" w:line="254" w:lineRule="auto"/>
        <w:rPr>
          <w:sz w:val="20"/>
          <w:szCs w:val="20"/>
          <w:color w:val="auto"/>
        </w:rPr>
      </w:pPr>
      <w:r>
        <w:rPr>
          <w:rFonts w:ascii="Arial" w:cs="Arial" w:eastAsia="Arial" w:hAnsi="Arial"/>
          <w:sz w:val="18"/>
          <w:szCs w:val="18"/>
          <w:color w:val="auto"/>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2015.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2"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29" w:lineRule="exact"/>
        <w:rPr>
          <w:sz w:val="20"/>
          <w:szCs w:val="20"/>
          <w:color w:val="auto"/>
        </w:rPr>
      </w:pPr>
    </w:p>
    <w:p>
      <w:pPr>
        <w:ind w:left="460" w:hanging="454"/>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0" w:lineRule="exact"/>
        <w:rPr>
          <w:sz w:val="20"/>
          <w:szCs w:val="20"/>
          <w:color w:val="auto"/>
        </w:rPr>
      </w:pPr>
    </w:p>
    <w:p>
      <w:pPr>
        <w:ind w:left="460" w:right="680" w:firstLine="440"/>
        <w:spacing w:after="0" w:line="326"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The following documents are filed or incorporated by references as exhibits to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40" w:type="dxa"/>
            <w:vAlign w:val="bottom"/>
          </w:tcPr>
          <w:p>
            <w:pPr>
              <w:spacing w:after="0"/>
              <w:rPr>
                <w:sz w:val="14"/>
                <w:szCs w:val="14"/>
                <w:color w:val="auto"/>
              </w:rPr>
            </w:pPr>
          </w:p>
        </w:tc>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Purchase and Sale Agreement, dated May 5, 2005 by and among Security Capital Self Storage Incorporated, as seller and Extra Space</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7"/>
              </w:rPr>
              <w:t>Storage LLC, PRISA Self Storage LLC, PRISA II Self Storage LLC, PRISA III Self Storage LLC, VRS Self Storage LLC, WCOT Self</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7"/>
              </w:rPr>
              <w:t>Storage LLC and Extra Space Storage LP, as purchaser parties and The Prudential Insurance Company of America (incorporated by reference to</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Exhibit 2.1 of Form 8-K filed on May 11, 2005).</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Agreement and Plan of Merger, dated as of June 15, 2015, among Extra Space Storage Inc., Extra Space Storage LP, Edgewater REIT</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Acquisition (MD) LLC, Edgewater Partnership Acquisition (DE) LLC, SmartStop Self Storage, Inc. and SmartStop Self Storage Operating</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Partnership, L.P. (incorporated by reference to Exhibit 2.1 of Form 8-K filed on June 15, 2015).</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Amendment No. 1 to Agreement and Plan of Merger, dated as of July 16, 2015, among Extra Space Storage Inc., Extra Space Storage LP,</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Edgewater REIT Acquisition (MD) LLC, Edgewater Partnership Acquisition (DE) LLC, SmartStop Self Storage, Inc. and SmartStop Self</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Storage Operating Partnership, L.P. (incorporated by reference to Exhibit 2.1 of Form 8-K filed on July 16, 2015).</w:t>
            </w:r>
          </w:p>
        </w:tc>
        <w:tc>
          <w:tcPr>
            <w:tcW w:w="0" w:type="dxa"/>
            <w:vAlign w:val="bottom"/>
          </w:tcPr>
          <w:p>
            <w:pPr>
              <w:spacing w:after="0"/>
              <w:rPr>
                <w:sz w:val="1"/>
                <w:szCs w:val="1"/>
                <w:color w:val="auto"/>
              </w:rPr>
            </w:pPr>
          </w:p>
        </w:tc>
      </w:tr>
      <w:tr>
        <w:trPr>
          <w:trHeight w:val="317"/>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Incorporation of Extra Space Storage Inc.(1)</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0"/>
              </w:rPr>
              <w:t>Articles of Amendment of Extra Space Storage Inc., dated September 28, 2007 (incorporated by reference to Exhibit 3.1 of Form 8-K filed on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October 3, 2007).</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Articles of Amendment of Extra Space Storage Inc., dated August 29, 2013 (incorporated by reference to Exhibit 3.1 of Form 8-K filed on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317"/>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Bylaws of Extra Space Storage Inc.(incorporated by reference to Exhibit 3.1 of Form 8-K filed on May 26, 2009)</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Amendment No. 1 to Amended and Restated Bylaws of Extra Space Storage Inc. (incorporated by reference to Exhibit 3.1 of Form 8-K filed</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December 23, 2014).</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Fourth Amended and Restated Agreement of Limited Partnership of Extra Space Storage LP (incorporated by reference to Exhibit 10.1 of</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8-K filed on December 6, 2013).</w:t>
            </w:r>
          </w:p>
        </w:tc>
        <w:tc>
          <w:tcPr>
            <w:tcW w:w="0" w:type="dxa"/>
            <w:vAlign w:val="bottom"/>
          </w:tcPr>
          <w:p>
            <w:pPr>
              <w:spacing w:after="0"/>
              <w:rPr>
                <w:sz w:val="1"/>
                <w:szCs w:val="1"/>
                <w:color w:val="auto"/>
              </w:rPr>
            </w:pPr>
          </w:p>
        </w:tc>
      </w:tr>
      <w:tr>
        <w:trPr>
          <w:trHeight w:val="317"/>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Declaration of Trust of ESS Holdings Business Trust II.(1)</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Junior Subordinated Indenture dated as of July 27, 2005, between Extra Space Storage LP and JPMorgan Chase Bank, National Association, as</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trustee (incorporated by reference to Exhibit 4.1 of Form 8-K filed on August 2, 2005).</w:t>
            </w:r>
          </w:p>
        </w:tc>
        <w:tc>
          <w:tcPr>
            <w:tcW w:w="0" w:type="dxa"/>
            <w:vAlign w:val="bottom"/>
          </w:tcPr>
          <w:p>
            <w:pPr>
              <w:spacing w:after="0"/>
              <w:rPr>
                <w:sz w:val="1"/>
                <w:szCs w:val="1"/>
                <w:color w:val="auto"/>
              </w:rPr>
            </w:pPr>
          </w:p>
        </w:tc>
      </w:tr>
      <w:tr>
        <w:trPr>
          <w:trHeight w:val="305"/>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Trust Agreement, dated as of July 27, 2005, among Extra Space Storage LP, as depositor and JPMorgan Chase Bank,</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National Association, as property trustee, Chase Bank USA, National Association, as Delaware trustee, the Administrative Trustees named</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3"/>
              </w:rPr>
              <w:t>therein and the holders of undivided beneficial interest in the assets of ESS Statutory Trust III (incorporated by reference to Exhibit 4.2 of</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8-K filed on August 2, 2005).</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5440" w:type="dxa"/>
            <w:vAlign w:val="bottom"/>
          </w:tcPr>
          <w:p>
            <w:pPr>
              <w:ind w:left="5080"/>
              <w:spacing w:after="0"/>
              <w:rPr>
                <w:sz w:val="20"/>
                <w:szCs w:val="20"/>
                <w:color w:val="auto"/>
              </w:rPr>
            </w:pPr>
            <w:r>
              <w:rPr>
                <w:rFonts w:ascii="Arial" w:cs="Arial" w:eastAsia="Arial" w:hAnsi="Arial"/>
                <w:sz w:val="18"/>
                <w:szCs w:val="18"/>
                <w:color w:val="auto"/>
              </w:rPr>
              <w:t>124</w:t>
            </w:r>
          </w:p>
        </w:tc>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2"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0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Junior Subordinated Note (incorporated by reference to Exhibit 4.3 of Form 10-K filed on February 26, 2010)</w:t>
            </w:r>
          </w:p>
        </w:tc>
        <w:tc>
          <w:tcPr>
            <w:tcW w:w="0" w:type="dxa"/>
            <w:vAlign w:val="bottom"/>
          </w:tcPr>
          <w:p>
            <w:pPr>
              <w:spacing w:after="0"/>
              <w:rPr>
                <w:sz w:val="1"/>
                <w:szCs w:val="1"/>
                <w:color w:val="auto"/>
              </w:rPr>
            </w:pPr>
          </w:p>
        </w:tc>
      </w:tr>
      <w:tr>
        <w:trPr>
          <w:trHeight w:val="317"/>
        </w:trPr>
        <w:tc>
          <w:tcPr>
            <w:tcW w:w="500" w:type="dxa"/>
            <w:vAlign w:val="bottom"/>
          </w:tcPr>
          <w:p>
            <w:pPr>
              <w:jc w:val="right"/>
              <w:ind w:right="54"/>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Trust Preferred Security Certificates (incorporated by reference to Exhibit 4.4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7"/>
              </w:rPr>
              <w:t>Indenture, dated March 27, 2007, among Extra Space Storage LP, Extra Space Storage Inc. and Wells Fargo Bank, N.A., as trustee, including the</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92"/>
              </w:rPr>
              <w:t>form of 3.625% Exchangeable Senior Notes due 2027 and form of guarantee (incorporated by reference to Exhibit 4.1 of Form 8-K filed on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March 28, 2007).</w:t>
            </w:r>
          </w:p>
        </w:tc>
        <w:tc>
          <w:tcPr>
            <w:tcW w:w="0" w:type="dxa"/>
            <w:vAlign w:val="bottom"/>
          </w:tcPr>
          <w:p>
            <w:pPr>
              <w:spacing w:after="0"/>
              <w:rPr>
                <w:sz w:val="1"/>
                <w:szCs w:val="1"/>
                <w:color w:val="auto"/>
              </w:rPr>
            </w:pPr>
          </w:p>
        </w:tc>
      </w:tr>
      <w:tr>
        <w:trPr>
          <w:trHeight w:val="305"/>
        </w:trPr>
        <w:tc>
          <w:tcPr>
            <w:tcW w:w="500" w:type="dxa"/>
            <w:vAlign w:val="bottom"/>
          </w:tcPr>
          <w:p>
            <w:pPr>
              <w:jc w:val="right"/>
              <w:ind w:right="54"/>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7"/>
              </w:rPr>
              <w:t>Indenture, dated June 21, 2013, among Extra Space Storage LP, Extra Space Storage Inc. and Wells Fargo Bank, National Association, as trustee,</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9"/>
              </w:rPr>
              <w:t>including the form of 2.375% Exchangeable Senior Notes due 2033 and form of guarantee (incorporated by reference to Exhibit 4.1 of Form 8-K</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filed on June 21, 2013).</w:t>
            </w:r>
          </w:p>
        </w:tc>
        <w:tc>
          <w:tcPr>
            <w:tcW w:w="0" w:type="dxa"/>
            <w:vAlign w:val="bottom"/>
          </w:tcPr>
          <w:p>
            <w:pPr>
              <w:spacing w:after="0"/>
              <w:rPr>
                <w:sz w:val="1"/>
                <w:szCs w:val="1"/>
                <w:color w:val="auto"/>
              </w:rPr>
            </w:pPr>
          </w:p>
        </w:tc>
      </w:tr>
      <w:tr>
        <w:trPr>
          <w:trHeight w:val="305"/>
        </w:trPr>
        <w:tc>
          <w:tcPr>
            <w:tcW w:w="50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8"/>
              </w:rPr>
              <w:t>Indenture, dated September 21, 2015, among Extra Space Storage LP, as issuer, Extra Space Storage Inc., as guarantor, and Wells Fargo Bank,</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9"/>
              </w:rPr>
              <w:t>National Association, as trustee, including the form of 3.125% Exchangeable Senior Notes due 2035 and the form of guarantee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reference to Exhibit 4.1 of Form 8-K filed on September 21, 2015).</w:t>
            </w:r>
          </w:p>
        </w:tc>
        <w:tc>
          <w:tcPr>
            <w:tcW w:w="0" w:type="dxa"/>
            <w:vAlign w:val="bottom"/>
          </w:tcPr>
          <w:p>
            <w:pPr>
              <w:spacing w:after="0"/>
              <w:rPr>
                <w:sz w:val="1"/>
                <w:szCs w:val="1"/>
                <w:color w:val="auto"/>
              </w:rPr>
            </w:pPr>
          </w:p>
        </w:tc>
      </w:tr>
      <w:tr>
        <w:trPr>
          <w:trHeight w:val="317"/>
        </w:trPr>
        <w:tc>
          <w:tcPr>
            <w:tcW w:w="500" w:type="dxa"/>
            <w:vAlign w:val="bottom"/>
          </w:tcPr>
          <w:p>
            <w:pPr>
              <w:jc w:val="right"/>
              <w:ind w:right="54"/>
              <w:spacing w:after="0"/>
              <w:rPr>
                <w:sz w:val="20"/>
                <w:szCs w:val="20"/>
                <w:color w:val="auto"/>
              </w:rPr>
            </w:pPr>
            <w:r>
              <w:rPr>
                <w:rFonts w:ascii="Arial" w:cs="Arial" w:eastAsia="Arial" w:hAnsi="Arial"/>
                <w:sz w:val="18"/>
                <w:szCs w:val="18"/>
                <w:color w:val="auto"/>
                <w:w w:val="96"/>
              </w:rPr>
              <w:t>10.1</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Registration Rights Agreement, by and among Extra Space Storage Inc. and the parties listed on Schedule I thereto.(1)</w:t>
            </w:r>
          </w:p>
        </w:tc>
        <w:tc>
          <w:tcPr>
            <w:tcW w:w="0" w:type="dxa"/>
            <w:vAlign w:val="bottom"/>
          </w:tcPr>
          <w:p>
            <w:pPr>
              <w:spacing w:after="0"/>
              <w:rPr>
                <w:sz w:val="1"/>
                <w:szCs w:val="1"/>
                <w:color w:val="auto"/>
              </w:rPr>
            </w:pPr>
          </w:p>
        </w:tc>
      </w:tr>
      <w:tr>
        <w:trPr>
          <w:trHeight w:val="317"/>
        </w:trPr>
        <w:tc>
          <w:tcPr>
            <w:tcW w:w="500" w:type="dxa"/>
            <w:vAlign w:val="bottom"/>
          </w:tcPr>
          <w:p>
            <w:pPr>
              <w:jc w:val="right"/>
              <w:ind w:right="54"/>
              <w:spacing w:after="0"/>
              <w:rPr>
                <w:sz w:val="20"/>
                <w:szCs w:val="20"/>
                <w:color w:val="auto"/>
              </w:rPr>
            </w:pPr>
            <w:r>
              <w:rPr>
                <w:rFonts w:ascii="Arial" w:cs="Arial" w:eastAsia="Arial" w:hAnsi="Arial"/>
                <w:sz w:val="18"/>
                <w:szCs w:val="18"/>
                <w:color w:val="auto"/>
                <w:w w:val="96"/>
              </w:rPr>
              <w:t>10.2</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License between Centershift Inc. and Extra Space Storage LP.(1)</w:t>
            </w:r>
          </w:p>
        </w:tc>
        <w:tc>
          <w:tcPr>
            <w:tcW w:w="0" w:type="dxa"/>
            <w:vAlign w:val="bottom"/>
          </w:tcPr>
          <w:p>
            <w:pPr>
              <w:spacing w:after="0"/>
              <w:rPr>
                <w:sz w:val="1"/>
                <w:szCs w:val="1"/>
                <w:color w:val="auto"/>
              </w:rPr>
            </w:pPr>
          </w:p>
        </w:tc>
      </w:tr>
      <w:tr>
        <w:trPr>
          <w:trHeight w:val="305"/>
        </w:trPr>
        <w:tc>
          <w:tcPr>
            <w:tcW w:w="50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90"/>
              </w:rPr>
              <w:t>2004 Long-Term Compensation Incentive Plan as amended and restated effective March 25, 2008 (incorporated by reference to the Definitive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Proxy Statement on Schedule 14A filed on April 14, 2008)</w:t>
            </w:r>
          </w:p>
        </w:tc>
        <w:tc>
          <w:tcPr>
            <w:tcW w:w="0" w:type="dxa"/>
            <w:vAlign w:val="bottom"/>
          </w:tcPr>
          <w:p>
            <w:pPr>
              <w:spacing w:after="0"/>
              <w:rPr>
                <w:sz w:val="1"/>
                <w:szCs w:val="1"/>
                <w:color w:val="auto"/>
              </w:rPr>
            </w:pPr>
          </w:p>
        </w:tc>
      </w:tr>
      <w:tr>
        <w:trPr>
          <w:trHeight w:val="317"/>
        </w:trPr>
        <w:tc>
          <w:tcPr>
            <w:tcW w:w="50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Extra Space Storage Performance Bonus Plan.(1)</w:t>
            </w:r>
          </w:p>
        </w:tc>
        <w:tc>
          <w:tcPr>
            <w:tcW w:w="0" w:type="dxa"/>
            <w:vAlign w:val="bottom"/>
          </w:tcPr>
          <w:p>
            <w:pPr>
              <w:spacing w:after="0"/>
              <w:rPr>
                <w:sz w:val="1"/>
                <w:szCs w:val="1"/>
                <w:color w:val="auto"/>
              </w:rPr>
            </w:pPr>
          </w:p>
        </w:tc>
      </w:tr>
      <w:tr>
        <w:trPr>
          <w:trHeight w:val="305"/>
        </w:trPr>
        <w:tc>
          <w:tcPr>
            <w:tcW w:w="500" w:type="dxa"/>
            <w:vAlign w:val="bottom"/>
          </w:tcPr>
          <w:p>
            <w:pPr>
              <w:jc w:val="right"/>
              <w:spacing w:after="0"/>
              <w:rPr>
                <w:sz w:val="20"/>
                <w:szCs w:val="20"/>
                <w:color w:val="auto"/>
              </w:rPr>
            </w:pPr>
            <w:r>
              <w:rPr>
                <w:rFonts w:ascii="Arial" w:cs="Arial" w:eastAsia="Arial" w:hAnsi="Arial"/>
                <w:sz w:val="18"/>
                <w:szCs w:val="18"/>
                <w:color w:val="auto"/>
                <w:w w:val="99"/>
              </w:rPr>
              <w:t>10.5*</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9"/>
              </w:rPr>
              <w:t>Form of 2004 Long Term Incentive Compensation Plan Option Award Agreement for Employees with employment agreements.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reference to Exhibit 10.11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9"/>
              </w:rPr>
              <w:t>Form of 2004 Long Term Incentive Compensation Plan Option Award Agreement for employees without employment agreements. (incorporated</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by reference to Exhibit 10.12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94"/>
              </w:rPr>
              <w:t>Form of 2004 Non-Employee Directors Share Plan Option Award Agreement for Directors. (incorporated by reference to Exhibit 10.13 of</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Form 10-K filed on February 26, 2010)</w:t>
            </w:r>
          </w:p>
        </w:tc>
        <w:tc>
          <w:tcPr>
            <w:tcW w:w="0" w:type="dxa"/>
            <w:vAlign w:val="bottom"/>
          </w:tcPr>
          <w:p>
            <w:pPr>
              <w:spacing w:after="0"/>
              <w:rPr>
                <w:sz w:val="1"/>
                <w:szCs w:val="1"/>
                <w:color w:val="auto"/>
              </w:rPr>
            </w:pPr>
          </w:p>
        </w:tc>
      </w:tr>
      <w:tr>
        <w:trPr>
          <w:trHeight w:val="317"/>
        </w:trPr>
        <w:tc>
          <w:tcPr>
            <w:tcW w:w="500" w:type="dxa"/>
            <w:vAlign w:val="bottom"/>
          </w:tcPr>
          <w:p>
            <w:pPr>
              <w:jc w:val="right"/>
              <w:ind w:right="54"/>
              <w:spacing w:after="0"/>
              <w:rPr>
                <w:sz w:val="20"/>
                <w:szCs w:val="20"/>
                <w:color w:val="auto"/>
              </w:rPr>
            </w:pPr>
            <w:r>
              <w:rPr>
                <w:rFonts w:ascii="Arial" w:cs="Arial" w:eastAsia="Arial" w:hAnsi="Arial"/>
                <w:sz w:val="18"/>
                <w:szCs w:val="18"/>
                <w:color w:val="auto"/>
                <w:w w:val="96"/>
              </w:rPr>
              <w:t>10.8</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Joint Venture Agreement, dated June 1, 2004, by and between Extra Space Storage LLC and Prudential Financial, Inc.(1)</w:t>
            </w:r>
          </w:p>
        </w:tc>
        <w:tc>
          <w:tcPr>
            <w:tcW w:w="0" w:type="dxa"/>
            <w:vAlign w:val="bottom"/>
          </w:tcPr>
          <w:p>
            <w:pPr>
              <w:spacing w:after="0"/>
              <w:rPr>
                <w:sz w:val="1"/>
                <w:szCs w:val="1"/>
                <w:color w:val="auto"/>
              </w:rPr>
            </w:pPr>
          </w:p>
        </w:tc>
      </w:tr>
      <w:tr>
        <w:trPr>
          <w:trHeight w:val="317"/>
        </w:trPr>
        <w:tc>
          <w:tcPr>
            <w:tcW w:w="50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9"/>
              </w:rPr>
              <w:t>Extra Space Storage Non-Employee Directors’ Share Plan (incorporated by reference to Exhibit 10.22 of Form 10-K/A filed on March 22, 2007).</w:t>
            </w:r>
          </w:p>
        </w:tc>
        <w:tc>
          <w:tcPr>
            <w:tcW w:w="0" w:type="dxa"/>
            <w:vAlign w:val="bottom"/>
          </w:tcPr>
          <w:p>
            <w:pPr>
              <w:spacing w:after="0"/>
              <w:rPr>
                <w:sz w:val="1"/>
                <w:szCs w:val="1"/>
                <w:color w:val="auto"/>
              </w:rPr>
            </w:pPr>
          </w:p>
        </w:tc>
      </w:tr>
      <w:tr>
        <w:trPr>
          <w:trHeight w:val="305"/>
        </w:trPr>
        <w:tc>
          <w:tcPr>
            <w:tcW w:w="500" w:type="dxa"/>
            <w:vAlign w:val="bottom"/>
          </w:tcPr>
          <w:p>
            <w:pPr>
              <w:jc w:val="center"/>
              <w:spacing w:after="0"/>
              <w:rPr>
                <w:sz w:val="20"/>
                <w:szCs w:val="20"/>
                <w:color w:val="auto"/>
              </w:rPr>
            </w:pPr>
            <w:r>
              <w:rPr>
                <w:rFonts w:ascii="Arial" w:cs="Arial" w:eastAsia="Arial" w:hAnsi="Arial"/>
                <w:sz w:val="18"/>
                <w:szCs w:val="18"/>
                <w:color w:val="auto"/>
                <w:w w:val="84"/>
              </w:rPr>
              <w:t>10.10</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87"/>
              </w:rPr>
              <w:t>Registration Rights Agreement, dated June 20, 2005, among Extra Space Storage Inc. and the investors named therein (incorporated by reference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to Exhibit 10.1 of Form 8-K filed on June 24, 2005).</w:t>
            </w:r>
          </w:p>
        </w:tc>
        <w:tc>
          <w:tcPr>
            <w:tcW w:w="0" w:type="dxa"/>
            <w:vAlign w:val="bottom"/>
          </w:tcPr>
          <w:p>
            <w:pPr>
              <w:spacing w:after="0"/>
              <w:rPr>
                <w:sz w:val="1"/>
                <w:szCs w:val="1"/>
                <w:color w:val="auto"/>
              </w:rPr>
            </w:pPr>
          </w:p>
        </w:tc>
      </w:tr>
      <w:tr>
        <w:trPr>
          <w:trHeight w:val="305"/>
        </w:trPr>
        <w:tc>
          <w:tcPr>
            <w:tcW w:w="50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w w:val="92"/>
              </w:rPr>
              <w:t>Purchase Agreement, dated as of July 27, 2005, among Extra Space Storage LP, ESS Statutory Trust III and the Purchaser named therein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860" w:type="dxa"/>
            <w:vAlign w:val="bottom"/>
            <w:gridSpan w:val="3"/>
          </w:tcPr>
          <w:p>
            <w:pPr>
              <w:ind w:left="620"/>
              <w:spacing w:after="0"/>
              <w:rPr>
                <w:sz w:val="20"/>
                <w:szCs w:val="20"/>
                <w:color w:val="auto"/>
              </w:rPr>
            </w:pPr>
            <w:r>
              <w:rPr>
                <w:rFonts w:ascii="Arial" w:cs="Arial" w:eastAsia="Arial" w:hAnsi="Arial"/>
                <w:sz w:val="18"/>
                <w:szCs w:val="18"/>
                <w:color w:val="auto"/>
              </w:rPr>
              <w:t>(incorporated by reference to Exhibit 10.1 of Form 8-K filed on August 2, 2005).</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5400" w:type="dxa"/>
            <w:vAlign w:val="bottom"/>
          </w:tcPr>
          <w:p>
            <w:pPr>
              <w:ind w:left="5040"/>
              <w:spacing w:after="0"/>
              <w:rPr>
                <w:sz w:val="20"/>
                <w:szCs w:val="20"/>
                <w:color w:val="auto"/>
              </w:rPr>
            </w:pPr>
            <w:r>
              <w:rPr>
                <w:rFonts w:ascii="Arial" w:cs="Arial" w:eastAsia="Arial" w:hAnsi="Arial"/>
                <w:sz w:val="18"/>
                <w:szCs w:val="18"/>
                <w:color w:val="auto"/>
              </w:rPr>
              <w:t>125</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2"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0" w:type="dxa"/>
            <w:vAlign w:val="bottom"/>
          </w:tcPr>
          <w:p>
            <w:pPr>
              <w:ind w:left="60"/>
              <w:spacing w:after="0"/>
              <w:rPr>
                <w:sz w:val="20"/>
                <w:szCs w:val="20"/>
                <w:color w:val="auto"/>
              </w:rPr>
            </w:pPr>
            <w:r>
              <w:rPr>
                <w:rFonts w:ascii="Arial" w:cs="Arial" w:eastAsia="Arial" w:hAnsi="Arial"/>
                <w:sz w:val="18"/>
                <w:szCs w:val="18"/>
                <w:color w:val="auto"/>
                <w:w w:val="93"/>
              </w:rPr>
              <w:t>10.12</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Registration Rights Agreement, dated March 27, 2007, among Extra Space Storage LP, Extra Space Storage Inc., Citigroup Global Markets Inc.</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4"/>
              </w:rPr>
              <w:t>and Merrill Lynch, Pierce, Fenner &amp; Smith Incorporated (incorporated by reference to Exhibit 10.1 of Form 8-K filed on March 28, 2007).</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10.13</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6"/>
              </w:rPr>
              <w:t>Contribution Agreement, dated June 15, 2007, among Extra Space Storage LP and various limited partnerships affiliated with AAAAA</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Rent-A-Space. (incorporated by reference to Exhibit 10.23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10.14</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0"/>
              </w:rPr>
              <w:t>Promissory Note,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Exhibit 10.2 of Form 8-K filed on June 26, 2007).</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10.15</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8"/>
              </w:rPr>
              <w:t>Pledge Agreement,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Exhibit 10.3 of Form 8-K filed on June 26, 2007).</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10.16</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5"/>
              </w:rPr>
              <w:t>Registration Rights Agreement among Extra Space Storage LP, H. James Knuppe and Barbara Knuppe. (incorporated by reference to</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Exhibit 10.26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10.17</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0"/>
              </w:rPr>
              <w:t>First Amendment to Contribution Agreement and to Agreement Regarding Transfer of Series A Units among Extra Space Storage LP, various</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limited partnerships affiliated with AAAAA Rent-A-Space, H. James Knuppe and Barbara Knuppe, dated September 28, 2007.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10.1 of Form 8-K filed on October 3, 2007).</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10.18</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5"/>
              </w:rPr>
              <w:t>Membership Interest Purchase Agreement, dated as of April 13, 2012, between Extra Space Properties Sixty Three LLC and PRISA III</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Co-Investment LLC (incorporated by reference to Exhibit 10.1 of Form 8-K filed on April 16, 2012).</w:t>
            </w:r>
          </w:p>
        </w:tc>
        <w:tc>
          <w:tcPr>
            <w:tcW w:w="0" w:type="dxa"/>
            <w:vAlign w:val="bottom"/>
          </w:tcPr>
          <w:p>
            <w:pPr>
              <w:spacing w:after="0"/>
              <w:rPr>
                <w:sz w:val="1"/>
                <w:szCs w:val="1"/>
                <w:color w:val="auto"/>
              </w:rPr>
            </w:pPr>
          </w:p>
        </w:tc>
      </w:tr>
      <w:tr>
        <w:trPr>
          <w:trHeight w:val="305"/>
        </w:trPr>
        <w:tc>
          <w:tcPr>
            <w:tcW w:w="820" w:type="dxa"/>
            <w:vAlign w:val="bottom"/>
            <w:gridSpan w:val="2"/>
          </w:tcPr>
          <w:p>
            <w:pPr>
              <w:ind w:left="60"/>
              <w:spacing w:after="0"/>
              <w:rPr>
                <w:sz w:val="20"/>
                <w:szCs w:val="20"/>
                <w:color w:val="auto"/>
              </w:rPr>
            </w:pPr>
            <w:r>
              <w:rPr>
                <w:rFonts w:ascii="Arial" w:cs="Arial" w:eastAsia="Arial" w:hAnsi="Arial"/>
                <w:sz w:val="18"/>
                <w:szCs w:val="18"/>
                <w:color w:val="auto"/>
              </w:rPr>
              <w:t>10.19*</w:t>
            </w: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2004 Long Term Incentive Compensation Plan Restricted Stock Award Agreement (incorporated by reference to Exhibit 10.2 of Form 10-Q filed</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on November 7, 2007).</w:t>
            </w:r>
          </w:p>
        </w:tc>
        <w:tc>
          <w:tcPr>
            <w:tcW w:w="0" w:type="dxa"/>
            <w:vAlign w:val="bottom"/>
          </w:tcPr>
          <w:p>
            <w:pPr>
              <w:spacing w:after="0"/>
              <w:rPr>
                <w:sz w:val="1"/>
                <w:szCs w:val="1"/>
                <w:color w:val="auto"/>
              </w:rPr>
            </w:pPr>
          </w:p>
        </w:tc>
      </w:tr>
      <w:tr>
        <w:trPr>
          <w:trHeight w:val="305"/>
        </w:trPr>
        <w:tc>
          <w:tcPr>
            <w:tcW w:w="820" w:type="dxa"/>
            <w:vAlign w:val="bottom"/>
            <w:gridSpan w:val="2"/>
          </w:tcPr>
          <w:p>
            <w:pPr>
              <w:ind w:left="60"/>
              <w:spacing w:after="0"/>
              <w:rPr>
                <w:sz w:val="20"/>
                <w:szCs w:val="20"/>
                <w:color w:val="auto"/>
              </w:rPr>
            </w:pPr>
            <w:r>
              <w:rPr>
                <w:rFonts w:ascii="Arial" w:cs="Arial" w:eastAsia="Arial" w:hAnsi="Arial"/>
                <w:sz w:val="18"/>
                <w:szCs w:val="18"/>
                <w:color w:val="auto"/>
              </w:rPr>
              <w:t>10.20*</w:t>
            </w: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6"/>
              </w:rPr>
              <w:t>First Amendment to Extra Space Storage Inc. 2004 Non-Employee Directors’ Share Plan (incorporated by reference to Exhibit 10.4 of</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Form 10-Q filed on November 7, 2007).</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10.21</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8"/>
              </w:rPr>
              <w:t>Loan Agreement between ESP Seven Subsidiary LLC as Borrower and General Electric Capital Corporation as Lender, dated October 16, 2007.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10.30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10.22</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1"/>
              </w:rPr>
              <w:t>Subscription Agreement, dated December 31, 2007, among Extra Space Storage LLC and Extra Space Development, LLC.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10.31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10.23</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Revolving Promissory Note between Extra Space Properties Thirty LLC and Bank of America as Lender, dated February 13, 2009 (incorporated</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by reference to Exhibit 10.33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10.24</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Revolving Line of Credit between Extra Space Properties Thirty LLC and Bank of America as Lender, dated February 13, 2009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reference to Exhibit 10.34 of Form 10-K filed on February 26, 2010)</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10.25</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91"/>
              </w:rPr>
              <w:t>First Loan and Note Modification Agreement between Extra Space Properties Thirty LLC and Bank of America as lender, dated April 9, 2009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10.27 of Form 10-K filed on February 29, 2012).</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10.26</w:t>
            </w:r>
          </w:p>
        </w:tc>
        <w:tc>
          <w:tcPr>
            <w:tcW w:w="320" w:type="dxa"/>
            <w:vAlign w:val="bottom"/>
          </w:tcPr>
          <w:p>
            <w:pPr>
              <w:spacing w:after="0"/>
              <w:rPr>
                <w:sz w:val="24"/>
                <w:szCs w:val="24"/>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w w:val="89"/>
              </w:rPr>
              <w:t>Second Loan and Note Modification Agreement between Extra Space Properties Thirty LLC and Bank of America as lender, dated May 4, 2009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2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10.28 of Form 10-K filed on February 29, 2012).</w:t>
            </w: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Pr>
          <w:p>
            <w:pPr>
              <w:ind w:left="4720"/>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2"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0" w:type="dxa"/>
            <w:vAlign w:val="bottom"/>
          </w:tcPr>
          <w:p>
            <w:pPr>
              <w:ind w:left="60"/>
              <w:spacing w:after="0"/>
              <w:rPr>
                <w:sz w:val="20"/>
                <w:szCs w:val="20"/>
                <w:color w:val="auto"/>
              </w:rPr>
            </w:pPr>
            <w:r>
              <w:rPr>
                <w:rFonts w:ascii="Arial" w:cs="Arial" w:eastAsia="Arial" w:hAnsi="Arial"/>
                <w:sz w:val="18"/>
                <w:szCs w:val="18"/>
                <w:color w:val="auto"/>
                <w:w w:val="93"/>
              </w:rPr>
              <w:t>10.27</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1"/>
              </w:rPr>
              <w:t>Third Loan and Note Modification Agreement between Extra Space Properties Thirty LLC and Bank of America as lender, dated August 27,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2010 (incorporated by reference to Exhibit 10.29 of Form 10-K filed on February 29, 2012).</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10.28</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Fourth Loan and Note Modification Agreement between Extra Space Properties Thirty LLC and Bank of America as lender, dated October 19,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2011 (incorporated by reference to Exhibit 10.30 of Form 10-K filed on February 29, 2012).</w:t>
            </w:r>
          </w:p>
        </w:tc>
        <w:tc>
          <w:tcPr>
            <w:tcW w:w="0" w:type="dxa"/>
            <w:vAlign w:val="bottom"/>
          </w:tcPr>
          <w:p>
            <w:pPr>
              <w:spacing w:after="0"/>
              <w:rPr>
                <w:sz w:val="1"/>
                <w:szCs w:val="1"/>
                <w:color w:val="auto"/>
              </w:rPr>
            </w:pPr>
          </w:p>
        </w:tc>
      </w:tr>
      <w:tr>
        <w:trPr>
          <w:trHeight w:val="317"/>
        </w:trPr>
        <w:tc>
          <w:tcPr>
            <w:tcW w:w="820" w:type="dxa"/>
            <w:vAlign w:val="bottom"/>
            <w:gridSpan w:val="2"/>
          </w:tcPr>
          <w:p>
            <w:pPr>
              <w:ind w:left="60"/>
              <w:spacing w:after="0"/>
              <w:rPr>
                <w:sz w:val="20"/>
                <w:szCs w:val="20"/>
                <w:color w:val="auto"/>
              </w:rPr>
            </w:pPr>
            <w:r>
              <w:rPr>
                <w:rFonts w:ascii="Arial" w:cs="Arial" w:eastAsia="Arial" w:hAnsi="Arial"/>
                <w:sz w:val="18"/>
                <w:szCs w:val="18"/>
                <w:color w:val="auto"/>
              </w:rPr>
              <w:t>10.29*</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Extra Space Storage Inc. Executive Change in Control Plan (incorporated by reference to Exhibit 10.1 of Form 8-K filed on August 31, 2011).</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10.30</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Registration Rights Agreement, dated June 21, 2013, among Extra Space Storage LP, Extra Space Storage Inc., Citigroup Global Markets Inc.</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and Wells Fargo Securities, LLC (incorporated by reference to Exhibit 10.1 of Form 8-K filed on June 21, 2013).</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10.31</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Letter Agreement, dated as of November 22, 2013, amending the Contribution Agreement, dated June 15, 2007, among Extra Space Storage LP</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2"/>
              </w:rPr>
              <w:t>and various limited partnerships affiliated with AAAAA Rent-A-Space, and the Promissory Note, dated June 25, 2007, among Extra Space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7"/>
              </w:rPr>
              <w:t>Storage LP, H. James Knuppe and Barbara Knuppe (incorporated by reference to Exhibit 10.1 of Form 10-Q filed on May 8, 2014).</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w w:val="93"/>
              </w:rPr>
              <w:t>10.32</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Registration Rights Agreement, dated September 21, 2015, among Extra Space Storage LP, Extra Space Storage Inc., Citigroup Global Markets</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Inc. and Wells Fargo Securities, LLC, as representatives of the initial purchasers (incorporated by reference to Exhibit 10.1 of Form 8-K filed on</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September 21, 2015).</w:t>
            </w:r>
          </w:p>
        </w:tc>
        <w:tc>
          <w:tcPr>
            <w:tcW w:w="0" w:type="dxa"/>
            <w:vAlign w:val="bottom"/>
          </w:tcPr>
          <w:p>
            <w:pPr>
              <w:spacing w:after="0"/>
              <w:rPr>
                <w:sz w:val="1"/>
                <w:szCs w:val="1"/>
                <w:color w:val="auto"/>
              </w:rPr>
            </w:pPr>
          </w:p>
        </w:tc>
      </w:tr>
      <w:tr>
        <w:trPr>
          <w:trHeight w:val="317"/>
        </w:trPr>
        <w:tc>
          <w:tcPr>
            <w:tcW w:w="500" w:type="dxa"/>
            <w:vAlign w:val="bottom"/>
          </w:tcPr>
          <w:p>
            <w:pPr>
              <w:ind w:left="6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Subsidiaries of the Company(2)</w:t>
            </w:r>
          </w:p>
        </w:tc>
        <w:tc>
          <w:tcPr>
            <w:tcW w:w="0" w:type="dxa"/>
            <w:vAlign w:val="bottom"/>
          </w:tcPr>
          <w:p>
            <w:pPr>
              <w:spacing w:after="0"/>
              <w:rPr>
                <w:sz w:val="1"/>
                <w:szCs w:val="1"/>
                <w:color w:val="auto"/>
              </w:rPr>
            </w:pPr>
          </w:p>
        </w:tc>
      </w:tr>
      <w:tr>
        <w:trPr>
          <w:trHeight w:val="317"/>
        </w:trPr>
        <w:tc>
          <w:tcPr>
            <w:tcW w:w="500" w:type="dxa"/>
            <w:vAlign w:val="bottom"/>
          </w:tcPr>
          <w:p>
            <w:pPr>
              <w:ind w:left="6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Consent of Ernst &amp; Young LLP(2)</w:t>
            </w:r>
          </w:p>
        </w:tc>
        <w:tc>
          <w:tcPr>
            <w:tcW w:w="0" w:type="dxa"/>
            <w:vAlign w:val="bottom"/>
          </w:tcPr>
          <w:p>
            <w:pPr>
              <w:spacing w:after="0"/>
              <w:rPr>
                <w:sz w:val="1"/>
                <w:szCs w:val="1"/>
                <w:color w:val="auto"/>
              </w:rPr>
            </w:pPr>
          </w:p>
        </w:tc>
      </w:tr>
      <w:tr>
        <w:trPr>
          <w:trHeight w:val="317"/>
        </w:trPr>
        <w:tc>
          <w:tcPr>
            <w:tcW w:w="500" w:type="dxa"/>
            <w:vAlign w:val="bottom"/>
          </w:tcPr>
          <w:p>
            <w:pPr>
              <w:ind w:left="6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2002.(2)</w:t>
            </w:r>
          </w:p>
        </w:tc>
        <w:tc>
          <w:tcPr>
            <w:tcW w:w="0" w:type="dxa"/>
            <w:vAlign w:val="bottom"/>
          </w:tcPr>
          <w:p>
            <w:pPr>
              <w:spacing w:after="0"/>
              <w:rPr>
                <w:sz w:val="1"/>
                <w:szCs w:val="1"/>
                <w:color w:val="auto"/>
              </w:rPr>
            </w:pPr>
          </w:p>
        </w:tc>
      </w:tr>
      <w:tr>
        <w:trPr>
          <w:trHeight w:val="317"/>
        </w:trPr>
        <w:tc>
          <w:tcPr>
            <w:tcW w:w="500" w:type="dxa"/>
            <w:vAlign w:val="bottom"/>
          </w:tcPr>
          <w:p>
            <w:pPr>
              <w:ind w:left="6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2002.(2)</w:t>
            </w:r>
          </w:p>
        </w:tc>
        <w:tc>
          <w:tcPr>
            <w:tcW w:w="0" w:type="dxa"/>
            <w:vAlign w:val="bottom"/>
          </w:tcPr>
          <w:p>
            <w:pPr>
              <w:spacing w:after="0"/>
              <w:rPr>
                <w:sz w:val="1"/>
                <w:szCs w:val="1"/>
                <w:color w:val="auto"/>
              </w:rPr>
            </w:pPr>
          </w:p>
        </w:tc>
      </w:tr>
      <w:tr>
        <w:trPr>
          <w:trHeight w:val="305"/>
        </w:trPr>
        <w:tc>
          <w:tcPr>
            <w:tcW w:w="500" w:type="dxa"/>
            <w:vAlign w:val="bottom"/>
          </w:tcPr>
          <w:p>
            <w:pPr>
              <w:ind w:left="6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Certifications of the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of the Sarbanes-Oxley Act of 2002.(2)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right="180" w:hanging="1154"/>
        <w:spacing w:after="0" w:line="285" w:lineRule="auto"/>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following financial information from Registrant’s Annual Report on Form 10-K for the period ended December 31, 2014, formatted in Extensible Business Reporting Language (XBRL): (i) Consolidated Balance Sheets as of December 31, 2014 and 2013; (ii) Consolidated Statements of Operations for the years ended December 31, 2014, 2013 and 2012; (iii) Consolidated Statements of Comprehensive Income for the years ended December 31, 2014, 2013 and 2012; (iv) Consolidated Statements of Stockholders’ Equity for the years ended December 31, 2014, 2013 and 2012; (v) Consolidated Statements of Cash Flows for the years ended December 31, 2014, 2013 and 2012; and (vi) Notes to Consolidated Financial Statements(2).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728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21" w:lineRule="exact"/>
        <w:rPr>
          <w:sz w:val="20"/>
          <w:szCs w:val="20"/>
          <w:color w:val="auto"/>
        </w:rPr>
      </w:pPr>
    </w:p>
    <w:p>
      <w:pPr>
        <w:ind w:left="460" w:hanging="454"/>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6" w:lineRule="exact"/>
        <w:rPr>
          <w:sz w:val="20"/>
          <w:szCs w:val="20"/>
          <w:color w:val="auto"/>
        </w:rPr>
      </w:pPr>
    </w:p>
    <w:p>
      <w:pPr>
        <w:ind w:left="460" w:hanging="454"/>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S-11 (File No. 333-115436 dated August 11, 2004).</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 w:lineRule="exact"/>
        <w:rPr>
          <w:sz w:val="20"/>
          <w:szCs w:val="20"/>
          <w:color w:val="auto"/>
        </w:rPr>
      </w:pPr>
    </w:p>
    <w:p>
      <w:pPr>
        <w:ind w:left="460" w:hanging="454"/>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2"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280" w:firstLine="457"/>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Date: February 29, 2016</w:t>
            </w:r>
          </w:p>
        </w:tc>
        <w:tc>
          <w:tcPr>
            <w:tcW w:w="4100" w:type="dxa"/>
            <w:vAlign w:val="bottom"/>
            <w:gridSpan w:val="2"/>
          </w:tcPr>
          <w:p>
            <w:pPr>
              <w:ind w:left="170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XTRA</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S</w:t>
            </w:r>
            <w:r>
              <w:rPr>
                <w:rFonts w:ascii="Arial" w:cs="Arial" w:eastAsia="Arial" w:hAnsi="Arial"/>
                <w:sz w:val="14"/>
                <w:szCs w:val="14"/>
                <w:color w:val="auto"/>
              </w:rPr>
              <w:t>TORAGE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900" w:type="dxa"/>
            <w:vAlign w:val="bottom"/>
          </w:tcPr>
          <w:p>
            <w:pPr>
              <w:spacing w:after="0"/>
              <w:rPr>
                <w:sz w:val="19"/>
                <w:szCs w:val="19"/>
                <w:color w:val="auto"/>
              </w:rPr>
            </w:pPr>
          </w:p>
        </w:tc>
      </w:tr>
      <w:tr>
        <w:trPr>
          <w:trHeight w:val="383"/>
        </w:trPr>
        <w:tc>
          <w:tcPr>
            <w:tcW w:w="3420" w:type="dxa"/>
            <w:vAlign w:val="bottom"/>
          </w:tcPr>
          <w:p>
            <w:pPr>
              <w:spacing w:after="0"/>
              <w:rPr>
                <w:sz w:val="24"/>
                <w:szCs w:val="24"/>
                <w:color w:val="auto"/>
              </w:rPr>
            </w:pPr>
          </w:p>
        </w:tc>
        <w:tc>
          <w:tcPr>
            <w:tcW w:w="4100" w:type="dxa"/>
            <w:vAlign w:val="bottom"/>
            <w:gridSpan w:val="2"/>
          </w:tcPr>
          <w:p>
            <w:pPr>
              <w:ind w:left="1700"/>
              <w:spacing w:after="0"/>
              <w:rPr>
                <w:sz w:val="20"/>
                <w:szCs w:val="20"/>
                <w:color w:val="auto"/>
              </w:rPr>
            </w:pPr>
            <w:r>
              <w:rPr>
                <w:rFonts w:ascii="Arial" w:cs="Arial" w:eastAsia="Arial" w:hAnsi="Arial"/>
                <w:sz w:val="18"/>
                <w:szCs w:val="18"/>
                <w:color w:val="auto"/>
              </w:rPr>
              <w:t>By:</w:t>
            </w:r>
          </w:p>
        </w:tc>
        <w:tc>
          <w:tcPr>
            <w:tcW w:w="3900" w:type="dxa"/>
            <w:vAlign w:val="bottom"/>
          </w:tcPr>
          <w:p>
            <w:pPr>
              <w:jc w:val="center"/>
              <w:ind w:right="1572"/>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xml:space="preserve">/ </w:t>
            </w:r>
            <w:r>
              <w:rPr>
                <w:rFonts w:ascii="Arial" w:cs="Arial" w:eastAsia="Arial" w:hAnsi="Arial"/>
                <w:sz w:val="14"/>
                <w:szCs w:val="14"/>
                <w:color w:val="auto"/>
                <w:w w:val="97"/>
              </w:rPr>
              <w:t>SPENCER F</w:t>
            </w:r>
            <w:r>
              <w:rPr>
                <w:rFonts w:ascii="Arial" w:cs="Arial" w:eastAsia="Arial" w:hAnsi="Arial"/>
                <w:sz w:val="18"/>
                <w:szCs w:val="18"/>
                <w:color w:val="auto"/>
                <w:w w:val="97"/>
              </w:rPr>
              <w:t xml:space="preserve">. </w:t>
            </w:r>
            <w:r>
              <w:rPr>
                <w:rFonts w:ascii="Arial" w:cs="Arial" w:eastAsia="Arial" w:hAnsi="Arial"/>
                <w:sz w:val="14"/>
                <w:szCs w:val="14"/>
                <w:color w:val="auto"/>
                <w:w w:val="97"/>
              </w:rPr>
              <w:t>KIRK</w:t>
            </w:r>
          </w:p>
        </w:tc>
      </w:tr>
      <w:tr>
        <w:trPr>
          <w:trHeight w:val="192"/>
        </w:trPr>
        <w:tc>
          <w:tcPr>
            <w:tcW w:w="3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tcPr>
          <w:p>
            <w:pPr>
              <w:jc w:val="center"/>
              <w:ind w:right="1592"/>
              <w:spacing w:after="0" w:line="193" w:lineRule="exact"/>
              <w:rPr>
                <w:sz w:val="20"/>
                <w:szCs w:val="20"/>
                <w:color w:val="auto"/>
              </w:rPr>
            </w:pPr>
            <w:r>
              <w:rPr>
                <w:rFonts w:ascii="Arial" w:cs="Arial" w:eastAsia="Arial" w:hAnsi="Arial"/>
                <w:sz w:val="18"/>
                <w:szCs w:val="18"/>
                <w:color w:val="auto"/>
                <w:w w:val="88"/>
              </w:rPr>
              <w:t>Spencer F. Kirk</w:t>
            </w:r>
          </w:p>
        </w:tc>
      </w:tr>
      <w:tr>
        <w:trPr>
          <w:trHeight w:val="223"/>
        </w:trPr>
        <w:tc>
          <w:tcPr>
            <w:tcW w:w="34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900" w:type="dxa"/>
            <w:vAlign w:val="bottom"/>
          </w:tcPr>
          <w:p>
            <w:pPr>
              <w:jc w:val="center"/>
              <w:ind w:right="1592"/>
              <w:spacing w:after="0"/>
              <w:rPr>
                <w:sz w:val="20"/>
                <w:szCs w:val="20"/>
                <w:color w:val="auto"/>
              </w:rPr>
            </w:pPr>
            <w:r>
              <w:rPr>
                <w:rFonts w:ascii="Arial" w:cs="Arial" w:eastAsia="Arial" w:hAnsi="Arial"/>
                <w:sz w:val="18"/>
                <w:szCs w:val="18"/>
                <w:i w:val="1"/>
                <w:iCs w:val="1"/>
                <w:color w:val="auto"/>
                <w:w w:val="90"/>
              </w:rPr>
              <w:t>Chief Executive Officer</w:t>
            </w:r>
          </w:p>
        </w:tc>
      </w:tr>
    </w:tbl>
    <w:p>
      <w:pPr>
        <w:spacing w:after="0" w:line="213" w:lineRule="exact"/>
        <w:rPr>
          <w:sz w:val="20"/>
          <w:szCs w:val="20"/>
          <w:color w:val="auto"/>
        </w:rPr>
      </w:pPr>
    </w:p>
    <w:p>
      <w:pPr>
        <w:ind w:right="40" w:firstLine="457"/>
        <w:spacing w:after="0" w:line="26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19"/>
                <w:szCs w:val="19"/>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xml:space="preserve">/ </w:t>
            </w:r>
            <w:r>
              <w:rPr>
                <w:rFonts w:ascii="Arial" w:cs="Arial" w:eastAsia="Arial" w:hAnsi="Arial"/>
                <w:sz w:val="14"/>
                <w:szCs w:val="14"/>
                <w:color w:val="auto"/>
                <w:w w:val="97"/>
              </w:rPr>
              <w:t>SPENCER F</w:t>
            </w:r>
            <w:r>
              <w:rPr>
                <w:rFonts w:ascii="Arial" w:cs="Arial" w:eastAsia="Arial" w:hAnsi="Arial"/>
                <w:sz w:val="18"/>
                <w:szCs w:val="18"/>
                <w:color w:val="auto"/>
                <w:w w:val="97"/>
              </w:rPr>
              <w:t xml:space="preserve">. </w:t>
            </w:r>
            <w:r>
              <w:rPr>
                <w:rFonts w:ascii="Arial" w:cs="Arial" w:eastAsia="Arial" w:hAnsi="Arial"/>
                <w:sz w:val="14"/>
                <w:szCs w:val="14"/>
                <w:color w:val="auto"/>
                <w:w w:val="97"/>
              </w:rPr>
              <w:t>KIRK</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8"/>
              </w:rPr>
              <w:t>Spencer F. Kirk</w:t>
            </w:r>
          </w:p>
        </w:tc>
      </w:tr>
      <w:tr>
        <w:trPr>
          <w:trHeight w:val="211"/>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xml:space="preserve">/ </w:t>
            </w:r>
            <w:r>
              <w:rPr>
                <w:rFonts w:ascii="Arial" w:cs="Arial" w:eastAsia="Arial" w:hAnsi="Arial"/>
                <w:sz w:val="14"/>
                <w:szCs w:val="14"/>
                <w:color w:val="auto"/>
                <w:w w:val="96"/>
              </w:rPr>
              <w:t>P</w:t>
            </w:r>
            <w:r>
              <w:rPr>
                <w:rFonts w:ascii="Arial" w:cs="Arial" w:eastAsia="Arial" w:hAnsi="Arial"/>
                <w:sz w:val="18"/>
                <w:szCs w:val="18"/>
                <w:color w:val="auto"/>
                <w:w w:val="96"/>
              </w:rPr>
              <w:t xml:space="preserve">. </w:t>
            </w:r>
            <w:r>
              <w:rPr>
                <w:rFonts w:ascii="Arial" w:cs="Arial" w:eastAsia="Arial" w:hAnsi="Arial"/>
                <w:sz w:val="14"/>
                <w:szCs w:val="14"/>
                <w:color w:val="auto"/>
                <w:w w:val="96"/>
              </w:rPr>
              <w:t>SCOTT STUBBS</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5"/>
              </w:rPr>
              <w:t>P. Scott Stubbs</w:t>
            </w:r>
          </w:p>
        </w:tc>
      </w:tr>
      <w:tr>
        <w:trPr>
          <w:trHeight w:val="211"/>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 Chief Financial</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4"/>
              </w:rPr>
              <w:t>Officer (Principal Financial Officer)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xml:space="preserve">/ </w:t>
            </w:r>
            <w:r>
              <w:rPr>
                <w:rFonts w:ascii="Arial" w:cs="Arial" w:eastAsia="Arial" w:hAnsi="Arial"/>
                <w:sz w:val="14"/>
                <w:szCs w:val="14"/>
                <w:color w:val="auto"/>
                <w:w w:val="99"/>
              </w:rPr>
              <w:t>GRACE KUNDE</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8"/>
              </w:rPr>
              <w:t>Grace Kunde</w:t>
            </w:r>
          </w:p>
        </w:tc>
      </w:tr>
      <w:tr>
        <w:trPr>
          <w:trHeight w:val="211"/>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88"/>
              </w:rPr>
              <w:t>Senior Vice President, Accounting and Finance</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Accounting Officer)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KENNETH M</w:t>
            </w:r>
            <w:r>
              <w:rPr>
                <w:rFonts w:ascii="Arial" w:cs="Arial" w:eastAsia="Arial" w:hAnsi="Arial"/>
                <w:sz w:val="18"/>
                <w:szCs w:val="18"/>
                <w:color w:val="auto"/>
              </w:rPr>
              <w:t xml:space="preserve">. </w:t>
            </w:r>
            <w:r>
              <w:rPr>
                <w:rFonts w:ascii="Arial" w:cs="Arial" w:eastAsia="Arial" w:hAnsi="Arial"/>
                <w:sz w:val="14"/>
                <w:szCs w:val="14"/>
                <w:color w:val="auto"/>
              </w:rPr>
              <w:t>WOOLLEY</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90"/>
              </w:rPr>
              <w:t>Kenneth M. Woolley</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Chairman</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KARL HAAS</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8"/>
              </w:rPr>
              <w:t>Karl Haas</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xml:space="preserve">/ </w:t>
            </w:r>
            <w:r>
              <w:rPr>
                <w:rFonts w:ascii="Arial" w:cs="Arial" w:eastAsia="Arial" w:hAnsi="Arial"/>
                <w:sz w:val="14"/>
                <w:szCs w:val="14"/>
                <w:color w:val="auto"/>
                <w:w w:val="95"/>
              </w:rPr>
              <w:t>ROGER B</w:t>
            </w:r>
            <w:r>
              <w:rPr>
                <w:rFonts w:ascii="Arial" w:cs="Arial" w:eastAsia="Arial" w:hAnsi="Arial"/>
                <w:sz w:val="18"/>
                <w:szCs w:val="18"/>
                <w:color w:val="auto"/>
                <w:w w:val="95"/>
              </w:rPr>
              <w:t xml:space="preserve">. </w:t>
            </w:r>
            <w:r>
              <w:rPr>
                <w:rFonts w:ascii="Arial" w:cs="Arial" w:eastAsia="Arial" w:hAnsi="Arial"/>
                <w:sz w:val="14"/>
                <w:szCs w:val="14"/>
                <w:color w:val="auto"/>
                <w:w w:val="95"/>
              </w:rPr>
              <w:t>PORTER</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7"/>
              </w:rPr>
              <w:t>Roger B. Porter</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3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xml:space="preserve">/ </w:t>
            </w:r>
            <w:r>
              <w:rPr>
                <w:rFonts w:ascii="Arial" w:cs="Arial" w:eastAsia="Arial" w:hAnsi="Arial"/>
                <w:sz w:val="14"/>
                <w:szCs w:val="14"/>
                <w:color w:val="auto"/>
                <w:w w:val="97"/>
              </w:rPr>
              <w:t>K</w:t>
            </w:r>
            <w:r>
              <w:rPr>
                <w:rFonts w:ascii="Arial" w:cs="Arial" w:eastAsia="Arial" w:hAnsi="Arial"/>
                <w:sz w:val="18"/>
                <w:szCs w:val="18"/>
                <w:color w:val="auto"/>
                <w:w w:val="97"/>
              </w:rPr>
              <w:t xml:space="preserve">. </w:t>
            </w:r>
            <w:r>
              <w:rPr>
                <w:rFonts w:ascii="Arial" w:cs="Arial" w:eastAsia="Arial" w:hAnsi="Arial"/>
                <w:sz w:val="14"/>
                <w:szCs w:val="14"/>
                <w:color w:val="auto"/>
                <w:w w:val="97"/>
              </w:rPr>
              <w:t>FRED SKOUSEN</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7"/>
              </w:rPr>
              <w:t>K. Fred Skousen</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DIANE OLMSTEAD</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8"/>
              </w:rPr>
              <w:t>Diane Olmstead</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396"/>
        </w:trPr>
        <w:tc>
          <w:tcPr>
            <w:tcW w:w="34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060" w:type="dxa"/>
            <w:vAlign w:val="bottom"/>
          </w:tcPr>
          <w:p>
            <w:pPr>
              <w:ind w:left="172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GARY B</w:t>
            </w:r>
            <w:r>
              <w:rPr>
                <w:rFonts w:ascii="Arial" w:cs="Arial" w:eastAsia="Arial" w:hAnsi="Arial"/>
                <w:sz w:val="18"/>
                <w:szCs w:val="18"/>
                <w:color w:val="auto"/>
              </w:rPr>
              <w:t xml:space="preserve">. </w:t>
            </w:r>
            <w:r>
              <w:rPr>
                <w:rFonts w:ascii="Arial" w:cs="Arial" w:eastAsia="Arial" w:hAnsi="Arial"/>
                <w:sz w:val="14"/>
                <w:szCs w:val="14"/>
                <w:color w:val="auto"/>
              </w:rPr>
              <w:t>SABIN</w:t>
            </w:r>
          </w:p>
        </w:tc>
      </w:tr>
      <w:tr>
        <w:trPr>
          <w:trHeight w:val="192"/>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tcPr>
          <w:p>
            <w:pPr>
              <w:jc w:val="center"/>
              <w:spacing w:after="0" w:line="193" w:lineRule="exact"/>
              <w:rPr>
                <w:sz w:val="20"/>
                <w:szCs w:val="20"/>
                <w:color w:val="auto"/>
              </w:rPr>
            </w:pPr>
            <w:r>
              <w:rPr>
                <w:rFonts w:ascii="Arial" w:cs="Arial" w:eastAsia="Arial" w:hAnsi="Arial"/>
                <w:sz w:val="18"/>
                <w:szCs w:val="18"/>
                <w:color w:val="auto"/>
                <w:w w:val="89"/>
              </w:rPr>
              <w:t>Gary B. Sabin</w:t>
            </w:r>
          </w:p>
        </w:tc>
      </w:tr>
      <w:tr>
        <w:trPr>
          <w:trHeight w:val="223"/>
        </w:trPr>
        <w:tc>
          <w:tcPr>
            <w:tcW w:w="3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370"/>
        </w:trPr>
        <w:tc>
          <w:tcPr>
            <w:tcW w:w="3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20" w:type="dxa"/>
            <w:vAlign w:val="bottom"/>
            <w:gridSpan w:val="2"/>
          </w:tcPr>
          <w:p>
            <w:pPr>
              <w:jc w:val="right"/>
              <w:ind w:right="5492"/>
              <w:spacing w:after="0"/>
              <w:rPr>
                <w:sz w:val="20"/>
                <w:szCs w:val="20"/>
                <w:color w:val="auto"/>
              </w:rPr>
            </w:pPr>
            <w:r>
              <w:rPr>
                <w:rFonts w:ascii="Arial" w:cs="Arial" w:eastAsia="Arial" w:hAnsi="Arial"/>
                <w:sz w:val="18"/>
                <w:szCs w:val="18"/>
                <w:color w:val="auto"/>
              </w:rPr>
              <w:t>128</w:t>
            </w:r>
          </w:p>
        </w:tc>
      </w:tr>
    </w:tbl>
    <w:p>
      <w:pPr>
        <w:sectPr>
          <w:pgSz w:w="11900" w:h="16838" w:orient="portrait"/>
          <w:cols w:equalWidth="0" w:num="1">
            <w:col w:w="11420"/>
          </w:cols>
          <w:pgMar w:left="240" w:top="452"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188"/>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60" w:type="dxa"/>
            <w:vAlign w:val="bottom"/>
            <w:gridSpan w:val="2"/>
          </w:tcPr>
          <w:p>
            <w:pPr>
              <w:ind w:left="1820"/>
              <w:spacing w:after="0"/>
              <w:rPr>
                <w:sz w:val="20"/>
                <w:szCs w:val="20"/>
                <w:color w:val="auto"/>
              </w:rPr>
            </w:pPr>
            <w:r>
              <w:rPr>
                <w:rFonts w:ascii="Arial" w:cs="Arial" w:eastAsia="Arial" w:hAnsi="Arial"/>
                <w:sz w:val="14"/>
                <w:szCs w:val="14"/>
                <w:b w:val="1"/>
                <w:bCs w:val="1"/>
                <w:color w:val="auto"/>
                <w:w w:val="92"/>
              </w:rPr>
              <w:t>Jurisdiction of Formation/Incorporation</w:t>
            </w:r>
          </w:p>
        </w:tc>
      </w:tr>
      <w:tr>
        <w:trPr>
          <w:trHeight w:val="209"/>
        </w:trPr>
        <w:tc>
          <w:tcPr>
            <w:tcW w:w="3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76"/>
              </w:rPr>
              <w:t>Extra</w:t>
            </w:r>
          </w:p>
        </w:tc>
        <w:tc>
          <w:tcPr>
            <w:tcW w:w="3160" w:type="dxa"/>
            <w:vAlign w:val="bottom"/>
          </w:tcPr>
          <w:p>
            <w:pPr>
              <w:ind w:left="80"/>
              <w:spacing w:after="0" w:line="183" w:lineRule="exact"/>
              <w:rPr>
                <w:sz w:val="20"/>
                <w:szCs w:val="20"/>
                <w:color w:val="auto"/>
              </w:rPr>
            </w:pPr>
            <w:r>
              <w:rPr>
                <w:rFonts w:ascii="Arial" w:cs="Arial" w:eastAsia="Arial" w:hAnsi="Arial"/>
                <w:sz w:val="18"/>
                <w:szCs w:val="18"/>
                <w:color w:val="auto"/>
              </w:rPr>
              <w:t>Space Storage LP</w:t>
            </w:r>
          </w:p>
        </w:tc>
        <w:tc>
          <w:tcPr>
            <w:tcW w:w="1820" w:type="dxa"/>
            <w:vAlign w:val="bottom"/>
          </w:tcPr>
          <w:p>
            <w:pPr>
              <w:spacing w:after="0"/>
              <w:rPr>
                <w:sz w:val="18"/>
                <w:szCs w:val="18"/>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187" w:lineRule="exact"/>
        <w:rPr>
          <w:sz w:val="20"/>
          <w:szCs w:val="20"/>
          <w:color w:val="auto"/>
        </w:rPr>
      </w:pPr>
    </w:p>
    <w:p>
      <w:pPr>
        <w:ind w:right="300" w:firstLine="457"/>
        <w:spacing w:after="0" w:line="250" w:lineRule="auto"/>
        <w:rPr>
          <w:sz w:val="20"/>
          <w:szCs w:val="20"/>
          <w:color w:val="auto"/>
        </w:rPr>
      </w:pPr>
      <w:r>
        <w:rPr>
          <w:rFonts w:ascii="Arial" w:cs="Arial" w:eastAsia="Arial" w:hAnsi="Arial"/>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2015. A total of 360 subsidiaries have been excluded, each of which operates in the United States [other than one subsidiary which operates in Bermuda].</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1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0" w:lineRule="exact"/>
        <w:rPr>
          <w:sz w:val="20"/>
          <w:szCs w:val="20"/>
          <w:color w:val="auto"/>
        </w:rPr>
      </w:pPr>
    </w:p>
    <w:p>
      <w:pPr>
        <w:ind w:left="460" w:right="3460"/>
        <w:spacing w:after="0" w:line="413" w:lineRule="auto"/>
        <w:rPr>
          <w:sz w:val="20"/>
          <w:szCs w:val="20"/>
          <w:color w:val="auto"/>
        </w:rPr>
      </w:pPr>
      <w:r>
        <w:rPr>
          <w:rFonts w:ascii="Arial" w:cs="Arial" w:eastAsia="Arial" w:hAnsi="Arial"/>
          <w:sz w:val="16"/>
          <w:szCs w:val="16"/>
          <w:color w:val="auto"/>
        </w:rPr>
        <w:t>Registration Statement (Form S-8 No. 333-204010, filed on May 8, 2015) of Extra Space Storage Inc. Registration Statement (Form S-3 No. 333-198215, filed on August 18, 2014) of Extra Space Storage Inc., Registration Statement (Form S-3 No. 333-198194, filed on August 15, 2014) of Extra Space Storage Inc., Registration Statement (Form S-3 No. 333-190928, filed on August 30, 2013) of Extra Space Storage Inc., Registration Statement (Form S-3 No. 333-176296, filed on August 12, 2011) of Extra Space Storage Inc., Registration Statement (Form S-3 No. 333-176277, filed on August 12, 2011) of Extra Space Storage Inc., Registration Statement (Form S-3 No. 333-176276, filed on August 12, 2011) of Extra Space Storage Inc.,</w:t>
      </w:r>
    </w:p>
    <w:p>
      <w:pPr>
        <w:spacing w:after="0" w:line="1" w:lineRule="exact"/>
        <w:rPr>
          <w:sz w:val="20"/>
          <w:szCs w:val="20"/>
          <w:color w:val="auto"/>
        </w:rPr>
      </w:pPr>
    </w:p>
    <w:p>
      <w:pPr>
        <w:ind w:left="460" w:right="1040"/>
        <w:spacing w:after="0" w:line="367" w:lineRule="auto"/>
        <w:rPr>
          <w:sz w:val="20"/>
          <w:szCs w:val="20"/>
          <w:color w:val="auto"/>
        </w:rPr>
      </w:pPr>
      <w:r>
        <w:rPr>
          <w:rFonts w:ascii="Arial" w:cs="Arial" w:eastAsia="Arial" w:hAnsi="Arial"/>
          <w:sz w:val="18"/>
          <w:szCs w:val="18"/>
          <w:color w:val="auto"/>
        </w:rPr>
        <w:t>Registration Statement (Form S-8 No. 333-157559, filed on February 27, 2009) pertaining to the Extra Space Management, Inc. 401(k) Plan, Registration Statement (Form S-3 No. 333-133407, filed on April 19, 2006) of Extra Space Storage Inc.,</w:t>
      </w:r>
    </w:p>
    <w:p>
      <w:pPr>
        <w:spacing w:after="0" w:line="1" w:lineRule="exact"/>
        <w:rPr>
          <w:sz w:val="20"/>
          <w:szCs w:val="20"/>
          <w:color w:val="auto"/>
        </w:rPr>
      </w:pPr>
    </w:p>
    <w:p>
      <w:pPr>
        <w:ind w:left="460" w:right="2920"/>
        <w:spacing w:after="0" w:line="440" w:lineRule="auto"/>
        <w:rPr>
          <w:sz w:val="20"/>
          <w:szCs w:val="20"/>
          <w:color w:val="auto"/>
        </w:rPr>
      </w:pPr>
      <w:r>
        <w:rPr>
          <w:rFonts w:ascii="Arial" w:cs="Arial" w:eastAsia="Arial" w:hAnsi="Arial"/>
          <w:sz w:val="15"/>
          <w:szCs w:val="15"/>
          <w:color w:val="auto"/>
        </w:rPr>
        <w:t>Registration Statement (Form S-3 No. 333-128988, filed on October 13, 2005) of Extra Space Storage Inc., Registration Statement (Form S-3 No. 333-128504, filed on September 22, 2005) of Extra Space Storage Inc., and</w:t>
      </w:r>
    </w:p>
    <w:p>
      <w:pPr>
        <w:spacing w:after="0" w:line="1"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Registration Statement (Form S-8 No. 333-126742, filed on July 20, 2005) pertaining to the Extra Space Storage Inc. 2004 Non-Employee Directors’ Share Plan and the Extra Space Storage Inc. 2004 Long Term Incentive Compensation Plan,</w:t>
      </w:r>
    </w:p>
    <w:p>
      <w:pPr>
        <w:spacing w:after="0" w:line="180" w:lineRule="exact"/>
        <w:rPr>
          <w:sz w:val="20"/>
          <w:szCs w:val="20"/>
          <w:color w:val="auto"/>
        </w:rPr>
      </w:pPr>
    </w:p>
    <w:p>
      <w:pPr>
        <w:ind w:right="260"/>
        <w:spacing w:after="0" w:line="326" w:lineRule="auto"/>
        <w:rPr>
          <w:sz w:val="20"/>
          <w:szCs w:val="20"/>
          <w:color w:val="auto"/>
        </w:rPr>
      </w:pPr>
      <w:r>
        <w:rPr>
          <w:rFonts w:ascii="Arial" w:cs="Arial" w:eastAsia="Arial" w:hAnsi="Arial"/>
          <w:sz w:val="16"/>
          <w:szCs w:val="16"/>
          <w:color w:val="auto"/>
        </w:rPr>
        <w:t>of our reports dated February 29, 2016, with respect to the consolidated financial statements and schedule of Extra Space Storage Inc., and the effectiveness of internal control over financial reporting of Extra Space Storage Inc., included in this Annual Report (Form 10-K) for the year ended December 31,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123" w:lineRule="exact"/>
        <w:rPr>
          <w:sz w:val="20"/>
          <w:szCs w:val="20"/>
          <w:color w:val="auto"/>
        </w:rPr>
      </w:pPr>
    </w:p>
    <w:p>
      <w:pPr>
        <w:ind w:left="460" w:hanging="454"/>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22" w:lineRule="exact"/>
        <w:rPr>
          <w:rFonts w:ascii="Arial" w:cs="Arial" w:eastAsia="Arial" w:hAnsi="Arial"/>
          <w:sz w:val="18"/>
          <w:szCs w:val="18"/>
          <w:color w:val="auto"/>
        </w:rPr>
      </w:pPr>
    </w:p>
    <w:p>
      <w:pPr>
        <w:jc w:val="both"/>
        <w:ind w:left="460" w:right="220" w:hanging="454"/>
        <w:spacing w:after="0" w:line="363"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5"/>
          <w:szCs w:val="15"/>
          <w:color w:val="auto"/>
        </w:rPr>
      </w:pPr>
    </w:p>
    <w:p>
      <w:pPr>
        <w:ind w:left="460" w:right="40" w:hanging="454"/>
        <w:spacing w:after="0" w:line="263"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8"/>
          <w:szCs w:val="18"/>
          <w:color w:val="auto"/>
        </w:rPr>
      </w:pPr>
    </w:p>
    <w:p>
      <w:pPr>
        <w:ind w:left="460" w:right="180" w:hanging="454"/>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00" w:right="40" w:hanging="446"/>
        <w:spacing w:after="0" w:line="25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900" w:right="20" w:hanging="446"/>
        <w:spacing w:after="0" w:line="25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900" w:right="80" w:hanging="446"/>
        <w:spacing w:after="0" w:line="326"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900" w:right="100" w:hanging="446"/>
        <w:spacing w:after="0" w:line="25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460" w:right="620" w:hanging="454"/>
        <w:spacing w:after="0" w:line="326"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900" w:right="440" w:hanging="446"/>
        <w:spacing w:after="0" w:line="326"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900" w:right="40" w:hanging="446"/>
        <w:spacing w:after="0" w:line="263"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4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SPENCER F</w:t>
      </w:r>
      <w:r>
        <w:rPr>
          <w:rFonts w:ascii="Arial" w:cs="Arial" w:eastAsia="Arial" w:hAnsi="Arial"/>
          <w:sz w:val="18"/>
          <w:szCs w:val="18"/>
          <w:color w:val="auto"/>
        </w:rPr>
        <w:t xml:space="preserve">. </w:t>
      </w:r>
      <w:r>
        <w:rPr>
          <w:rFonts w:ascii="Arial" w:cs="Arial" w:eastAsia="Arial" w:hAnsi="Arial"/>
          <w:sz w:val="14"/>
          <w:szCs w:val="14"/>
          <w:color w:val="auto"/>
        </w:rPr>
        <w:t>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10795</wp:posOffset>
            </wp:positionV>
            <wp:extent cx="25393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 Spencer F. Kirk</w:t>
      </w:r>
    </w:p>
    <w:p>
      <w:pPr>
        <w:spacing w:after="0" w:line="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123" w:lineRule="exact"/>
        <w:rPr>
          <w:sz w:val="20"/>
          <w:szCs w:val="20"/>
          <w:color w:val="auto"/>
        </w:rPr>
      </w:pPr>
    </w:p>
    <w:p>
      <w:pPr>
        <w:ind w:left="460" w:hanging="454"/>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22" w:lineRule="exact"/>
        <w:rPr>
          <w:rFonts w:ascii="Arial" w:cs="Arial" w:eastAsia="Arial" w:hAnsi="Arial"/>
          <w:sz w:val="18"/>
          <w:szCs w:val="18"/>
          <w:color w:val="auto"/>
        </w:rPr>
      </w:pPr>
    </w:p>
    <w:p>
      <w:pPr>
        <w:jc w:val="both"/>
        <w:ind w:left="460" w:right="220" w:hanging="454"/>
        <w:spacing w:after="0" w:line="363"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5"/>
          <w:szCs w:val="15"/>
          <w:color w:val="auto"/>
        </w:rPr>
      </w:pPr>
    </w:p>
    <w:p>
      <w:pPr>
        <w:ind w:left="460" w:right="40" w:hanging="454"/>
        <w:spacing w:after="0" w:line="263"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8"/>
          <w:szCs w:val="18"/>
          <w:color w:val="auto"/>
        </w:rPr>
      </w:pPr>
    </w:p>
    <w:p>
      <w:pPr>
        <w:ind w:left="460" w:right="180" w:hanging="454"/>
        <w:spacing w:after="0" w:line="25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00" w:right="40" w:hanging="446"/>
        <w:spacing w:after="0" w:line="25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900" w:right="20" w:hanging="446"/>
        <w:spacing w:after="0" w:line="25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900" w:right="80" w:hanging="446"/>
        <w:spacing w:after="0" w:line="326"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900" w:right="100" w:hanging="446"/>
        <w:spacing w:after="0" w:line="25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460" w:right="620" w:hanging="454"/>
        <w:spacing w:after="0" w:line="32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6"/>
          <w:szCs w:val="16"/>
          <w:color w:val="auto"/>
        </w:rPr>
      </w:pPr>
    </w:p>
    <w:p>
      <w:pPr>
        <w:ind w:left="900" w:right="440" w:hanging="446"/>
        <w:spacing w:after="0" w:line="326"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900" w:right="40" w:hanging="446"/>
        <w:spacing w:after="0" w:line="263"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42"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P</w:t>
            </w:r>
            <w:r>
              <w:rPr>
                <w:rFonts w:ascii="Arial" w:cs="Arial" w:eastAsia="Arial" w:hAnsi="Arial"/>
                <w:sz w:val="18"/>
                <w:szCs w:val="18"/>
                <w:color w:val="auto"/>
              </w:rPr>
              <w:t xml:space="preserve">. </w:t>
            </w:r>
            <w:r>
              <w:rPr>
                <w:rFonts w:ascii="Arial" w:cs="Arial" w:eastAsia="Arial" w:hAnsi="Arial"/>
                <w:sz w:val="14"/>
                <w:szCs w:val="14"/>
                <w:color w:val="auto"/>
              </w:rPr>
              <w:t>SCOTT STUBBS</w:t>
            </w: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205" w:lineRule="exact"/>
              <w:rPr>
                <w:sz w:val="20"/>
                <w:szCs w:val="20"/>
                <w:color w:val="auto"/>
              </w:rPr>
            </w:pPr>
            <w:r>
              <w:rPr>
                <w:rFonts w:ascii="Arial" w:cs="Arial" w:eastAsia="Arial" w:hAnsi="Arial"/>
                <w:sz w:val="18"/>
                <w:szCs w:val="18"/>
                <w:color w:val="auto"/>
              </w:rPr>
              <w:t>P. Scott Stubbs</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4" w:lineRule="exact"/>
        <w:rPr>
          <w:sz w:val="20"/>
          <w:szCs w:val="20"/>
          <w:color w:val="auto"/>
        </w:rPr>
      </w:pPr>
    </w:p>
    <w:p>
      <w:pPr>
        <w:ind w:right="180" w:firstLine="457"/>
        <w:spacing w:after="0" w:line="317" w:lineRule="auto"/>
        <w:rPr>
          <w:sz w:val="20"/>
          <w:szCs w:val="20"/>
          <w:color w:val="auto"/>
        </w:rPr>
      </w:pPr>
      <w:r>
        <w:rPr>
          <w:rFonts w:ascii="Arial" w:cs="Arial" w:eastAsia="Arial" w:hAnsi="Arial"/>
          <w:sz w:val="15"/>
          <w:szCs w:val="15"/>
          <w:color w:val="auto"/>
        </w:rPr>
        <w:t>I, Spencer F. Kirk,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2015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640" w:type="dxa"/>
            <w:vAlign w:val="bottom"/>
          </w:tcPr>
          <w:p>
            <w:pPr>
              <w:ind w:left="18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SPENCER F</w:t>
            </w:r>
            <w:r>
              <w:rPr>
                <w:rFonts w:ascii="Arial" w:cs="Arial" w:eastAsia="Arial" w:hAnsi="Arial"/>
                <w:sz w:val="18"/>
                <w:szCs w:val="18"/>
                <w:color w:val="auto"/>
              </w:rPr>
              <w:t xml:space="preserve">. </w:t>
            </w:r>
            <w:r>
              <w:rPr>
                <w:rFonts w:ascii="Arial" w:cs="Arial" w:eastAsia="Arial" w:hAnsi="Arial"/>
                <w:sz w:val="14"/>
                <w:szCs w:val="14"/>
                <w:color w:val="auto"/>
              </w:rPr>
              <w:t>KIRK</w:t>
            </w:r>
          </w:p>
        </w:tc>
      </w:tr>
      <w:tr>
        <w:trPr>
          <w:trHeight w:val="205"/>
        </w:trPr>
        <w:tc>
          <w:tcPr>
            <w:tcW w:w="3540" w:type="dxa"/>
            <w:vAlign w:val="bottom"/>
          </w:tcPr>
          <w:p>
            <w:pPr>
              <w:spacing w:after="0"/>
              <w:rPr>
                <w:sz w:val="17"/>
                <w:szCs w:val="17"/>
                <w:color w:val="auto"/>
              </w:rPr>
            </w:pPr>
          </w:p>
        </w:tc>
        <w:tc>
          <w:tcPr>
            <w:tcW w:w="2640" w:type="dxa"/>
            <w:vAlign w:val="bottom"/>
          </w:tcPr>
          <w:p>
            <w:pPr>
              <w:ind w:left="1820"/>
              <w:spacing w:after="0" w:line="205"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205" w:lineRule="exact"/>
              <w:rPr>
                <w:sz w:val="20"/>
                <w:szCs w:val="20"/>
                <w:color w:val="auto"/>
              </w:rPr>
            </w:pPr>
            <w:r>
              <w:rPr>
                <w:rFonts w:ascii="Arial" w:cs="Arial" w:eastAsia="Arial" w:hAnsi="Arial"/>
                <w:sz w:val="18"/>
                <w:szCs w:val="18"/>
                <w:color w:val="auto"/>
              </w:rPr>
              <w:t>Spencer F. Kirk</w:t>
            </w:r>
          </w:p>
        </w:tc>
      </w:tr>
      <w:tr>
        <w:trPr>
          <w:trHeight w:val="223"/>
        </w:trPr>
        <w:tc>
          <w:tcPr>
            <w:tcW w:w="3540" w:type="dxa"/>
            <w:vAlign w:val="bottom"/>
          </w:tcPr>
          <w:p>
            <w:pPr>
              <w:spacing w:after="0"/>
              <w:rPr>
                <w:sz w:val="19"/>
                <w:szCs w:val="19"/>
                <w:color w:val="auto"/>
              </w:rPr>
            </w:pPr>
          </w:p>
        </w:tc>
        <w:tc>
          <w:tcPr>
            <w:tcW w:w="2640" w:type="dxa"/>
            <w:vAlign w:val="bottom"/>
          </w:tcPr>
          <w:p>
            <w:pPr>
              <w:ind w:left="182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ind w:firstLine="457"/>
        <w:spacing w:after="0" w:line="292" w:lineRule="auto"/>
        <w:rPr>
          <w:sz w:val="20"/>
          <w:szCs w:val="20"/>
          <w:color w:val="auto"/>
        </w:rPr>
      </w:pPr>
      <w:r>
        <w:rPr>
          <w:rFonts w:ascii="Arial" w:cs="Arial" w:eastAsia="Arial" w:hAnsi="Arial"/>
          <w:sz w:val="16"/>
          <w:szCs w:val="16"/>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2015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Date: February 29, 2016</w:t>
            </w:r>
          </w:p>
        </w:tc>
        <w:tc>
          <w:tcPr>
            <w:tcW w:w="2640" w:type="dxa"/>
            <w:vAlign w:val="bottom"/>
          </w:tcPr>
          <w:p>
            <w:pPr>
              <w:ind w:left="18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P</w:t>
            </w:r>
            <w:r>
              <w:rPr>
                <w:rFonts w:ascii="Arial" w:cs="Arial" w:eastAsia="Arial" w:hAnsi="Arial"/>
                <w:sz w:val="18"/>
                <w:szCs w:val="18"/>
                <w:color w:val="auto"/>
              </w:rPr>
              <w:t xml:space="preserve">. </w:t>
            </w:r>
            <w:r>
              <w:rPr>
                <w:rFonts w:ascii="Arial" w:cs="Arial" w:eastAsia="Arial" w:hAnsi="Arial"/>
                <w:sz w:val="14"/>
                <w:szCs w:val="14"/>
                <w:color w:val="auto"/>
              </w:rPr>
              <w:t>SCOTT STUBBS</w:t>
            </w:r>
          </w:p>
        </w:tc>
      </w:tr>
      <w:tr>
        <w:trPr>
          <w:trHeight w:val="205"/>
        </w:trPr>
        <w:tc>
          <w:tcPr>
            <w:tcW w:w="3540" w:type="dxa"/>
            <w:vAlign w:val="bottom"/>
          </w:tcPr>
          <w:p>
            <w:pPr>
              <w:spacing w:after="0"/>
              <w:rPr>
                <w:sz w:val="17"/>
                <w:szCs w:val="17"/>
                <w:color w:val="auto"/>
              </w:rPr>
            </w:pPr>
          </w:p>
        </w:tc>
        <w:tc>
          <w:tcPr>
            <w:tcW w:w="2640" w:type="dxa"/>
            <w:vAlign w:val="bottom"/>
          </w:tcPr>
          <w:p>
            <w:pPr>
              <w:ind w:left="1820"/>
              <w:spacing w:after="0" w:line="205"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205" w:lineRule="exact"/>
              <w:rPr>
                <w:sz w:val="20"/>
                <w:szCs w:val="20"/>
                <w:color w:val="auto"/>
              </w:rPr>
            </w:pPr>
            <w:r>
              <w:rPr>
                <w:rFonts w:ascii="Arial" w:cs="Arial" w:eastAsia="Arial" w:hAnsi="Arial"/>
                <w:sz w:val="18"/>
                <w:szCs w:val="18"/>
                <w:color w:val="auto"/>
              </w:rPr>
              <w:t>P. Scott Stubbs</w:t>
            </w:r>
          </w:p>
        </w:tc>
      </w:tr>
      <w:tr>
        <w:trPr>
          <w:trHeight w:val="223"/>
        </w:trPr>
        <w:tc>
          <w:tcPr>
            <w:tcW w:w="3540" w:type="dxa"/>
            <w:vAlign w:val="bottom"/>
          </w:tcPr>
          <w:p>
            <w:pPr>
              <w:spacing w:after="0"/>
              <w:rPr>
                <w:sz w:val="19"/>
                <w:szCs w:val="19"/>
                <w:color w:val="auto"/>
              </w:rPr>
            </w:pPr>
          </w:p>
        </w:tc>
        <w:tc>
          <w:tcPr>
            <w:tcW w:w="2640" w:type="dxa"/>
            <w:vAlign w:val="bottom"/>
          </w:tcPr>
          <w:p>
            <w:pPr>
              <w:ind w:left="182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emdash "/>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2"/>
    </w:lvl>
  </w:abstractNum>
  <w:abstractNum w:abstractNumId="22">
    <w:nsid w:val="2A487CB0"/>
    <w:multiLevelType w:val="hybridMultilevel"/>
    <w:lvl w:ilvl="0">
      <w:lvlJc w:val="left"/>
      <w:lvlText w:val="%1."/>
      <w:numFmt w:val="decimal"/>
      <w:start w:val="3"/>
    </w:lvl>
  </w:abstractNum>
  <w:abstractNum w:abstractNumId="23">
    <w:nsid w:val="1D4ED43B"/>
    <w:multiLevelType w:val="hybridMultilevel"/>
    <w:lvl w:ilvl="0">
      <w:lvlJc w:val="left"/>
      <w:lvlText w:val="%1."/>
      <w:numFmt w:val="decimal"/>
      <w:start w:val="4"/>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5"/>
    </w:lvl>
  </w:abstractNum>
  <w:abstractNum w:abstractNumId="26">
    <w:nsid w:val="57E4CCAF"/>
    <w:multiLevelType w:val="hybridMultilevel"/>
    <w:lvl w:ilvl="0">
      <w:lvlJc w:val="left"/>
      <w:lvlText w:val="%1."/>
      <w:numFmt w:val="decimal"/>
      <w:start w:val="6"/>
    </w:lvl>
  </w:abstractNum>
  <w:abstractNum w:abstractNumId="27">
    <w:nsid w:val="7A6D8D3C"/>
    <w:multiLevelType w:val="hybridMultilevel"/>
    <w:lvl w:ilvl="0">
      <w:lvlJc w:val="left"/>
      <w:lvlText w:val="%1."/>
      <w:numFmt w:val="decimal"/>
      <w:start w:val="8"/>
    </w:lvl>
  </w:abstractNum>
  <w:abstractNum w:abstractNumId="28">
    <w:nsid w:val="4B588F54"/>
    <w:multiLevelType w:val="hybridMultilevel"/>
    <w:lvl w:ilvl="0">
      <w:lvlJc w:val="left"/>
      <w:lvlText w:val="%1."/>
      <w:numFmt w:val="decimal"/>
      <w:start w:val="9"/>
    </w:lvl>
  </w:abstractNum>
  <w:abstractNum w:abstractNumId="29">
    <w:nsid w:val="542289EC"/>
    <w:multiLevelType w:val="hybridMultilevel"/>
    <w:lvl w:ilvl="0">
      <w:lvlJc w:val="left"/>
      <w:lvlText w:val="%1."/>
      <w:numFmt w:val="decimal"/>
      <w:start w:val="10"/>
    </w:lvl>
  </w:abstractNum>
  <w:abstractNum w:abstractNumId="30">
    <w:nsid w:val="6DE91B18"/>
    <w:multiLevelType w:val="hybridMultilevel"/>
    <w:lvl w:ilvl="0">
      <w:lvlJc w:val="left"/>
      <w:lvlText w:val="%1."/>
      <w:numFmt w:val="decimal"/>
      <w:start w:val="1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2"/>
    </w:lvl>
  </w:abstractNum>
  <w:abstractNum w:abstractNumId="37">
    <w:nsid w:val="3DC240FB"/>
    <w:multiLevelType w:val="hybridMultilevel"/>
    <w:lvl w:ilvl="0">
      <w:lvlJc w:val="left"/>
      <w:lvlText w:val="%1."/>
      <w:numFmt w:val="decimal"/>
      <w:start w:val="13"/>
    </w:lvl>
  </w:abstractNum>
  <w:abstractNum w:abstractNumId="38">
    <w:nsid w:val="1BA026FA"/>
    <w:multiLevelType w:val="hybridMultilevel"/>
    <w:lvl w:ilvl="0">
      <w:lvlJc w:val="left"/>
      <w:lvlText w:val="%1."/>
      <w:numFmt w:val="decimal"/>
      <w:start w:val="14"/>
    </w:lvl>
  </w:abstractNum>
  <w:abstractNum w:abstractNumId="39">
    <w:nsid w:val="79A1DEAA"/>
    <w:multiLevelType w:val="hybridMultilevel"/>
    <w:lvl w:ilvl="0">
      <w:lvlJc w:val="left"/>
      <w:lvlText w:val="%1."/>
      <w:numFmt w:val="decimal"/>
      <w:start w:val="15"/>
    </w:lvl>
  </w:abstractNum>
  <w:abstractNum w:abstractNumId="40">
    <w:nsid w:val="75C6C33A"/>
    <w:multiLevelType w:val="hybridMultilevel"/>
    <w:lvl w:ilvl="0">
      <w:lvlJc w:val="left"/>
      <w:lvlText w:val="%1."/>
      <w:numFmt w:val="decimal"/>
      <w:start w:val="16"/>
    </w:lvl>
  </w:abstractNum>
  <w:abstractNum w:abstractNumId="41">
    <w:nsid w:val="12E685FB"/>
    <w:multiLevelType w:val="hybridMultilevel"/>
    <w:lvl w:ilvl="0">
      <w:lvlJc w:val="left"/>
      <w:lvlText w:val="%1."/>
      <w:numFmt w:val="decimal"/>
      <w:start w:val="17"/>
    </w:lvl>
  </w:abstractNum>
  <w:abstractNum w:abstractNumId="42">
    <w:nsid w:val="70C6A529"/>
    <w:multiLevelType w:val="hybridMultilevel"/>
    <w:lvl w:ilvl="0">
      <w:lvlJc w:val="left"/>
      <w:lvlText w:val="%1."/>
      <w:numFmt w:val="decimal"/>
      <w:start w:val="18"/>
    </w:lvl>
  </w:abstractNum>
  <w:abstractNum w:abstractNumId="43">
    <w:nsid w:val="520EEDD1"/>
    <w:multiLevelType w:val="hybridMultilevel"/>
    <w:lvl w:ilvl="0">
      <w:lvlJc w:val="left"/>
      <w:lvlText w:val="%1."/>
      <w:numFmt w:val="decimal"/>
      <w:start w:val="19"/>
    </w:lvl>
  </w:abstractNum>
  <w:abstractNum w:abstractNumId="44">
    <w:nsid w:val="374A3FE6"/>
    <w:multiLevelType w:val="hybridMultilevel"/>
    <w:lvl w:ilvl="0">
      <w:lvlJc w:val="left"/>
      <w:lvlText w:val="%1."/>
      <w:numFmt w:val="decimal"/>
      <w:start w:val="20"/>
    </w:lvl>
  </w:abstractNum>
  <w:abstractNum w:abstractNumId="45">
    <w:nsid w:val="4F4EF005"/>
    <w:multiLevelType w:val="hybridMultilevel"/>
    <w:lvl w:ilvl="0">
      <w:lvlJc w:val="left"/>
      <w:lvlText w:val="%1."/>
      <w:numFmt w:val="decimal"/>
      <w:start w:val="21"/>
    </w:lvl>
  </w:abstractNum>
  <w:abstractNum w:abstractNumId="46">
    <w:nsid w:val="23F9C13C"/>
    <w:multiLevelType w:val="hybridMultilevel"/>
    <w:lvl w:ilvl="0">
      <w:lvlJc w:val="left"/>
      <w:lvlText w:val="%1."/>
      <w:numFmt w:val="decimal"/>
      <w:start w:val="22"/>
    </w:lvl>
  </w:abstractNum>
  <w:abstractNum w:abstractNumId="47">
    <w:nsid w:val="649BB77C"/>
    <w:multiLevelType w:val="hybridMultilevel"/>
    <w:lvl w:ilvl="0">
      <w:lvlJc w:val="left"/>
      <w:lvlText w:val="%1."/>
      <w:numFmt w:val="decimal"/>
      <w:start w:val="23"/>
    </w:lvl>
  </w:abstractNum>
  <w:abstractNum w:abstractNumId="48">
    <w:nsid w:val="275AC794"/>
    <w:multiLevelType w:val="hybridMultilevel"/>
    <w:lvl w:ilvl="0">
      <w:lvlJc w:val="left"/>
      <w:lvlText w:val="%1."/>
      <w:numFmt w:val="decimal"/>
      <w:start w:val="24"/>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Roman"/>
      <w:start w:val="1"/>
    </w:lvl>
  </w:abstractNum>
  <w:abstractNum w:abstractNumId="51">
    <w:nsid w:val="180115BE"/>
    <w:multiLevelType w:val="hybridMultilevel"/>
    <w:lvl w:ilvl="0">
      <w:lvlJc w:val="left"/>
      <w:lvlText w:val="(%1)"/>
      <w:numFmt w:val="lowerRoman"/>
      <w:start w:val="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3"/>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0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lowerLetter"/>
      <w:start w:val="3"/>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2019-12-29T14:27:54Z</dcterms:created>
  <dcterms:modified xsi:type="dcterms:W3CDTF">2019-12-29T14:27:54Z</dcterms:modified>
</cp:coreProperties>
</file>