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10-K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2021 </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001-32269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EXTRA SPACE STORAGE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4750" w:type="dxa"/>
        <w:jc w:val="left"/>
        <w:tblInd w:w="0" w:type="dxa"/>
        <w:tblCellMar>
          <w:top w:w="28" w:type="dxa"/>
          <w:left w:w="28" w:type="dxa"/>
          <w:bottom w:w="28" w:type="dxa"/>
          <w:right w:w="28" w:type="dxa"/>
        </w:tblCellMar>
      </w:tblPr>
      <w:tblGrid>
        <w:gridCol w:w="994"/>
        <w:gridCol w:w="872"/>
        <w:gridCol w:w="878"/>
        <w:gridCol w:w="109"/>
        <w:gridCol w:w="109"/>
        <w:gridCol w:w="109"/>
        <w:gridCol w:w="489"/>
        <w:gridCol w:w="489"/>
        <w:gridCol w:w="701"/>
      </w:tblGrid>
      <w:tr>
        <w:trPr/>
        <w:tc>
          <w:tcPr>
            <w:tcW w:w="99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20-1076777</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bl>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2795 East Cottonwood Parkway, Suite 300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Salt Lake City, Utah 84121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(801) 365-4600 </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138" w:type="dxa"/>
        <w:jc w:val="center"/>
        <w:tblInd w:w="0" w:type="dxa"/>
        <w:tblCellMar>
          <w:top w:w="28" w:type="dxa"/>
          <w:left w:w="28" w:type="dxa"/>
          <w:bottom w:w="28" w:type="dxa"/>
          <w:right w:w="28" w:type="dxa"/>
        </w:tblCellMar>
      </w:tblPr>
      <w:tblGrid>
        <w:gridCol w:w="933"/>
        <w:gridCol w:w="818"/>
        <w:gridCol w:w="829"/>
        <w:gridCol w:w="414"/>
        <w:gridCol w:w="414"/>
        <w:gridCol w:w="416"/>
        <w:gridCol w:w="970"/>
        <w:gridCol w:w="970"/>
        <w:gridCol w:w="1374"/>
      </w:tblGrid>
      <w:tr>
        <w:trPr/>
        <w:tc>
          <w:tcPr>
            <w:tcW w:w="933"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EXR</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80" w:after="283"/>
        <w:rPr/>
      </w:pPr>
      <w:r>
        <w:rPr>
          <w:rFonts w:ascii="Times New Roman;sans-serif" w:hAnsi="Times New Roman;sans-serif"/>
          <w:b w:val="false"/>
          <w:color w:val="000000"/>
          <w:sz w:val="18"/>
        </w:rPr>
        <w:t>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80" w:after="283"/>
        <w:rPr/>
      </w:pPr>
      <w:r>
        <w:rPr>
          <w:rFonts w:ascii="Times New Roman;sans-serif" w:hAnsi="Times New Roman;sans-serif"/>
          <w:b w:val="false"/>
          <w:color w:val="000000"/>
          <w:sz w:val="18"/>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spacing w:lineRule="auto" w:line="288" w:before="80" w:after="283"/>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8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8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ind w:left="0" w:right="0" w:firstLine="45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80" w:after="283"/>
        <w:ind w:left="0" w:right="0" w:firstLine="450"/>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x</w:t>
      </w:r>
    </w:p>
    <w:p>
      <w:pPr>
        <w:pStyle w:val="TextBody"/>
        <w:spacing w:before="0" w:after="0"/>
        <w:rPr/>
      </w:pPr>
      <w:r>
        <w:rPr/>
      </w:r>
    </w:p>
    <w:p>
      <w:pPr>
        <w:pStyle w:val="TextBody"/>
        <w:spacing w:lineRule="auto" w:line="288" w:before="80" w:after="283"/>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80" w:after="283"/>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common stock held by non-affiliates of the registrant was $21,458,986,411 based upon the closing price on the New York Stock Exchange on June 30, 2021, the last business day of the registrant’s most recently completed second fiscal quarter. This calculation does not reflect a determination that persons whose shares are excluded from the computation are affiliates for any other purpose.</w:t>
      </w:r>
    </w:p>
    <w:p>
      <w:pPr>
        <w:pStyle w:val="TextBody"/>
        <w:spacing w:lineRule="auto" w:line="288" w:before="80" w:after="283"/>
        <w:rPr>
          <w:rFonts w:ascii="Times New Roman;sans-serif" w:hAnsi="Times New Roman;sans-serif"/>
          <w:b/>
          <w:color w:val="000000"/>
          <w:sz w:val="18"/>
        </w:rPr>
      </w:pPr>
      <w:r>
        <w:rPr>
          <w:rFonts w:ascii="Times New Roman;sans-serif" w:hAnsi="Times New Roman;sans-serif"/>
          <w:b/>
          <w:color w:val="000000"/>
          <w:sz w:val="18"/>
        </w:rPr>
        <w:t>The number of shares outstanding of the registrant’s common stock, $0.01 par value per share, as of February 22, 2022 was 134,152,540.</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80" w:after="283"/>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to be issued in connection with the registrant’s annual stockholders’ meeting to be held in 2022 are incorporated by reference into Part III of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2021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3"/>
        <w:gridCol w:w="258"/>
        <w:gridCol w:w="260"/>
        <w:gridCol w:w="3003"/>
        <w:gridCol w:w="2999"/>
        <w:gridCol w:w="3018"/>
        <w:gridCol w:w="109"/>
        <w:gridCol w:w="109"/>
        <w:gridCol w:w="156"/>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003" w:type="dxa"/>
            <w:tcBorders/>
            <w:shd w:fill="auto" w:val="clear"/>
            <w:vAlign w:val="center"/>
          </w:tcPr>
          <w:p>
            <w:pPr>
              <w:pStyle w:val="TableContents"/>
              <w:spacing w:before="0" w:after="283"/>
              <w:rPr>
                <w:sz w:val="4"/>
                <w:szCs w:val="4"/>
              </w:rPr>
            </w:pPr>
            <w:r>
              <w:rPr>
                <w:sz w:val="4"/>
                <w:szCs w:val="4"/>
              </w:rPr>
            </w:r>
          </w:p>
        </w:tc>
        <w:tc>
          <w:tcPr>
            <w:tcW w:w="2999" w:type="dxa"/>
            <w:tcBorders/>
            <w:shd w:fill="auto" w:val="clear"/>
            <w:vAlign w:val="center"/>
          </w:tcPr>
          <w:p>
            <w:pPr>
              <w:pStyle w:val="TableContents"/>
              <w:spacing w:before="0" w:after="283"/>
              <w:rPr>
                <w:sz w:val="4"/>
                <w:szCs w:val="4"/>
              </w:rPr>
            </w:pPr>
            <w:r>
              <w:rPr>
                <w:sz w:val="4"/>
                <w:szCs w:val="4"/>
              </w:rPr>
            </w:r>
          </w:p>
        </w:tc>
        <w:tc>
          <w:tcPr>
            <w:tcW w:w="3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3">
              <w:r>
                <w:rPr>
                  <w:rStyle w:val="InternetLink"/>
                  <w:rFonts w:ascii="Times New Roman;sans-serif" w:hAnsi="Times New Roman;sans-serif"/>
                  <w:b w:val="false"/>
                  <w:color w:val="0000FF"/>
                  <w:sz w:val="20"/>
                  <w:u w:val="single"/>
                </w:rPr>
                <w:t>PART I</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3">
              <w:r>
                <w:rPr>
                  <w:rStyle w:val="InternetLink"/>
                  <w:rFonts w:ascii="Times New Roman;sans-serif" w:hAnsi="Times New Roman;sans-serif"/>
                  <w:b w:val="false"/>
                  <w:strike w:val="false"/>
                  <w:dstrike w:val="false"/>
                  <w:color w:val="0000FF"/>
                  <w:sz w:val="20"/>
                  <w:u w:val="none"/>
                  <w:effect w:val="none"/>
                </w:rPr>
                <w:t>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6">
              <w:r>
                <w:rPr>
                  <w:rStyle w:val="InternetLink"/>
                  <w:rFonts w:ascii="Times New Roman;sans-serif" w:hAnsi="Times New Roman;sans-serif"/>
                  <w:b w:val="false"/>
                  <w:color w:val="0000FF"/>
                  <w:sz w:val="20"/>
                  <w:u w:val="single"/>
                </w:rPr>
                <w:t>Business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6">
              <w:r>
                <w:rPr>
                  <w:rStyle w:val="InternetLink"/>
                  <w:rFonts w:ascii="Times New Roman;sans-serif" w:hAnsi="Times New Roman;sans-serif"/>
                  <w:b w:val="false"/>
                  <w:strike w:val="false"/>
                  <w:dstrike w:val="false"/>
                  <w:color w:val="0000FF"/>
                  <w:sz w:val="20"/>
                  <w:u w:val="none"/>
                  <w:effect w:val="none"/>
                </w:rPr>
                <w:t>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9">
              <w:r>
                <w:rPr>
                  <w:rStyle w:val="InternetLink"/>
                  <w:rFonts w:ascii="Times New Roman;sans-serif" w:hAnsi="Times New Roman;sans-serif"/>
                  <w:b w:val="false"/>
                  <w:color w:val="0000FF"/>
                  <w:sz w:val="20"/>
                  <w:u w:val="single"/>
                </w:rPr>
                <w:t>Risk Factors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9">
              <w:r>
                <w:rPr>
                  <w:rStyle w:val="InternetLink"/>
                  <w:rFonts w:ascii="Times New Roman;sans-serif" w:hAnsi="Times New Roman;sans-serif"/>
                  <w:b w:val="false"/>
                  <w:strike w:val="false"/>
                  <w:dstrike w:val="false"/>
                  <w:color w:val="0000FF"/>
                  <w:sz w:val="20"/>
                  <w:u w:val="none"/>
                  <w:effect w:val="none"/>
                </w:rPr>
                <w:t>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2">
              <w:r>
                <w:rPr>
                  <w:rStyle w:val="InternetLink"/>
                  <w:rFonts w:ascii="Times New Roman;sans-serif" w:hAnsi="Times New Roman;sans-serif"/>
                  <w:b w:val="false"/>
                  <w:color w:val="0000FF"/>
                  <w:sz w:val="20"/>
                  <w:u w:val="single"/>
                </w:rPr>
                <w:t>Unresolved Staff Comments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2">
              <w:r>
                <w:rPr>
                  <w:rStyle w:val="InternetLink"/>
                  <w:rFonts w:ascii="Times New Roman;sans-serif" w:hAnsi="Times New Roman;sans-serif"/>
                  <w:b w:val="false"/>
                  <w:strike w:val="false"/>
                  <w:dstrike w:val="false"/>
                  <w:color w:val="0000FF"/>
                  <w:sz w:val="20"/>
                  <w:u w:val="none"/>
                  <w:effect w:val="none"/>
                </w:rPr>
                <w:t>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5">
              <w:r>
                <w:rPr>
                  <w:rStyle w:val="InternetLink"/>
                  <w:rFonts w:ascii="Times New Roman;sans-serif" w:hAnsi="Times New Roman;sans-serif"/>
                  <w:b w:val="false"/>
                  <w:color w:val="0000FF"/>
                  <w:sz w:val="20"/>
                  <w:u w:val="single"/>
                </w:rPr>
                <w:t>Properties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5">
              <w:r>
                <w:rPr>
                  <w:rStyle w:val="InternetLink"/>
                  <w:rFonts w:ascii="Times New Roman;sans-serif" w:hAnsi="Times New Roman;sans-serif"/>
                  <w:b w:val="false"/>
                  <w:strike w:val="false"/>
                  <w:dstrike w:val="false"/>
                  <w:color w:val="0000FF"/>
                  <w:sz w:val="20"/>
                  <w:u w:val="none"/>
                  <w:effect w:val="none"/>
                </w:rPr>
                <w:t>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8">
              <w:r>
                <w:rPr>
                  <w:rStyle w:val="InternetLink"/>
                  <w:rFonts w:ascii="Times New Roman;sans-serif" w:hAnsi="Times New Roman;sans-serif"/>
                  <w:b w:val="false"/>
                  <w:color w:val="0000FF"/>
                  <w:sz w:val="20"/>
                  <w:u w:val="single"/>
                </w:rPr>
                <w:t>Legal Proceedings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8">
              <w:r>
                <w:rPr>
                  <w:rStyle w:val="InternetLink"/>
                  <w:rFonts w:ascii="Times New Roman;sans-serif" w:hAnsi="Times New Roman;sans-serif"/>
                  <w:b w:val="false"/>
                  <w:strike w:val="false"/>
                  <w:dstrike w:val="false"/>
                  <w:color w:val="0000FF"/>
                  <w:sz w:val="20"/>
                  <w:u w:val="none"/>
                  <w:effect w:val="none"/>
                </w:rPr>
                <w:t>18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31">
              <w:r>
                <w:rPr>
                  <w:rStyle w:val="InternetLink"/>
                  <w:rFonts w:ascii="Times New Roman;sans-serif" w:hAnsi="Times New Roman;sans-serif"/>
                  <w:b w:val="false"/>
                  <w:color w:val="0000FF"/>
                  <w:sz w:val="20"/>
                  <w:u w:val="single"/>
                </w:rPr>
                <w:t>Mine Safety Disclosures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31">
              <w:r>
                <w:rPr>
                  <w:rStyle w:val="InternetLink"/>
                  <w:rFonts w:ascii="Times New Roman;sans-serif" w:hAnsi="Times New Roman;sans-serif"/>
                  <w:b w:val="false"/>
                  <w:strike w:val="false"/>
                  <w:dstrike w:val="false"/>
                  <w:color w:val="0000FF"/>
                  <w:sz w:val="20"/>
                  <w:u w:val="none"/>
                  <w:effect w:val="none"/>
                </w:rPr>
                <w:t>18</w:t>
              </w:r>
            </w:hyperlink>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34">
              <w:r>
                <w:rPr>
                  <w:rStyle w:val="InternetLink"/>
                  <w:rFonts w:ascii="Times New Roman;sans-serif" w:hAnsi="Times New Roman;sans-serif"/>
                  <w:b w:val="false"/>
                  <w:color w:val="0000FF"/>
                  <w:sz w:val="20"/>
                  <w:u w:val="single"/>
                </w:rPr>
                <w:t>PART II</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34">
              <w:r>
                <w:rPr>
                  <w:rStyle w:val="InternetLink"/>
                  <w:rFonts w:ascii="Times New Roman;sans-serif" w:hAnsi="Times New Roman;sans-serif"/>
                  <w:b w:val="false"/>
                  <w:strike w:val="false"/>
                  <w:dstrike w:val="false"/>
                  <w:color w:val="0000FF"/>
                  <w:sz w:val="20"/>
                  <w:u w:val="none"/>
                  <w:effect w:val="none"/>
                </w:rPr>
                <w:t>18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37">
              <w:r>
                <w:rPr>
                  <w:rStyle w:val="InternetLink"/>
                  <w:rFonts w:ascii="Times New Roman;sans-serif" w:hAnsi="Times New Roman;sans-serif"/>
                  <w:b w:val="false"/>
                  <w:strike w:val="false"/>
                  <w:dstrike w:val="false"/>
                  <w:color w:val="0000FF"/>
                  <w:sz w:val="20"/>
                  <w:u w:val="none"/>
                  <w:effect w:val="none"/>
                </w:rPr>
                <w:t>18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40">
              <w:r>
                <w:rPr>
                  <w:rStyle w:val="InternetLink"/>
                  <w:rFonts w:ascii="Times New Roman;sans-serif" w:hAnsi="Times New Roman;sans-serif"/>
                  <w:b w:val="false"/>
                  <w:color w:val="0000FF"/>
                  <w:sz w:val="20"/>
                  <w:u w:val="single"/>
                </w:rPr>
                <w:t>Selected Financial Data</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40">
              <w:r>
                <w:rPr>
                  <w:rStyle w:val="InternetLink"/>
                  <w:rFonts w:ascii="Times New Roman;sans-serif" w:hAnsi="Times New Roman;sans-serif"/>
                  <w:b w:val="false"/>
                  <w:strike w:val="false"/>
                  <w:dstrike w:val="false"/>
                  <w:color w:val="0000FF"/>
                  <w:sz w:val="20"/>
                  <w:u w:val="none"/>
                  <w:effect w:val="none"/>
                </w:rPr>
                <w:t>18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43">
              <w:r>
                <w:rPr>
                  <w:rStyle w:val="InternetLink"/>
                  <w:rFonts w:ascii="Times New Roman;sans-serif" w:hAnsi="Times New Roman;sans-serif"/>
                  <w:b w:val="false"/>
                  <w:strike w:val="false"/>
                  <w:dstrike w:val="false"/>
                  <w:color w:val="0000FF"/>
                  <w:sz w:val="20"/>
                  <w:u w:val="none"/>
                  <w:effect w:val="none"/>
                </w:rPr>
                <w:t>19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73">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73">
              <w:r>
                <w:rPr>
                  <w:rStyle w:val="InternetLink"/>
                  <w:rFonts w:ascii="Times New Roman;sans-serif" w:hAnsi="Times New Roman;sans-serif"/>
                  <w:b w:val="false"/>
                  <w:strike w:val="false"/>
                  <w:dstrike w:val="false"/>
                  <w:color w:val="0000FF"/>
                  <w:sz w:val="20"/>
                  <w:u w:val="none"/>
                  <w:effect w:val="none"/>
                </w:rPr>
                <w:t>28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76">
              <w:r>
                <w:rPr>
                  <w:rStyle w:val="InternetLink"/>
                  <w:rFonts w:ascii="Times New Roman;sans-serif" w:hAnsi="Times New Roman;sans-serif"/>
                  <w:b w:val="false"/>
                  <w:color w:val="0000FF"/>
                  <w:sz w:val="20"/>
                  <w:u w:val="single"/>
                </w:rPr>
                <w:t>Financial Statements and Supplementary Data</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76">
              <w:r>
                <w:rPr>
                  <w:rStyle w:val="InternetLink"/>
                  <w:rFonts w:ascii="Times New Roman;sans-serif" w:hAnsi="Times New Roman;sans-serif"/>
                  <w:b w:val="false"/>
                  <w:strike w:val="false"/>
                  <w:dstrike w:val="false"/>
                  <w:color w:val="0000FF"/>
                  <w:sz w:val="20"/>
                  <w:u w:val="none"/>
                  <w:effect w:val="none"/>
                </w:rPr>
                <w:t>29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7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78">
              <w:r>
                <w:rPr>
                  <w:rStyle w:val="InternetLink"/>
                  <w:rFonts w:ascii="Times New Roman;sans-serif" w:hAnsi="Times New Roman;sans-serif"/>
                  <w:b w:val="false"/>
                  <w:strike w:val="false"/>
                  <w:dstrike w:val="false"/>
                  <w:color w:val="0000FF"/>
                  <w:sz w:val="20"/>
                  <w:u w:val="none"/>
                  <w:effect w:val="none"/>
                </w:rPr>
                <w:t>76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81">
              <w:r>
                <w:rPr>
                  <w:rStyle w:val="InternetLink"/>
                  <w:rFonts w:ascii="Times New Roman;sans-serif" w:hAnsi="Times New Roman;sans-serif"/>
                  <w:b w:val="false"/>
                  <w:color w:val="0000FF"/>
                  <w:sz w:val="20"/>
                  <w:u w:val="single"/>
                </w:rPr>
                <w:t>Controls and Procedures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81">
              <w:r>
                <w:rPr>
                  <w:rStyle w:val="InternetLink"/>
                  <w:rFonts w:ascii="Times New Roman;sans-serif" w:hAnsi="Times New Roman;sans-serif"/>
                  <w:b w:val="false"/>
                  <w:strike w:val="false"/>
                  <w:dstrike w:val="false"/>
                  <w:color w:val="0000FF"/>
                  <w:sz w:val="20"/>
                  <w:u w:val="none"/>
                  <w:effect w:val="none"/>
                </w:rPr>
                <w:t>76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84">
              <w:r>
                <w:rPr>
                  <w:rStyle w:val="InternetLink"/>
                  <w:rFonts w:ascii="Times New Roman;sans-serif" w:hAnsi="Times New Roman;sans-serif"/>
                  <w:b w:val="false"/>
                  <w:color w:val="0000FF"/>
                  <w:sz w:val="20"/>
                  <w:u w:val="single"/>
                </w:rPr>
                <w:t>Other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84">
              <w:r>
                <w:rPr>
                  <w:rStyle w:val="InternetLink"/>
                  <w:rFonts w:ascii="Times New Roman;sans-serif" w:hAnsi="Times New Roman;sans-serif"/>
                  <w:b w:val="false"/>
                  <w:strike w:val="false"/>
                  <w:dstrike w:val="false"/>
                  <w:color w:val="0000FF"/>
                  <w:sz w:val="20"/>
                  <w:u w:val="none"/>
                  <w:effect w:val="none"/>
                </w:rPr>
                <w:t>77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107">
              <w:r>
                <w:rPr>
                  <w:rStyle w:val="InternetLink"/>
                  <w:rFonts w:ascii="Times New Roman;sans-serif" w:hAnsi="Times New Roman;sans-serif"/>
                  <w:b w:val="false"/>
                  <w:color w:val="0000FF"/>
                  <w:sz w:val="20"/>
                  <w:u w:val="single"/>
                </w:rPr>
                <w:t>Disclosure Regarding Foreign Jurisdictions that Prevent Inspections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107">
              <w:r>
                <w:rPr>
                  <w:rStyle w:val="InternetLink"/>
                  <w:rFonts w:ascii="Times New Roman;sans-serif" w:hAnsi="Times New Roman;sans-serif"/>
                  <w:b w:val="false"/>
                  <w:strike w:val="false"/>
                  <w:dstrike w:val="false"/>
                  <w:color w:val="0000FF"/>
                  <w:sz w:val="20"/>
                  <w:u w:val="none"/>
                  <w:effect w:val="none"/>
                </w:rPr>
                <w:t>77</w:t>
              </w:r>
            </w:hyperlink>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87">
              <w:r>
                <w:rPr>
                  <w:rStyle w:val="InternetLink"/>
                  <w:rFonts w:ascii="Times New Roman;sans-serif" w:hAnsi="Times New Roman;sans-serif"/>
                  <w:b w:val="false"/>
                  <w:color w:val="0000FF"/>
                  <w:sz w:val="20"/>
                  <w:u w:val="single"/>
                </w:rPr>
                <w:t>PART III</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87">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90">
              <w:r>
                <w:rPr>
                  <w:rStyle w:val="InternetLink"/>
                  <w:rFonts w:ascii="Times New Roman;sans-serif" w:hAnsi="Times New Roman;sans-serif"/>
                  <w:b w:val="false"/>
                  <w:color w:val="0000FF"/>
                  <w:sz w:val="20"/>
                  <w:u w:val="single"/>
                </w:rPr>
                <w:t>Directors, Executive Officers and Corporate Governance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90">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93">
              <w:r>
                <w:rPr>
                  <w:rStyle w:val="InternetLink"/>
                  <w:rFonts w:ascii="Times New Roman;sans-serif" w:hAnsi="Times New Roman;sans-serif"/>
                  <w:b w:val="false"/>
                  <w:color w:val="0000FF"/>
                  <w:sz w:val="20"/>
                  <w:u w:val="single"/>
                </w:rPr>
                <w:t>Executive Compensation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93">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9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96">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19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99">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02">
              <w:r>
                <w:rPr>
                  <w:rStyle w:val="InternetLink"/>
                  <w:rFonts w:ascii="Times New Roman;sans-serif" w:hAnsi="Times New Roman;sans-serif"/>
                  <w:b w:val="false"/>
                  <w:color w:val="0000FF"/>
                  <w:sz w:val="20"/>
                  <w:u w:val="single"/>
                </w:rPr>
                <w:t>Principal Accounting Fees and Services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02">
              <w:r>
                <w:rPr>
                  <w:rStyle w:val="InternetLink"/>
                  <w:rFonts w:ascii="Times New Roman;sans-serif" w:hAnsi="Times New Roman;sans-serif"/>
                  <w:b w:val="false"/>
                  <w:strike w:val="false"/>
                  <w:dstrike w:val="false"/>
                  <w:color w:val="0000FF"/>
                  <w:sz w:val="20"/>
                  <w:u w:val="none"/>
                  <w:effect w:val="none"/>
                </w:rPr>
                <w:t>78</w:t>
              </w:r>
            </w:hyperlink>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05">
              <w:r>
                <w:rPr>
                  <w:rStyle w:val="InternetLink"/>
                  <w:rFonts w:ascii="Times New Roman;sans-serif" w:hAnsi="Times New Roman;sans-serif"/>
                  <w:b w:val="false"/>
                  <w:color w:val="0000FF"/>
                  <w:sz w:val="20"/>
                  <w:u w:val="single"/>
                </w:rPr>
                <w:t>PART IV</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05">
              <w:r>
                <w:rPr>
                  <w:rStyle w:val="InternetLink"/>
                  <w:rFonts w:ascii="Times New Roman;sans-serif" w:hAnsi="Times New Roman;sans-serif"/>
                  <w:b w:val="false"/>
                  <w:strike w:val="false"/>
                  <w:dstrike w:val="false"/>
                  <w:color w:val="0000FF"/>
                  <w:sz w:val="20"/>
                  <w:u w:val="none"/>
                  <w:effect w:val="none"/>
                </w:rPr>
                <w:t>79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08">
              <w:r>
                <w:rPr>
                  <w:rStyle w:val="InternetLink"/>
                  <w:rFonts w:ascii="Times New Roman;sans-serif" w:hAnsi="Times New Roman;sans-serif"/>
                  <w:b w:val="false"/>
                  <w:color w:val="0000FF"/>
                  <w:sz w:val="20"/>
                  <w:u w:val="single"/>
                </w:rPr>
                <w:t>Exhibits and Financial Statement Schedules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08">
              <w:r>
                <w:rPr>
                  <w:rStyle w:val="InternetLink"/>
                  <w:rFonts w:ascii="Times New Roman;sans-serif" w:hAnsi="Times New Roman;sans-serif"/>
                  <w:b w:val="false"/>
                  <w:strike w:val="false"/>
                  <w:dstrike w:val="false"/>
                  <w:color w:val="0000FF"/>
                  <w:sz w:val="20"/>
                  <w:u w:val="none"/>
                  <w:effect w:val="none"/>
                </w:rPr>
                <w:t>79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11">
              <w:r>
                <w:rPr>
                  <w:rStyle w:val="InternetLink"/>
                  <w:rFonts w:ascii="Times New Roman;sans-serif" w:hAnsi="Times New Roman;sans-serif"/>
                  <w:b w:val="false"/>
                  <w:color w:val="0000FF"/>
                  <w:sz w:val="20"/>
                  <w:u w:val="single"/>
                </w:rPr>
                <w:t>Form 10-K Summary</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08">
              <w:r>
                <w:rPr>
                  <w:rStyle w:val="InternetLink"/>
                  <w:rFonts w:ascii="Times New Roman;sans-serif" w:hAnsi="Times New Roman;sans-serif"/>
                  <w:b w:val="false"/>
                  <w:strike w:val="false"/>
                  <w:dstrike w:val="false"/>
                  <w:color w:val="0000FF"/>
                  <w:sz w:val="20"/>
                  <w:u w:val="none"/>
                  <w:effect w:val="none"/>
                </w:rPr>
                <w:t>79</w:t>
              </w:r>
            </w:hyperlink>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09e2c0fa9449f5812420732fe1e1a7_214">
              <w:r>
                <w:rPr>
                  <w:rStyle w:val="InternetLink"/>
                  <w:rFonts w:ascii="Times New Roman;sans-serif" w:hAnsi="Times New Roman;sans-serif"/>
                  <w:b w:val="false"/>
                  <w:color w:val="0000FF"/>
                  <w:sz w:val="20"/>
                  <w:u w:val="single"/>
                </w:rPr>
                <w:t>SIGNATURES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214">
              <w:r>
                <w:rPr>
                  <w:rStyle w:val="InternetLink"/>
                  <w:rFonts w:ascii="Times New Roman;sans-serif" w:hAnsi="Times New Roman;sans-serif"/>
                  <w:b w:val="false"/>
                  <w:strike w:val="false"/>
                  <w:dstrike w:val="false"/>
                  <w:color w:val="0000FF"/>
                  <w:sz w:val="20"/>
                  <w:u w:val="none"/>
                  <w:effect w:val="none"/>
                </w:rPr>
                <w:t>82</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Statements Regarding Forward-Looking Information</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pStyle w:val="TextBody"/>
        <w:spacing w:lineRule="auto" w:line="288" w:before="24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pStyle w:val="TextBody"/>
        <w:spacing w:lineRule="auto" w:line="288" w:before="24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pStyle w:val="TextBody"/>
        <w:spacing w:lineRule="auto" w:line="288" w:before="0" w:after="0"/>
        <w:rPr>
          <w:color w:val="000000"/>
        </w:rPr>
      </w:pPr>
      <w:r>
        <w:rPr>
          <w:color w:val="000000"/>
        </w:rPr>
        <w:t> </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adverse changes in general economic conditions, the real estate industry and in the markets in which we operate;</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failure to close pending acquisitions and developments on expected terms, or at all;</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the effect of competition from new and existing stores or other storage alternatives, which could cause rents and occupancy rates to decline;</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potential liability for uninsured losses and environmental contamination;</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disruptions in credit and financial markets and resulting difficulties in raising capital or obtaining credit at reasonable rates or at all, which could impede our ability to grow;</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increased interest rates;</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reductions in asset valuations and related impairment charges;</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our lack of sole decision-making authority with respect to our joint venture investments;</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the effect of recent or future changes to U.S. tax laws;</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the failure to maintain our REIT status for U.S. federal income tax purposes; and</w:t>
      </w:r>
    </w:p>
    <w:p>
      <w:pPr>
        <w:pStyle w:val="TextBody"/>
        <w:spacing w:lineRule="auto" w:line="288" w:before="0" w:after="60"/>
        <w:ind w:left="0" w:right="0" w:hanging="360"/>
        <w:rPr/>
      </w:pPr>
      <w:r>
        <w:rPr>
          <w:color w:val="000000"/>
        </w:rPr>
        <w:t>•</w:t>
      </w:r>
      <w:r>
        <w:rPr>
          <w:rFonts w:ascii="Times New Roman;sans-serif" w:hAnsi="Times New Roman;sans-serif"/>
          <w:b w:val="false"/>
          <w:i/>
          <w:color w:val="000000"/>
          <w:sz w:val="20"/>
        </w:rPr>
        <w:t>economic uncertainty due to the impact of natural disasters, war or terrorism, which could adversely affect our business plan.</w:t>
      </w:r>
    </w:p>
    <w:p>
      <w:pPr>
        <w:pStyle w:val="TextBody"/>
        <w:spacing w:lineRule="auto" w:line="288" w:before="24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pStyle w:val="TextBody"/>
        <w:spacing w:lineRule="auto" w:line="288" w:before="24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We disclaim any duty or obligation to update or revise any forward-looking statements set forth in this Annual Report on Form 10-K to reflect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Extra Space Storage Inc. (“we,” “our,” “us” or the “Company”) is a fully integrated, self-administered and self-managed real estate investment trust (“REIT”) formed as a Maryland corporation on April 30, 2004, to own, operate, manage, acquire, develop and redevelop self-storage properties (“stores”). We closed our initial public offering (“IPO”) on August 17, 2004. Our common stock is traded on the New York Stock Exchange under the symbol “EXR.”</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were formed to continue the business of Extra Space Storage LLC and its subsidiaries, which had engaged in the self-storage business since 1977. These companies were reorganized after the consummation of our IPO and various formation transactions. As of December 31, 2021 we owned and/or operated 2,096 stores in 41 states, and Washington, D.C., comprising approximately 160.9 million square feet of net rentable space in approximately 1.5 million units.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 For more information and comparative financial and other information on our reportable business segments, refer to the segment information footnote in the notes to the consolidated financial statements in Item 8 of this Form 10-K.</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U.S. federal tax, with certain exceptions, on our REIT taxable income that is distributed to our stockholders.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our website at www.extraspace.com, or by contacting our Secretary at our principal offices, which are located at 2795 East Cottonwood Parkway, Suite 300, Salt Lake City, Utah 84121, telephone number (801) 365-4600.</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Members of our executive management team have significant experience in all aspects of the self-storage industry. Our executive management team and their years of industry experience are as follows: Joseph D. Margolis, Chief Executive Officer, 17 years; Scott Stubbs, Executive Vice President and Chief Financial Officer, 21 years; Samrat Sondhi, Executive Vice President and Chief Marketing Officer, 19 years; Gwyn McNeal, Executive Vice President and Chief Legal Officer, 16 years; Matt Herrington, Executive Vice President and Chief Operations Officer, 14 years; Noah Springer, Executive Vice President and Chief Strategy and Partnership Officer, 16 years; Zach Dickens, Executive Vice President and Chief Investment Officer, 19 years.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executive management team and board of directors have an ownership position in the Company with executive officers and directors owning approximately 2,054,059 shares or 1.5% of our outstanding common stock as of February 22, 2022.</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Industry &amp; Competition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Stores offer month-to-month rental of storage space for personal or business use. Tenants typically rent fully enclosed spaces that vary in size and typically range from 5 feet by 5 feet to 20 feet by 20 feet, with an interior height of 8 feet to 12 feet. Tenants have responsibility for moving their items into and out of their units. Stores generally have on-site managers who supervise and run the day-to-day operations, providing tenants with assistance as needed.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experiencing life changes such as downsizing their living space or others who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are not yet settled into a permanent residence. Items that tenants place in self-storage are typically furniture, household items and appliances. Commercial tenants tend to include small business owners who require easy and frequent access to their goods, records, inventory or storage for seasonal goods.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research has shown that tenants choose a store based primarily on the convenience of the site to their home or business, making high-density, high-traffic population centers ideal locations for stores. A store’s visibility on the internet, price, perceived security, cleanliness, and the general professionalism of the store managers and staff are also contributing factors to a store’s ability to successfully secure rentals. Although most stores are leased to tenants on a month-to-month basis, tenants tend to continue their leases for extended periods of time.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self-storage business is subject to seasonal fluctuations. A greater portion of revenues and profits are typically realized from May through September. Historically, our highest level of occupancy has been at the end of July, while our lowest level of occupancy has been in late February and early March.</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self-storage industry is a mature industry that has seen the average occupancy continue to increase. According to the Self-Storage Almanac (the “Almanac”), the national average physical occupancy rate was 90.2% of net rentable square feet in 2015, compared to an average physical occupancy rate of 94.5% in 2021. Our average occupancy for wholly-owned stores for 2021 was 94.8%.</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industry is also characterized by fragmented ownership. According to the Almanac, as of the end of 2021, the top ten self-storage companies in the United States operated approximately 21.9% of the total U.S. stores, and the top 50 self-storage companies operated approximately 27.9% of the total U.S. stores. We believe this fragmentation will contribute to continued consolidation at some level in the future.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well positioned to compete for acquisitions. We have encountered competition when we have sought to acquire existing operating stores, especially for brokered portfolios. Competitive bidding practices have been commonplace between both public and private entities, and this will likely continue.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the second largest self-storage operator in the United States. Our four primary competitors who are public self-storage REITs are CubeSmart, Life Storage, National Storage Affiliates and Public Storage.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Long-Term Growth and Investment Strategies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 Our primary strategies include the following:</w:t>
      </w:r>
    </w:p>
    <w:p>
      <w:pPr>
        <w:pStyle w:val="TextBody"/>
        <w:spacing w:lineRule="auto" w:line="288" w:before="240" w:after="283"/>
        <w:rPr/>
      </w:pPr>
      <w:r>
        <w:rPr>
          <w:rFonts w:ascii="Times New Roman;sans-serif" w:hAnsi="Times New Roman;sans-serif"/>
          <w:b/>
          <w:i/>
          <w:color w:val="000000"/>
          <w:sz w:val="20"/>
        </w:rPr>
        <w:t>Maximize the performance of our stores through strategic, efficient and proactive management</w:t>
      </w:r>
      <w:r>
        <w:rPr>
          <w:color w:val="000000"/>
        </w:rPr>
        <w:t xml:space="preserve">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pursue revenue-generating and 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continually analyze our portfolio to look for long-term value-enhancing opportunities. We proactively redevelop properties to add units or modify existing unit mix to better meet the demand in a given market and to maximize revenue. We also redevelop properties to reduce their effective useful age, increase visual appeal, enhance security and to improve brand consistency across the portfolio.</w:t>
      </w:r>
    </w:p>
    <w:p>
      <w:pPr>
        <w:pStyle w:val="TextBody"/>
        <w:spacing w:lineRule="auto" w:line="288" w:before="240" w:after="60"/>
        <w:rPr/>
      </w:pPr>
      <w:r>
        <w:rPr>
          <w:rFonts w:ascii="Times New Roman;sans-serif" w:hAnsi="Times New Roman;sans-serif"/>
          <w:b/>
          <w:i/>
          <w:color w:val="000000"/>
          <w:sz w:val="20"/>
        </w:rPr>
        <w:t>Acquire self-storage stores</w:t>
      </w:r>
      <w:r>
        <w:rPr>
          <w:color w:val="000000"/>
        </w:rPr>
        <w:t xml:space="preserve"> </w:t>
      </w:r>
    </w:p>
    <w:p>
      <w:pPr>
        <w:pStyle w:val="TextBody"/>
        <w:spacing w:lineRule="auto" w:line="288" w:before="12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acquisitions team continues to pursue the acquisition of multi-store portfolios and single stores which can range from fully occupied to various stages of lease-up that we believe can provide stockholder value. We have established a reputation as a reliable, ethical buyer, which we believe enhances our ability to negotiate and close acquisitions. In addition, we believe our status as an UPREIT enables flexibility when structuring deals. We remain a disciplined buyer and only execute acquisitions that we believe will strengthen our portfolio and increase stockholder value.</w:t>
      </w:r>
    </w:p>
    <w:p>
      <w:pPr>
        <w:pStyle w:val="TextBody"/>
        <w:spacing w:lineRule="auto" w:line="288" w:before="12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pursuit of operating stores, from time to time we develop stores from the ground up and provide the construction capital. We also purchase stores at the completion of construction from third party developers, who build to our specifications. These stores purchased at completion of construction (a "Certificate of Occupancy store"), create additional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long-term value for our stockholders. We are typically able to acquire these assets at a lower price than a stabilized store, and expect greater long term returns on these stores on average. However, in the short term, these acquisitions cause dilution to our earnings during the two-to-four year period required to lease up the Certificate of Occupancy stores. We expect that this trend will continue as we continue to acquire Certificate of Occupancy stores.</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Grow our management business</w:t>
      </w:r>
    </w:p>
    <w:p>
      <w:pPr>
        <w:pStyle w:val="TextBody"/>
        <w:spacing w:lineRule="auto" w:line="288" w:before="12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 </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Expand our bridge loan program</w:t>
      </w:r>
    </w:p>
    <w:p>
      <w:pPr>
        <w:pStyle w:val="TextBody"/>
        <w:spacing w:lineRule="auto" w:line="288" w:before="12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To broaden the opportunities available, we have a bridge lending program, under which we provide financing to operating properties that we manage.  This program helps us increase our management business, create additional future acquisition opportunities, and strengthen our relationships with partners, all while generating interest and fee income. We generally originate mortgage loans and mezzanine loans, with the intent to sell many of the mortgage loans to third parties, while retaining our interests in the mezzanine loans. </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 xml:space="preserve">Invest in other self-storage businesses selectively </w:t>
      </w:r>
    </w:p>
    <w:p>
      <w:pPr>
        <w:pStyle w:val="TextBody"/>
        <w:spacing w:lineRule="auto" w:line="288" w:before="12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made investments in preferred stock of other self-storage companies. These investments benefit us by providing dividend income, increasing our management business, and creating additional future acquisition opportunities through relationships with the companies in which we invest. We may pursue additional investment opportunities as they become available.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Financing of Our Long-Term Growth Strategies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Acquisition and Development Financing</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a REIT, we are required to distribute at least 90% of our REIT taxable income to our stockholders. Consequently, we require access to additional sources of capital to fund our growth. We expect to maintain a flexible approach to financing growth. We plan to finance future acquisitions through a diverse capital optimization strategy which includes but is not limited to: cash generated from operations, borrowings under our revolving lines of credit (the "Credit Lines"), secured and unsecured financing, equity offerings, joint ventures and the sale of stores.</w:t>
      </w:r>
    </w:p>
    <w:p>
      <w:pPr>
        <w:pStyle w:val="TextBody"/>
        <w:spacing w:lineRule="auto" w:line="288" w:before="240" w:after="283"/>
        <w:ind w:left="0" w:right="0" w:firstLine="450"/>
        <w:rPr/>
      </w:pPr>
      <w:r>
        <w:rPr>
          <w:rFonts w:ascii="Times New Roman;sans-serif" w:hAnsi="Times New Roman;sans-serif"/>
          <w:b/>
          <w:color w:val="000000"/>
          <w:sz w:val="20"/>
        </w:rPr>
        <w:t xml:space="preserve">Credit Lines - </w:t>
      </w:r>
      <w:r>
        <w:rPr>
          <w:rFonts w:ascii="Times New Roman;sans-serif" w:hAnsi="Times New Roman;sans-serif"/>
          <w:b w:val="false"/>
          <w:color w:val="000000"/>
          <w:sz w:val="20"/>
        </w:rPr>
        <w:t>We have two credit lines which we primarily use as short-term bridge financing until we obtain longer-term financing through either debt or equity. As of December 31, 2021, our Credit Lines had available capacity of $1.4 billion, of which $855.0 million was undrawn.</w:t>
      </w:r>
    </w:p>
    <w:p>
      <w:pPr>
        <w:pStyle w:val="TextBody"/>
        <w:spacing w:lineRule="auto" w:line="288" w:before="240" w:after="283"/>
        <w:ind w:left="0" w:right="0" w:firstLine="450"/>
        <w:rPr/>
      </w:pPr>
      <w:r>
        <w:rPr>
          <w:rFonts w:ascii="Times New Roman;sans-serif" w:hAnsi="Times New Roman;sans-serif"/>
          <w:b/>
          <w:color w:val="000000"/>
          <w:sz w:val="20"/>
        </w:rPr>
        <w:t>Secured and Unsecured Debt -</w:t>
      </w:r>
      <w:r>
        <w:rPr>
          <w:color w:val="000000"/>
        </w:rPr>
        <w:t xml:space="preserve"> </w:t>
      </w:r>
      <w:r>
        <w:rPr>
          <w:rFonts w:ascii="Times New Roman;sans-serif" w:hAnsi="Times New Roman;sans-serif"/>
          <w:b w:val="false"/>
          <w:color w:val="000000"/>
          <w:sz w:val="20"/>
        </w:rPr>
        <w:t xml:space="preserve">We primarily use public bonds, unsecured private placement bonds and unsecured bank term loans to finance store acquisitions and development efforts. </w:t>
      </w:r>
      <w:r>
        <w:rPr>
          <w:rFonts w:ascii="Times New Roman;sans-serif" w:hAnsi="Times New Roman;sans-serif"/>
          <w:b w:val="false"/>
          <w:color w:val="000000"/>
          <w:sz w:val="20"/>
          <w:highlight w:val="white"/>
        </w:rPr>
        <w:t xml:space="preserve">We will continue to utilize a combination of secured and unsecured financing for future store acquisitions and development. As </w:t>
      </w:r>
      <w:r>
        <w:rPr>
          <w:rFonts w:ascii="Times New Roman;sans-serif" w:hAnsi="Times New Roman;sans-serif"/>
          <w:b w:val="false"/>
          <w:color w:val="000000"/>
          <w:sz w:val="20"/>
        </w:rPr>
        <w:t>of December 31, 2021, we had $1.3 billion of secured notes payable and $4.1 billion of unsecured notes payable outstanding compared to $2.2 billion of secured notes payable and $3.2 billion of unsecured notes payable and senior exchangeable notes outstanding as of December 31, 2020.</w:t>
      </w:r>
    </w:p>
    <w:p>
      <w:pPr>
        <w:pStyle w:val="TextBody"/>
        <w:spacing w:lineRule="auto" w:line="288" w:before="240" w:after="283"/>
        <w:ind w:left="0" w:right="0" w:firstLine="450"/>
        <w:rPr/>
      </w:pPr>
      <w:r>
        <w:rPr>
          <w:rFonts w:ascii="Times New Roman;sans-serif" w:hAnsi="Times New Roman;sans-serif"/>
          <w:b/>
          <w:color w:val="000000"/>
          <w:sz w:val="20"/>
        </w:rPr>
        <w:t xml:space="preserve">Equity - </w:t>
      </w:r>
      <w:r>
        <w:rPr>
          <w:rFonts w:ascii="Times New Roman;sans-serif" w:hAnsi="Times New Roman;sans-serif"/>
          <w:b w:val="false"/>
          <w:color w:val="000000"/>
          <w:sz w:val="20"/>
        </w:rPr>
        <w:t xml:space="preserve">We have an active "at the market" ("ATM") program for selling stock. We sell stock under the ATM program from time to time to raise capital when we believe conditions are advantageous. During the year ended December 31, 2021, we issued 585,685 shares of common stock through our ATM program and received net proceeds of approximately $66.6 million. We also sold 1,600,000 shares of common stock in a registered offering structured as a bought deal at a price of $129.13 per share resulting in net proceeds of $206.6 million. During the year ended December 31, 2020, we issued 899,048 shares of common stock through our ATM program and received net proceeds of approximately $103.5 million.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view equity interests in our Operating Partnership as another source of capital that can provide an attractive tax planning opportunity to sellers of real estate. We issue common and preferred Operating Partnership units to sellers in certain acquisitions. Common Operating Partnership units receive distributions equal to the dividends on common stock, while Preferred Operating Partnership units receive distributions at various negotiated rates. We may issue additional units in the future when circumstances are favorable.</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ind w:left="0" w:right="0" w:firstLine="450"/>
        <w:rPr/>
      </w:pPr>
      <w:r>
        <w:rPr>
          <w:rFonts w:ascii="Times New Roman;sans-serif" w:hAnsi="Times New Roman;sans-serif"/>
          <w:b/>
          <w:color w:val="000000"/>
          <w:sz w:val="20"/>
        </w:rPr>
        <w:t xml:space="preserve">Joint Ventures - </w:t>
      </w:r>
      <w:r>
        <w:rPr>
          <w:rFonts w:ascii="Times New Roman;sans-serif" w:hAnsi="Times New Roman;sans-serif"/>
          <w:b w:val="false"/>
          <w:color w:val="000000"/>
          <w:sz w:val="20"/>
        </w:rPr>
        <w:t>As of December 31, 2021, we owned 287 of our stores through joint ventures with third parties. Our joint venture partners typically provide most of the equity capital required for the acquisition of stores owned in these joint ventures. Most joint venture agreements include buy-sell rights, as well as rights of first offer in connection with the sale of stores by the joint venture. We manage the day-to-day operations of the stores owned in these joint ventures and have the right to participate in major decisions relating to sales of stores or financings by the applicable joint venture, but do not control the joint ventures.</w:t>
      </w:r>
    </w:p>
    <w:p>
      <w:pPr>
        <w:pStyle w:val="TextBody"/>
        <w:spacing w:lineRule="auto" w:line="288" w:before="120" w:after="283"/>
        <w:ind w:left="0" w:right="0" w:firstLine="450"/>
        <w:rPr/>
      </w:pPr>
      <w:r>
        <w:rPr>
          <w:rFonts w:ascii="Times New Roman;sans-serif" w:hAnsi="Times New Roman;sans-serif"/>
          <w:b/>
          <w:color w:val="000000"/>
          <w:sz w:val="20"/>
        </w:rPr>
        <w:t xml:space="preserve">Sale of Properties - </w:t>
      </w:r>
      <w:r>
        <w:rPr>
          <w:rFonts w:ascii="Times New Roman;sans-serif" w:hAnsi="Times New Roman;sans-serif"/>
          <w:b w:val="false"/>
          <w:color w:val="000000"/>
          <w:sz w:val="20"/>
        </w:rPr>
        <w:t>We have not historically sold a high volume of stores, as we generally believe we are able to optimize the cash flow from stores through continued operations. However, we may sell more stores or interests in stores in the future in response to changing economic, financial or investment conditions. For the year ended December 31, 2021, we sold 16 stores for $200.3 million. For the year ended December 31, 2020, we sold four stores located in Florida for $46.6 million. For the year ended December 31, 2019, we sold one store located in New York for $11.3 million.</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Generally, stores are subject to various laws, ordinances and regulations, including regulations relating to lien sale rights and procedures and the Americans with Disabilities Act of 1990.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upkeep, safety and taxation may result in significant unanticipated expenditures, loss of stores or other impairments to operations, which would adversely affect our financial position, results of operations or cash flows. In addition, noncompliance with any of these laws, ordinances or regulations could result in the imposition of fines or an award of damages to private litigants and also could require substantial capital expenditures to ensure compliance.</w:t>
      </w:r>
    </w:p>
    <w:p>
      <w:pPr>
        <w:pStyle w:val="TextBody"/>
        <w:spacing w:lineRule="auto" w:line="26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 Store management activities may be subject to state real estate brokerage laws and regulations as determined by the particular real estate commission for each state. Our collection and processing of personal information may be subject to various data privacy and security laws, which govern the collection, use, disclosure of personal information and are constantly evolving, may conflict with each other to complicate compliance efforts and can results in investigations, proceedings, or actions that lead to significant civil and/or criminal penalties and restrictions on data processing. Changes in any of the laws governing our conduct could have an adverse impact on our ability to conduct our business or could materially affect our financial position, results of operations or cash flows.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Extra Space, our culture is driven by our belief that our people are a key driver in our success. We believe that if we focus on attracting, developing, and retaining diverse top talent at all levels of the organization, our employees will take care of our customers and drive growth for our shareholders.</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rPr>
        <w:t>As of December 31, 2021, we had 4,309 employees and believe our relationship with our employees is good.</w:t>
      </w:r>
      <w:r>
        <w:rPr>
          <w:color w:val="000000"/>
        </w:rPr>
        <w:t xml:space="preserve"> </w:t>
      </w:r>
      <w:r>
        <w:rPr>
          <w:rFonts w:ascii="Times New Roman;sans-serif" w:hAnsi="Times New Roman;sans-serif"/>
          <w:b w:val="false"/>
          <w:color w:val="000000"/>
          <w:sz w:val="20"/>
        </w:rPr>
        <w:t xml:space="preserve">Our employees are not represented by a collective bargaining agreement. In 2021, we invited our employees to participate in an employee satisfaction survey. We achieved an overall satisfaction score of 74% with over 78% of our employees participating in our survey.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Compensation, Health and Well Being</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competitive health benefits and encourages its employees to participate in employee health and wellness programs. Over 60% of our employees who are enrolled in our health plan participate in these programs. We offer individualized counseling to our employees to assist them with their journey towards better health. We also offer other health-oriented benefits such as smoking cessation programs and a fitness program that allows for reimbursements to employees for expenses incurred relating to fit-friendly activities, sports or exercise equipment.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Training and Development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order to attract and retain diverse top talent, we offer training and development opportunities for our employees. In 2021, we invested in training and development for our employees, which included leadership training, communication training,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individual learning plans, site manager training and mentorship programs. Our field employees received on aver</w:t>
      </w:r>
      <w:r>
        <w:rPr>
          <w:rFonts w:ascii="Times New Roman;sans-serif" w:hAnsi="Times New Roman;sans-serif"/>
          <w:b w:val="false"/>
          <w:color w:val="000000"/>
          <w:sz w:val="20"/>
        </w:rPr>
        <w:t>age 8 ho</w:t>
      </w:r>
      <w:r>
        <w:rPr>
          <w:rFonts w:ascii="Times New Roman;sans-serif" w:hAnsi="Times New Roman;sans-serif"/>
          <w:b w:val="false"/>
          <w:color w:val="000000"/>
          <w:sz w:val="20"/>
          <w:highlight w:val="white"/>
        </w:rPr>
        <w:t xml:space="preserve">urs of training in 2021 and each new hire received an average of 82 hours of training in 2021. Additionally, the Company provides its employees with an education assistance program through Western Governors University that allows our employees a path to an undergraduate degree in business or information technology through scholarships and other assistance.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always valued the safety of our employees and provides regular training for our employees to increase safety at our sites. During 2021, we continued to make masks and other protective equipment available to our employees. We also paid out more than $500,000 to employees in an effort to encourage our employees to get vaccinated against COVID-19. In addition, we paid out more than $380,000 in relief pay to our employees who were unable to work due to testing positive for COVID-19.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values diversity and inclusion and undertakes a wide spectrum of initiatives to attract and retain a diverse workforce. During 2021, the Company launched four employee resource groups that provide our employees a space to build community by celebrating their culture, providing mentoring opportunities and developing educational content for Extra Space. The Company will continue to implement and pursue diversity and inclusion initiatives and goals that allow us to attract and retain top talent, improve employee engagement, increase innovation and customer insight and enhance the quality of our decision making. Forbes Magazine recently named the Company as a Best Employer for Diversity in 2020.</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employee population is approximately 48% female and approximately 48% have self-identified as people of color: Black or African American (16%), Hispanic or Latino (21%), Asian (3%), of two or more races (4%), Native American (0.5%), and Pacific Islander (0.5%).</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believe that our emphasis on training and development, employee safety, employee health and well-being, and a commitment to diversity and inclusion leads to an increase in employee productivity and positions us to attract and retain top diverse talent.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performance is subject to risks associated with real estate investments. We are a real estate company that derives our income from the operation of our stores. There are a number of factors that may adversely affect the income that our stores generate, including the following:</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Our Stores and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Adverse economic or other conditions in the markets in which we do business could negatively affect our occupancy levels and rental rates and therefore our operating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revenues and net operating income can be negatively impacted by general economic factors that lead to a reduction in demand for rental space in the markets in which we operate.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are unable to promptly re-let our units or if the rates upon such re-letting are significantly lower than expected, our business and results of operations would be adversely affected.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Uninsured losses or losses in excess of our insurance coverage could adversely affect our financial condition and our cash flow.</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maintain comprehensive property and casualty insurance policies, including liability, fire, flood, earthquake, wind (as we deem necessary or as required by our lenders), umbrella coverage and rental loss insurance with respect to our stores. Certain types of losses, however, may be either uninsurable, not economically insurable, or coverage may be excluded on certain policies, such as losses due to earthquakes, hurricanes, tornadoes, riots, acts of war, terrorism, or social engineering.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Legal disputes, settlement and defense costs could have an adverse effect on our operating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to make monetary settlements or defend actions or arbitration (including class actions) to resolve tenant, employment-related or other claims and disputes. Settling any such liabilities could negatively impact our operating results and cash available for distribution to stockholders, and could also adversely affect our ability to sell, lease, operate or encumber affected properties.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tenant reinsurance business is subject to significant governmental regulation, which may adversely affect our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 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Environmental compliance costs and liabilities associated with operating our stores may adversely affect our results of operations.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Under various U.S. federal, state and local laws, ordinances and regulations, a current or previous owner, developer or operator of real estate may be liable for the costs of removal or remediation of certain hazardous or toxic substances, which could be substantial. Such laws often impose liability without regard to whether the owner or operator knew of, or was responsible for, the release or presence of such hazardous substances. From time to time, we may acquire properties, or interests in properties, with known adverse environmental conditions for which we believe that the environmental liabilities associated with these conditions are quantifiable and that the acquisition will yield a superior risk-adjusted return.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Costs associated with complying with the Americans with Disabilities Act of 1990 may result in unanticipated expenses.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Under the ADA, places of public accommodation are required to meet certain federal requirements related to access and use by disabled persons. A number of additional U.S. federal, state and local laws may also require modifications to our stores, or restrict certain further renovations of the stores, with respect to access thereto by disabled persons. If one or more of our stores is not in compliance with the ADA or other legislation, then we would be required to incur additional costs to bring the facility into compliance.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There is significant competition among self-storage operators and from other storage alternatives.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Competition in the local markets in which many of our stores are located is significant and has affected our occupancy levels, rental rates and operating expenses. Development of self-storage facilities has increased in recent years, which has intensified competition, and we expect it will continue to do so as newly developed facilities are opened. Development of self-storage facilities by other operators could continue to increase in the future. Actions by our competitors may decrease or prevent increases in our occupancy and rental rates, while increasing our operating expenses, which could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not be successful in identifying and consummating suitable acquisitions that meet our criteria, which may impede our growth.</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or investments on satisfactory terms or at all. Failure to identify or consummate acquisitions will slow our growth, which could in turn adversely affect our stock price.</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ability to acquire stores on favorable terms and successfully integrate and operate them may be constrained by the following significant risks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competition from local investors and other real estate investors with significant capital, including other publicly-traded REITs and institutional investment funds;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competition from other potential acquirers may significantly increase the purchase price which could reduce our profitability;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inability to achieve satisfactory completion of due diligence investigations and other customary closing conditions;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and our vendors rely on information technology, and any material failure, inadequacy, interruption or security failure of that technology could harm our business.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information technology networks and systems, including the Internet, to process, transmit and store electronic information, and to manage or support a variety of business processes, including financial transactions and records, personally identifiable information, and tenant and lease data. We purchase some of our information technology from vendors, on whom our systems depend. We rely on commercially available systems, software, tools and monitoring to provide security for processing, transmission and storage of confidential tenant and other sensitive information. Our information technology systems and those of our third-party service providers, strategic partners and other contractors or consultants are vulnerable to attack and damage or interruption from computer viruses and malware (e.g. ransomware), malicious code, natural disasters, terrorism, war, telecommunication and electrical failures, hacking, cyberattacks, phishing attacks and other social engineering schemes, employee theft or misuse, human error (e.g., social engineering, phishing), fraud, denial or degradation of service attacks, sophisticated nation-state and nation-state-supported actors or unauthorized access or use by persons inside our organization, or persons with access to systems inside our organization.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are from time to time, subject to cyberattacks and security incidents. While to date, we have not experienced a material security breach, this risk has generally increased as the number, intensity and sophistication of such breaches and attempted breaches from around the world have increased.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as well as our service providers’, employees who are (and may continue to be) working remotely, which may create additional opportunities for cybercriminals to exploit vulnerabilities. Any failure to maintain proper function, security and availability of our information systems could interrupt our operations, damage our reputation, divert significant management attention and resources to remedy any damages that result, subject us to liability claims or regulatory penalties and have a material adverse effect on our business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Failure to comply with laws and regulations relating to data privacy and protection, could adversely affect our business and our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both federal and various state governments have adopted, or are considering, laws, guidelines or rules for the collection, distribution, use and storage of information collected from or about consumers or their devices. For example, the California Consumer Privacy Act of 2018 (CCPA) went into effect on January 1, 2020, and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(CPRA) recently passed in California. The CPRA significantly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property taxes could increase due to reassessment or property tax rate changes.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Real property taxes on our properties may increase as our properties are reassessed by taxing authorities or as property tax rates change. Therefore, the amount of property taxes we are required to pay could increase substantially from the property taxes we currently pay or have paid in the past, including on a retroactive basis. If our property taxes we pay increase, our cash flow would be adversely impacted, and our ability to pay any expected dividends to our stockholders and unitholders could be adversely affected.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COVID-19 pandemic or other pandemics could adversely affect our results of operations.</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United States and other countries around the world have continued to experience a major health pandemic related to COVID-19, which has created considerable instability and disruption in the U.S. and world economies. Governmental authorities in impacted regions are taking varied and sometimes dramatic action in an effort to slow the spread of COVID-19. In 2020, federal, state and local jurisdictions issued varying forms of states of emergency orders. While many of these states of emergency orders have expired or been removed, we continue to monitor existing states of emergency and prepare for any additional states of emergency orders. We have updated many of our safety and working practices so that we are prepared to address any future states of emergency orders should they continue or be reinstated. </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business was impacted by COVID-19 in 2020 in several ways, including reductions in new rentals and vacates due to stay-at home orders and other restrictions, lower achieved rental rates from new customers, fewer existing customer rent increases, reduced late fee collection and impaired ability to hold auctions resulting in higher accounts receivable and bad debt. During 2021 we largely saw a return toward normalcy, including higher achieved rates, accounts receivable and collections less than 60 days returning to historical norms, and auctions being held in most locations. As a result of the reductions in vacates, we saw record occupancy levels during 2021.</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Although the self-storage industry has historically been resilient to ordinary market downturns, the impact of the COVID-19 pandemic on the U.S. and world economies generally, and on our future results in particular, could be significant and will largely depend on future developments, which are highly uncertain and cannot be predicted. This includes new information which may emerge concerning the severity of COVID-19 variants, the success of actions taken to contain or treat COVID-19 and reactions by consumers, companies, governmental entities and capital markets.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Our Organization and Structure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Conflicts of interest could arise as a result of our relationship with our Operating Partnership.</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joint venture investments could be adversely affected by our lack of sole decision-making authority.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held interests in 287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is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Certain provisions of Maryland law and our organizational documents, including the stock ownership limit imposed by our charter, may inhibit market activity in our stock and could prevent or delay a change in control transaction.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subject to certain exceptions, authorizes our directors to take such actions as are necessary and desirable to preserve our qualification as a REIT and to limit any person to actual or constructive ownership of no more than 7.0% (by value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board of directors has the power to issue additional shares of our stock in a manner that may not be in the best interest of our stockholders.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rights and the rights of our stockholders to take action against our directors and officers are limited.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Our Debt Financings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Disruptions in the financial markets could affect our ability to obtain debt financing on reasonable terms and have other adverse effects on 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Uncertainty in the credit markets may negatively impact our ability to access additional debt financing or to refinance existing debt maturities on favorable terms (or at all), which may negatively affect our ability to make acquisitions and fund development projects. A downturn in the credit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approximately $6.0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 To qualify as a REIT, we generally must distribute to our stockholders at least 90% of our REIT taxable income each year, determined without regard to the dividends paid deduction and excluding net capital gains, and we are subject to U.S. federal corporate income tax to the extent that we distribute less than 100% of our REIT taxable income each year, determined without regard to the deduction for dividends paid and including net capital gains.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pStyle w:val="TextBody"/>
        <w:spacing w:lineRule="auto" w:line="288" w:before="120" w:after="60"/>
        <w:ind w:left="0" w:right="0" w:hanging="360"/>
        <w:rPr/>
      </w:pPr>
      <w:r>
        <w:rPr>
          <w:color w:val="000000"/>
        </w:rPr>
        <w:t>•</w:t>
      </w:r>
      <w:r>
        <w:rPr>
          <w:rFonts w:ascii="Times New Roman;sans-serif" w:hAnsi="Times New Roman;sans-serif"/>
          <w:b w:val="false"/>
          <w:color w:val="000000"/>
          <w:sz w:val="20"/>
        </w:rPr>
        <w:t>our cash flow may be insufficient to meet our required principal and interest payments;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may be unable to borrow additional funds as needed or on favorable terms, including to make acquisitions or to continue to make distributions required to maintain our qualification as a REIT;</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may be unable to refinance our indebtedness at maturity or the refinancing terms may be less favorable than the terms of our original indebtedness;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because a portion of our debt bears interest at variable rates, an increase in interest rates could materially increase our interest expense;</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may be forced to dispose of one or more of our stores, possibly on disadvantageous terms;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after debt service, the amount available for cash distributions to our stockholders is reduced;</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may experience increased vulnerability to economic and industry downturns, reducing our ability to respond to changing business and economic conditions;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may default on our obligations and the lenders or mortgagees may foreclose on our stores that secure their loans and receive an assignment of rents and leases and/or enforce our guarantees;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may violate restrictive covenants in our loan documents, which would entitle the lenders to accelerate our debt obligations; and</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our default under any one of our mortgage loans with cross-default or cross-collateralization provisions could result in a default on other indebtedness or result in the foreclosures of other stores.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Increases in interest rates may increase our interest expense and adversely affect our cash flow and our ability to service our indebtedness and make cash distributions to our stockholders.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approximately $6.0 billion of debt outstanding, of which approximately $1.5 billion, or 24.7% was subject to variable interest rates (excluding debt with interest rate swaps). This variable rate debt had a weighted average interest rate of approximately 1.3% per annum. Increases in interest rates on this variable rate debt would increase our interest expense, which could harm our cash flow and our ability to pay cash distributions.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Failure to hedge effectively against interest rate changes may adversely affect our results of operations.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Changes in the method pursuant to which the London Interbank Offered Rate (“LIBOR”) is determined and the transition to other benchmarks may adversely affect our financial results.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LIBOR and certain other “benchmarks” have been the subject of continuing national, international and other regulatory guidance and proposals for reform. In July 2017, the United Kingdom’s Financial Conduct Authority (“FCA”), which regulates LIBOR, publicly announced that it intends to phase out LIBOR, and on March 5, 2021, the FCA announced that USD LIBOR will no longer be provided by any administrator or no longer be representative immediately after December 31, 2021, in the case of one week and two month USD settings, and immediately after June 30, 2023, in the case of the remaining USD settings. Additionally, banking regulators, including the U.S. Federal Reserve, have encouraged banks to discontinue new LIBOR debt issuances after December 31, 2021. This announcement has several implications, including setting the spread that may be used to automatically convert contracts from LIBOR to the Secured Overnight Financing Rate ("SOFR"). SOFR is a measure of the cost of borrowing cash overnight, collateralized by U.S. Treasury securities, and is based on directly observable U.S. Treasury-backed repurchase transactions. Although SOFR appears to be the preferred replacement rate for U.S. dollar LIBOR, it is unclear if other benchmarks may emerge or if other rates will be adopted outside of the United States.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anticipate that the most commonly used tenors of LIBOR will continue to be available at least until June 30, 2023.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contracts that are indexed to LIBOR and are monitoring and evaluating the related risks, which include interest on loans and amounts received and paid on derivative instruments. These risks arise in connection with transitioning contracts to an alternative rate, including any resulting value transfer that may occur, and are likely to vary by contract. The value of loans, securities, or derivative instruments tied to LIBOR, as well as interest rates on our current or future indebtedness, may also be impacted if LIBOR is limited or discontinued. For some instruments the method of transitioning to an alternative reference rate may be challenging, especially if we cannot agree with the respective counterparty about how to make the transition.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While we expect LIBOR to be available in substantially its current form until at least the end of June 30, 2023, it is possible that LIBOR will become unavailable prior to that point. This could result, for example, if sufficient banks decline to make submissions to the LIBOR administrator. In that case, the risks associated with the transition to an alternative reference rate will be accelerated and magnified.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Alternative rates and other market changes related to the replacement of LIBOR, including the introduction of financial products and changes in market practices, may lead to risk modeling and valuation challenges, such as adjusting interest rate accrual calculations and building a term structure for an alternative rate.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introduction of an alternative rate also may create additional basis risk and increased volatility as alternative rates are phased in and utilized in parallel with LIBOR.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Adjustments to systems and mathematical models to properly process and account for alternative rates will be required, which may have a material adverse effect on our financing costs, and as a result, our financial condition, operating results and cash flows.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Our existing indebtedness contains covenants that limit our operating flexibility and failure to comply with all covenants in our debt agreements could materially and adversely affect us.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including our credit agreement governing the revolving credit facility and term loans and the indentures governing our public traded notes, contain various financial and other covenants that we and our operating partnership must comply with including total debt to asset ratios, secured debt to total asset ratios, adjusted EBITDA to fixed charged ratios and minimum ratios of unencumbered assets to unsecured debt which we must maintain.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covenants may limit our operating flexibility and could prevent us from taking advantage of business opportunities as they arise, growing our business or competing effectively. Our ability to meet these covenants may be affected by events beyond our control, and we may be unable to maintain compliance with these covenants. If we fail to meet these requirements, we may be unable to obtain waivers from the lenders or indenture trustee, as applicable, or amend the covenants.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breach of any of the covenants or other provisions in our debt agreements could result in an event of default, which if not cured or waived, could result in such debt becoming due and payable, either automatically or after an election to accelerate by the required percentage of the holders of the indebtedness or by an agent for the holders of the indebtedness. This, in turn, could cause our other debt, including the notes and our revolving credit facility, to become due and payable as a result of cross-default or cross-acceleration provisions contained in the agreements governing the other debt and permit certain of our lenders to foreclose on our assets, if any, that secure this debt. In the event that some or all of our debt is accelerated and becomes immediately due and payable, we may not have the funds to repay, or the ability to refinance our debt.</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Qualification and Operation as a REIT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Dividends payable by REITs may be taxed at higher rates.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Dividends payable by REITs may be taxed at higher rates than dividends of non-REIT corporations. The maximum U.S. federal income tax rate for qualified dividends paid by domestic non-REIT corporations to U.S. stockholders that are individuals, trust or estates is generally 20%. Dividends paid by REITs to such stockholders are generally not eligible for that rate, but under current tax law, such stockholders may deduct up to 20% of ordinary dividends (i.e., dividends not designated as capital gain dividends or qualified dividend income) received from a REIT for taxable years beginning before January 1, 2026.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stock of REITs, including our stock. In addition, the relative attractiveness of real estate in general may be adversely affected by the favorable tax treatment given to corporate dividends, which could negatively affect the value of our stores.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Possible legislative or other actions affecting REITs could adversely affect our stockholders.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income taxation are constantly under review by persons involved in the legislative process and by the Internal Revenue Service ("IRS") and the U.S. Department of the Treasury. Changes to the tax laws, with or without retroactive application, could adversely affect our investors or us in ways we cannot predict. New legislation, Treasury Regulations, administrative interpretations or court decisions could significantly and negatively affect our ability to qualify as a REIT, the U.S. federal income tax consequences of such qualification, or the U.S. federal income tax consequences of an investment in us. Also, the law relating to the tax treatment of other entities, or an investment in other entities, could change, making an investment in such other entities more attractive relative to an investment in a REIT.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failure to qualify as a REIT would have significant adverse consequences to us and the value of our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pStyle w:val="TextBody"/>
        <w:spacing w:lineRule="auto" w:line="288" w:before="0" w:after="0"/>
        <w:rPr>
          <w:color w:val="000000"/>
        </w:rPr>
      </w:pPr>
      <w:r>
        <w:rPr>
          <w:color w:val="000000"/>
        </w:rPr>
        <w:t>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would not be allowed a deduction for distributions to stockholders in computing our taxable income and would be subject to U.S. federal corporate income tax on our taxable income;</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we also could be subject to the U.S. federal alternative minimum income tax for taxable years prior to 2018 and possibly increased state and local taxes; and</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unless we are entitled to relief under applicable statutory provisions, we could not elect to be taxed as a REIT for four taxable years following a year during which we were disqualified.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U.S.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Our ability to satisfy the income tests depends on the sources and amounts of our gross income, which we may not be able to control. Also, we must make distributions to stockholders aggregating annually at least 90% of our REIT taxable income, determined without regard to the dividends paid deduction and excluding net capital gains, and we will be subject to U.S. federal corporate income tax to the extent we distribute less than 100% of our REIT taxable income, without regard to the dividends paid deduction and including net capital gains.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own and may acquire direct or indirect interests in entities that have elected or will elect to be taxed as REITs under the Internal Revenue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we would fail certain of the asset tests applicable to REITs, in which event we would fail to qualify as a REIT unless we could avail ourselves of certain relief provisions.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REIT for U.S. federal income tax purposes. We have not requested and do not plan to request a ruling from the IRS regarding our qualification as a REIT.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will pay some taxes, reducing cash available for stockholders.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Even though we qualify as a REIT for U.S. federal income tax purposes, we will be required to pay some U.S. federal, state and local taxes on our income and property. Extra Space Management, Inc. manages stores for our joint ventures and stores owned by third parties. We, jointly with certain corporate subsidiaries, including Extra Space Management, Inc., elected to treat each such subsidiary as a taxable REIT subsidiary (“TRS”) of our Company for U.S. federal income tax purposes. A TRS is subject to U.S. federal corporate income tax, and may also be subject to state and local taxes, on its taxable income. ESM Reinsurance Limited, a wholly-owned subsidiary of Extra Space Management, Inc., generates income from insurance premiums that are subject to U.S. federal income tax and state insurance premiums tax, and pays certain insurance royalties to us. In addition, we will be subject to a 100% penalty tax on certain amounts if the economic arrangements among our tenants, our TRS and us are not comparable to similar arrangements among unrelated parties. Also, if we sell property as a dealer (i.e., to customers in the ordinary course of our trade or business), we will be subject to a 100% penalty tax on any gain arising from such sales. While we do not intend to sell stores as a dealer, the IRS could take a contrary position. To the extent that we are, or any of our TRSs is, required to pay U.S. federal, state or local taxes, we will have less cash available for distribution to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owned or had ownership interests in 1,268 operating stores. Of these stores, 981 are wholly-owned, four are in a consolidated joint venture, and 283 are in unconsolidated joint ventures. In addition, we managed 828 stores for third parties bringing the total number of stores which we own and/or manage to 2,096.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pStyle w:val="TextBody"/>
        <w:spacing w:before="120" w:after="283"/>
        <w:ind w:left="0" w:right="0" w:firstLine="495"/>
        <w:jc w:val="center"/>
        <w:rPr/>
      </w:pPr>
      <w:r>
        <w:rPr/>
        <w:drawing>
          <wp:inline distT="0" distB="63500" distL="0" distR="0">
            <wp:extent cx="5143500" cy="411480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5143500" cy="4114800"/>
                    </a:xfrm>
                    <a:prstGeom prst="rect">
                      <a:avLst/>
                    </a:prstGeom>
                  </pic:spPr>
                </pic:pic>
              </a:graphicData>
            </a:graphic>
          </wp:inline>
        </w:drawing>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approximately 1,250,000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2021, the average length of stay was approximately 14.7 months.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average annual rent per square foot for our existing customers at stabilized stores, net of discounts and bad debt, was $18.03 for the year ended December 31, 2021, compared to $16.21 for the year ended December 31, 2020. Average annual rent per square foot for new leases was $19.53 for the year ended December 31, 2021, compared to $14.64 for the year ended December 31, 2020. The average discounts, as a percentage of rental revenues, during these periods were 3.2% and 3.2%, respectively.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store portfolio is made up of different types of construction and building configurations. Most often sites are what we consider “hybrid” facilities, a mix of both drive-up buildings and multi-floor buildings. We have a number of multi-floor buildings with elevator access only, and a number of facilities featuring ground-floor access only.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regarding net rentable square feet and the number of stores by state:</w:t>
      </w:r>
    </w:p>
    <w:tbl>
      <w:tblPr>
        <w:tblW w:w="10205" w:type="dxa"/>
        <w:jc w:val="left"/>
        <w:tblInd w:w="0" w:type="dxa"/>
        <w:tblCellMar>
          <w:top w:w="28" w:type="dxa"/>
          <w:left w:w="28" w:type="dxa"/>
          <w:bottom w:w="28" w:type="dxa"/>
          <w:right w:w="28" w:type="dxa"/>
        </w:tblCellMar>
      </w:tblPr>
      <w:tblGrid>
        <w:gridCol w:w="424"/>
        <w:gridCol w:w="372"/>
        <w:gridCol w:w="382"/>
        <w:gridCol w:w="294"/>
        <w:gridCol w:w="294"/>
        <w:gridCol w:w="295"/>
        <w:gridCol w:w="686"/>
        <w:gridCol w:w="332"/>
        <w:gridCol w:w="328"/>
        <w:gridCol w:w="285"/>
        <w:gridCol w:w="285"/>
        <w:gridCol w:w="286"/>
        <w:gridCol w:w="686"/>
        <w:gridCol w:w="332"/>
        <w:gridCol w:w="328"/>
        <w:gridCol w:w="285"/>
        <w:gridCol w:w="285"/>
        <w:gridCol w:w="286"/>
        <w:gridCol w:w="681"/>
        <w:gridCol w:w="336"/>
        <w:gridCol w:w="332"/>
        <w:gridCol w:w="316"/>
        <w:gridCol w:w="285"/>
        <w:gridCol w:w="286"/>
        <w:gridCol w:w="618"/>
        <w:gridCol w:w="458"/>
        <w:gridCol w:w="428"/>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7"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2021</w:t>
            </w:r>
          </w:p>
        </w:tc>
      </w:tr>
      <w:tr>
        <w:trPr/>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REIT Owned</w:t>
            </w:r>
          </w:p>
        </w:tc>
        <w:tc>
          <w:tcPr>
            <w:tcW w:w="220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JV Owned</w:t>
            </w:r>
          </w:p>
        </w:tc>
        <w:tc>
          <w:tcPr>
            <w:tcW w:w="220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w:t>
            </w:r>
          </w:p>
        </w:tc>
        <w:tc>
          <w:tcPr>
            <w:tcW w:w="239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8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Property Count </w:t>
            </w:r>
            <w:r>
              <w:rPr>
                <w:rFonts w:ascii="Times New Roman;sans-serif" w:hAnsi="Times New Roman;sans-serif"/>
                <w:b/>
                <w:color w:val="000000"/>
                <w:sz w:val="12"/>
              </w:rPr>
              <w:t>(1)</w:t>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r>
      <w:tr>
        <w:trPr/>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Alabama</w:t>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591,634 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75,711 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500,522 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1,167,867 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Arizona</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1,624,442 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673,854 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1,693,975 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3,992,271 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12,470,619 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3,585,534 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7,399,311 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23,455,464 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Colorado</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1,151,511 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270,604 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1,785,787 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3,207,902 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Connecticut</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469,426 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575,824 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552,007 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1,597,257 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76,645 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138,474 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215,119 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Florida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8,011,723 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3,057,327 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9,087,058 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20,156,108 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5,483,850 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648,012 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1,753,910 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7,885,772 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Hawaii</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863,635 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159,388 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1,023,023 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Idaho</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131,564 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131,564 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2,821,824 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741,698 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2,165,181 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5,728,703 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927,531 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58,216 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1,158,507 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2,144,254 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108,920 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466,496 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625,625 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Kentucky</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829,290 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51,178 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704,881 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1,585,349 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312,159 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680,815 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992,974 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Maine</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575,386 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575,386 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2,848,279 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552,868 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2,783,152 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6,184,299 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2,970,320 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640,714 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1,556,339 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5,167,373 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Michigan</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565,449 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302,676 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420,218 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1,288,343 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585,125 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305,406 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1,130,794 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2,021,325 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Mississippi</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231,542 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231,542 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Missouri</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260,700 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119,275 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912,707 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1,292,682 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Nebraska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278,061 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278,061 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1,038,777 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473,751 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744,039 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2,256,567 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Hampshire</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135,840 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84,165 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358,872 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578,877 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Jersey</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4,937,280 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1,143,657 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2,554,345 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8,635,282 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Mexico</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647,403 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677,034 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904,852 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2,229,289 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2,042,566 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1,503,833 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1,898,832 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5,445,231 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1,732,374 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401,772 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1,298,584 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3,432,730 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Ohio</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1,240,197 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325,163 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551,345 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2,116,705 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Oklahoma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1,458,951 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1,458,951 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Oregon</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552,096 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65,245 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661,486 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1,278,827 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1,538,581 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678,909 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2,393,416 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4,610,906 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134,902 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422,148 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557,050 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Carolina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1,713,388 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710,450 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2,116,885 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4,540,723 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Tennessee</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1,776,159 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810,966 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642,969 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3,230,094 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8,267,256 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1,844,974 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6,608,519 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16,720,749 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696,966 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1,964,335 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2,661,301 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4,033,833 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767,328 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2,221,694 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7,022,855 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683,813 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1,149,570 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1,833,383 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 DC</w:t>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100,039 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103,732 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530,224 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733,995 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Wisconsin</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592,546 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592,546 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w:t>
            </w:r>
          </w:p>
        </w:tc>
        <w:tc>
          <w:tcPr>
            <w:tcW w:w="5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74,340,738 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21,435,441 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65,108,145 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160,884,324 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pPr>
      <w:r>
        <w:rPr>
          <w:rFonts w:ascii="Times New Roman;sans-serif" w:hAnsi="Times New Roman;sans-serif"/>
          <w:b w:val="false"/>
          <w:color w:val="000000"/>
          <w:sz w:val="18"/>
        </w:rPr>
        <w:t xml:space="preserve">(1) REIT owned property count includes </w:t>
      </w:r>
      <w:r>
        <w:rPr>
          <w:rFonts w:ascii="Times New Roman;sans-serif" w:hAnsi="Times New Roman;sans-serif"/>
          <w:b w:val="false"/>
          <w:color w:val="000000"/>
          <w:sz w:val="20"/>
        </w:rPr>
        <w:t>four</w:t>
      </w:r>
      <w:r>
        <w:rPr>
          <w:color w:val="000000"/>
        </w:rPr>
        <w:t xml:space="preserve"> </w:t>
      </w:r>
      <w:r>
        <w:rPr>
          <w:rFonts w:ascii="Times New Roman;sans-serif" w:hAnsi="Times New Roman;sans-serif"/>
          <w:b w:val="false"/>
          <w:color w:val="000000"/>
          <w:sz w:val="18"/>
        </w:rPr>
        <w:t>stores owned in a consolidated joint venture.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 For more information on our legal accruals, refer to the Commitments and Contingencies footnote in the notes to the consolidated financial statements in Item 8 of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under the symbol “EXR” on the New York Stock Exchange ("NYSE") since our IPO on August 17, 2004. On February 22, 2022, the closing price of our common stock as reported by the NYSE was $185.28. At February 22, 2022, we had 423 holders of record of our common stock. Certain shares of the Company are held in “street” name and accordingly, the number of beneficial owners of such shares is not known or included in the foregoing number.</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 We have historically made regular quarterly distributions to our stockholders.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about our equity compensation plans is incorporated by reference in Item 12 of Part III of this Annual Report on Form 10-K.</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October 2020, our board of directors authorized a three-year share repurchase program allowing the repurchase of shares with an aggregate value up to $400.0 million. As of December 31, 2021, we had remaining authorization to repurchase shares with an aggregate value of $400.0 million.</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All unregistered sales of equity securities during the year ended December 31, 2021 have previously been disclosed in filings with the SEC. On January 6, 2022, we issued a total of 186,766 shares of common stock in connection with the acquisition of two stores. The shares of common stock were valued at a total of $41.0 million. The shares of common stock were issued in a private placement in reliance on Section 4(a)(2) of the Securities Act of 1933, as amended, and the rules and regulations promulgated thereunder. We agreed to register for resale the shares issued in connection with such acquisition on or before April 6,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6.     Selected Financial Data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required.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Dollar amounts in thousands, except share and per share data, unless otherwise stated.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 summary of significant accounting policies is also provided in the notes to our consolidated financial statements (see Note 2 to our consolidated financial statements). Actual results may differ from these estimates. We believe the following are our most critical accounting policies and estimates:</w:t>
      </w:r>
    </w:p>
    <w:p>
      <w:pPr>
        <w:pStyle w:val="TextBody"/>
        <w:spacing w:lineRule="auto" w:line="288" w:before="240" w:after="283"/>
        <w:ind w:left="0" w:right="0" w:firstLine="495"/>
        <w:rPr/>
      </w:pPr>
      <w:r>
        <w:rPr>
          <w:rFonts w:ascii="Times New Roman;sans-serif" w:hAnsi="Times New Roman;sans-serif"/>
          <w:b/>
          <w:color w:val="000000"/>
          <w:sz w:val="20"/>
        </w:rPr>
        <w:t>CONSOLIDATION:</w:t>
      </w:r>
      <w:r>
        <w:rPr>
          <w:color w:val="000000"/>
        </w:rPr>
        <w:t xml:space="preserve"> </w:t>
      </w:r>
      <w:r>
        <w:rPr>
          <w:rFonts w:ascii="Times New Roman;sans-serif" w:hAnsi="Times New Roman;sans-serif"/>
          <w:b w:val="false"/>
          <w:color w:val="000000"/>
          <w:sz w:val="20"/>
        </w:rPr>
        <w:t>Arrangements that are not controlled through voting or similar rights are accounted for as variable interest entities (“VIEs”). An enterprise is required to consolidate a VIE if it is the primary beneficiary of the VIE.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when we enter into arrangements for the formation of joint ventures, a VIE may be created.  The primary factors that require the most judgment in determining whether the joint venture is a VIE are whether the decisions that most significantly impact the entity’s economic performance were controlled by the equity holders as a group, and whether the joint venture has sufficient equity to finance its activities without additional subordinated support.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the joint venture is determined to be a VIE, we perform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we are determined to be the primary beneficiary of the VIE, the assets, liabilities and operations of the VIE are consolidated within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Otherwise, our investment is generally accounted for under the equity method. Our ability to correctly assess the influence or control over an entity affects the presentation of the investment in our consolidated financial statements.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one consolidated VIE consisting of four stores. As of December 31, 2020 we had no consolidated VIEs. </w:t>
      </w:r>
    </w:p>
    <w:p>
      <w:pPr>
        <w:pStyle w:val="TextBody"/>
        <w:spacing w:lineRule="auto" w:line="288" w:before="240" w:after="283"/>
        <w:ind w:left="0" w:right="0" w:firstLine="495"/>
        <w:rPr/>
      </w:pPr>
      <w:r>
        <w:rPr>
          <w:rFonts w:ascii="Times New Roman;sans-serif" w:hAnsi="Times New Roman;sans-serif"/>
          <w:b/>
          <w:color w:val="000000"/>
          <w:sz w:val="20"/>
        </w:rPr>
        <w:t>REAL ESTATE ASSETS:</w:t>
      </w:r>
      <w:r>
        <w:rPr>
          <w:color w:val="000000"/>
        </w:rPr>
        <w:t xml:space="preserve"> </w:t>
      </w:r>
      <w:r>
        <w:rPr>
          <w:rFonts w:ascii="Times New Roman;sans-serif" w:hAnsi="Times New Roman;sans-serif"/>
          <w:b w:val="false"/>
          <w:color w:val="000000"/>
          <w:sz w:val="20"/>
        </w:rPr>
        <w:t>We account for the acquisition of stores, including by merger and other acquisitions of real estate, in accordance with ASC 805-10,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We use our judgment to determine if assets acquired meet the definition of a business or if the acquisition should be considered an asset acquisition. We must make significant assumptions and estimates in determining the fair value of the tangible and intangible assets and liabilities acquired and consideration transferred. These fair value estimates are sensitive to: price of land per square foot and current replacement cost estimates, including adjustments for the age, class, height, square footage, condition, location, and turnkey factor. These assumptions and estimates require judgment, and therefore others could come to materially different conclusions as to the estimated fair values, which could result in differences in depreciation and amortization expense, gains and losses on the sale of real estate assets, and real estate and intangible asset values. </w:t>
      </w:r>
    </w:p>
    <w:p>
      <w:pPr>
        <w:pStyle w:val="TextBody"/>
        <w:spacing w:lineRule="auto" w:line="288" w:before="240" w:after="283"/>
        <w:ind w:left="0" w:right="0" w:firstLine="495"/>
        <w:rPr/>
      </w:pPr>
      <w:r>
        <w:rPr>
          <w:rFonts w:ascii="Times New Roman;sans-serif" w:hAnsi="Times New Roman;sans-serif"/>
          <w:b/>
          <w:color w:val="000000"/>
          <w:sz w:val="20"/>
        </w:rPr>
        <w:t>EVALUATION OF ASSET IMPAIRMENT:</w:t>
      </w:r>
      <w:r>
        <w:rPr>
          <w:color w:val="000000"/>
        </w:rPr>
        <w:t xml:space="preserve"> </w:t>
      </w:r>
      <w:r>
        <w:rPr>
          <w:rFonts w:ascii="Times New Roman;sans-serif" w:hAnsi="Times New Roman;sans-serif"/>
          <w:b w:val="false"/>
          <w:color w:val="000000"/>
          <w:sz w:val="20"/>
        </w:rPr>
        <w:t>Long lived assets held for use are evaluated for impairment when events or circumstances indicate that there 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 likely recover the lost occupancy and/or revenue in the short term. In addition, we review stores in the lease-up stage and compare actual operating results to original projections. We may not have identified all material facts and circumstances that affect impairment of our stores. No material impairments were recorded in the year ended December 31, 2021.</w:t>
      </w:r>
    </w:p>
    <w:p>
      <w:pPr>
        <w:pStyle w:val="TextBody"/>
        <w:spacing w:lineRule="auto" w:line="288" w:before="240" w:after="283"/>
        <w:ind w:left="0" w:right="0" w:firstLine="495"/>
        <w:rPr/>
      </w:pPr>
      <w:r>
        <w:rPr>
          <w:rFonts w:ascii="Times New Roman;sans-serif" w:hAnsi="Times New Roman;sans-serif"/>
          <w:b/>
          <w:color w:val="000000"/>
          <w:sz w:val="20"/>
        </w:rPr>
        <w:t>DERIVATIVE INSTRUMENTS AND HEDGING ACTIVITIES:</w:t>
      </w:r>
      <w:r>
        <w:rPr>
          <w:color w:val="000000"/>
        </w:rPr>
        <w:t xml:space="preserve"> </w:t>
      </w:r>
      <w:r>
        <w:rPr>
          <w:rFonts w:ascii="Times New Roman;sans-serif" w:hAnsi="Times New Roman;sans-serif"/>
          <w:b w:val="false"/>
          <w:color w:val="000000"/>
          <w:sz w:val="20"/>
        </w:rPr>
        <w:t xml:space="preserve">We hold a number of derivative instruments which we use to hedge our exposure to variability in expected future cash flows, mainly related to our interest rates on variable interest debt. We do not use derivatives for trading or speculative purposes. We assess our derivatives both at inception, and on an ongoing quarterly basis, for whether the derivatives used in hedging transactions are effective. The rules and interpretations relating to the accounting for derivatives are complex. Failure to apply this guidance correctly may require us to recognize all changes in fair value of the hedged derivative in earnings, which may materially impact our results. </w:t>
      </w:r>
    </w:p>
    <w:p>
      <w:pPr>
        <w:pStyle w:val="TextBody"/>
        <w:spacing w:lineRule="auto" w:line="288" w:before="240" w:after="283"/>
        <w:ind w:left="0" w:right="0" w:firstLine="495"/>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We have elected to be treated as a REIT under Sections 856 through 860 of the Internal Revenue Code. In order to maintain our qualification as a REIT, among other things, we are required to distribute at least 90% of our REIT taxable income to our stockholders and meet certain tests regarding the nature of our income and assets. As a REIT, we are not subject to U.S.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For any taxable year that we fail to qualify as a REIT and for which applicable statutory relief provisions did not apply, we would be subject to U.S. federal corporate income tax on all of our taxable income for at least that year and the ensuing four years. We could also be subject to penalties and interest, and our net income may be materially different from the amounts reported in our financial statements.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treat certain corporate subsidiaries, including Extra Space Management, Inc., as a TRS. In general, a TRS may perform additional services for tenants and generally may engage in any real estate or non-real estate related business. A TRS is subject to U.S. federal corporate income tax and may also be subject to state and local income taxes. Interest and penalties relating to uncertain tax positions will be recognized in income tax expense when incurred. If tax authorities determine that amounts paid by any of our TRSs to us are not reasonable compared to similar arrangements among unrelated parties, we could be subject to a penalty tax on the excess payments. </w:t>
      </w:r>
    </w:p>
    <w:p>
      <w:pPr>
        <w:pStyle w:val="TextBody"/>
        <w:spacing w:lineRule="auto" w:line="288" w:before="360" w:after="283"/>
        <w:rPr/>
      </w:pPr>
      <w:r>
        <w:rPr>
          <w:rFonts w:ascii="Times New Roman;sans-serif" w:hAnsi="Times New Roman;sans-serif"/>
          <w:b/>
          <w:color w:val="000000"/>
          <w:sz w:val="20"/>
        </w:rPr>
        <w:t xml:space="preserve">RECENT ACCOUNTING PRONOUNCEMENTS: </w:t>
      </w:r>
      <w:r>
        <w:rPr>
          <w:rFonts w:ascii="Times New Roman;sans-serif" w:hAnsi="Times New Roman;sans-serif"/>
          <w:b w:val="false"/>
          <w:color w:val="000000"/>
          <w:sz w:val="20"/>
        </w:rPr>
        <w:t>For a discussion of recent accounting pronouncements affecting our business, see Item 8, “Financial Statements and Supplementary Data–Recently Issued Accounting Standards.”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 Ended December 31, 2021 to the Year Ended December 31, 2020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Results for the year ended December 31, 2021 included the operations of 1,268 stores (981 wholly-owned, four in consolidated joint ventures, and 283 in joint ventures accounted for using the equity method) compared to the results for the year ended December 31, 2020, which included the operations of 1,197 stores (944 wholly-owned, six in a consolidated joint venture, and 247 in joint ventures accounted for using the equity method). Material or unusual changes in the results of our operations are discussed below.</w:t>
      </w:r>
    </w:p>
    <w:p>
      <w:pPr>
        <w:pStyle w:val="TextBody"/>
        <w:spacing w:before="120" w:after="283"/>
        <w:ind w:left="0" w:right="0" w:firstLine="450"/>
        <w:rPr/>
      </w:pPr>
      <w:r>
        <w:rPr/>
      </w:r>
    </w:p>
    <w:p>
      <w:pPr>
        <w:pStyle w:val="TextBody"/>
        <w:spacing w:before="120" w:after="283"/>
        <w:rPr/>
      </w:pPr>
      <w:r>
        <w:rPr/>
        <w:drawing>
          <wp:inline distT="0" distB="63500" distL="0" distR="0">
            <wp:extent cx="6515100" cy="1933575"/>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6515100" cy="1933575"/>
                    </a:xfrm>
                    <a:prstGeom prst="rect">
                      <a:avLst/>
                    </a:prstGeom>
                  </pic:spPr>
                </pic:pic>
              </a:graphicData>
            </a:graphic>
          </wp:inline>
        </w:drawing>
      </w:r>
    </w:p>
    <w:p>
      <w:pPr>
        <w:pStyle w:val="TextBody"/>
        <w:spacing w:before="240" w:after="283"/>
        <w:jc w:val="center"/>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revenues earned for the years indicated:</w:t>
      </w:r>
    </w:p>
    <w:tbl>
      <w:tblPr>
        <w:tblW w:w="8807" w:type="dxa"/>
        <w:jc w:val="left"/>
        <w:tblInd w:w="0" w:type="dxa"/>
        <w:tblCellMar>
          <w:top w:w="28" w:type="dxa"/>
          <w:left w:w="28" w:type="dxa"/>
          <w:bottom w:w="28" w:type="dxa"/>
          <w:right w:w="28" w:type="dxa"/>
        </w:tblCellMar>
      </w:tblPr>
      <w:tblGrid>
        <w:gridCol w:w="1087"/>
        <w:gridCol w:w="955"/>
        <w:gridCol w:w="957"/>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578"/>
      </w:tblGrid>
      <w:tr>
        <w:trPr/>
        <w:tc>
          <w:tcPr>
            <w:tcW w:w="108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rental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reinsurance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other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Property Rental—</w:t>
      </w:r>
      <w:r>
        <w:rPr>
          <w:rFonts w:ascii="Times New Roman;sans-serif" w:hAnsi="Times New Roman;sans-serif"/>
          <w:b w:val="false"/>
          <w:color w:val="000000"/>
          <w:sz w:val="20"/>
        </w:rPr>
        <w:t>The increase in property rental revenues for the year ended December 31, 2021 was primarily the result of an increase of $151,217 at our stabilized stores related to high occupancy and increased rents to new and existing customers. Property rental revenue also increased by $40,792 associated with acquisitions completed in 2021 and 2020. We acquired 74 stores during the year ended December 31, 2021 and we acquired 23 stores during the year ended December 31, 2020. Property rental revenue also increased by $5,193 during the year ended December 31, 2021 as a result of increases in occupancy at our lease-up stores. These increases were offset by approximately $15,460 related to the sale of 16 stores into a new joint venture and 16 stores to a third party during 2021.</w:t>
      </w:r>
    </w:p>
    <w:p>
      <w:pPr>
        <w:pStyle w:val="TextBody"/>
        <w:spacing w:lineRule="auto" w:line="288" w:before="240" w:after="283"/>
        <w:ind w:left="0" w:right="0" w:firstLine="495"/>
        <w:rPr/>
      </w:pPr>
      <w:r>
        <w:rPr>
          <w:rFonts w:ascii="Times New Roman;sans-serif" w:hAnsi="Times New Roman;sans-serif"/>
          <w:b/>
          <w:color w:val="000000"/>
          <w:sz w:val="20"/>
        </w:rPr>
        <w:t>Tenant Reinsurance</w:t>
      </w:r>
      <w:r>
        <w:rPr>
          <w:color w:val="000000"/>
        </w:rPr>
        <w:t>—</w:t>
      </w:r>
      <w:r>
        <w:rPr>
          <w:rFonts w:ascii="Times New Roman;sans-serif" w:hAnsi="Times New Roman;sans-serif"/>
          <w:b w:val="false"/>
          <w:color w:val="000000"/>
          <w:sz w:val="20"/>
        </w:rPr>
        <w:t xml:space="preserve">The increase in tenant reinsurance revenues was due primarily to an increase in the number of stores operated and the higher average occupancy across the portfolio. We operated 2,096 stores at December 31, 2021, compared to 1,921 stores at December 31, 2020. </w:t>
      </w:r>
    </w:p>
    <w:p>
      <w:pPr>
        <w:pStyle w:val="TextBody"/>
        <w:spacing w:lineRule="auto" w:line="288" w:before="240" w:after="283"/>
        <w:ind w:left="0" w:right="0" w:firstLine="495"/>
        <w:rPr/>
      </w:pPr>
      <w:r>
        <w:rPr>
          <w:rFonts w:ascii="Times New Roman;sans-serif" w:hAnsi="Times New Roman;sans-serif"/>
          <w:b/>
          <w:color w:val="000000"/>
          <w:sz w:val="20"/>
        </w:rPr>
        <w:t>Management Fees and Other Income</w:t>
      </w:r>
      <w:r>
        <w:rPr>
          <w:color w:val="000000"/>
        </w:rPr>
        <w:t>—</w:t>
      </w:r>
      <w:r>
        <w:rPr>
          <w:rFonts w:ascii="Times New Roman;sans-serif" w:hAnsi="Times New Roman;sans-serif"/>
          <w:b w:val="false"/>
          <w:color w:val="000000"/>
          <w:sz w:val="20"/>
        </w:rPr>
        <w:t>Management fees and other income represent the fees collected for our management of stores owned by third parties and unconsolidated joint ventures and other transaction fee income. The increase for the year ended December 31, 2021 was primarily due to an increase in the number of stores managed. As of December 31, 2021, we managed 1,115 stores for third parties and joint ventures compared to 977 stores as of December 31, 2020.</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expenses for the years indicated:</w:t>
      </w:r>
    </w:p>
    <w:tbl>
      <w:tblPr>
        <w:tblW w:w="8091" w:type="dxa"/>
        <w:jc w:val="left"/>
        <w:tblInd w:w="0" w:type="dxa"/>
        <w:tblCellMar>
          <w:top w:w="28" w:type="dxa"/>
          <w:left w:w="28" w:type="dxa"/>
          <w:bottom w:w="28" w:type="dxa"/>
          <w:right w:w="28" w:type="dxa"/>
        </w:tblCellMar>
      </w:tblPr>
      <w:tblGrid>
        <w:gridCol w:w="938"/>
        <w:gridCol w:w="827"/>
        <w:gridCol w:w="829"/>
        <w:gridCol w:w="218"/>
        <w:gridCol w:w="856"/>
        <w:gridCol w:w="113"/>
        <w:gridCol w:w="113"/>
        <w:gridCol w:w="113"/>
        <w:gridCol w:w="113"/>
        <w:gridCol w:w="218"/>
        <w:gridCol w:w="856"/>
        <w:gridCol w:w="113"/>
        <w:gridCol w:w="109"/>
        <w:gridCol w:w="109"/>
        <w:gridCol w:w="109"/>
        <w:gridCol w:w="211"/>
        <w:gridCol w:w="721"/>
        <w:gridCol w:w="109"/>
        <w:gridCol w:w="109"/>
        <w:gridCol w:w="109"/>
        <w:gridCol w:w="109"/>
        <w:gridCol w:w="255"/>
        <w:gridCol w:w="256"/>
        <w:gridCol w:w="578"/>
      </w:tblGrid>
      <w:tr>
        <w:trPr/>
        <w:tc>
          <w:tcPr>
            <w:tcW w:w="93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operations</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368,608 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360,615 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Tenant reinsurance </w:t>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742,169 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495"/>
        <w:rPr/>
      </w:pPr>
      <w:r>
        <w:rPr>
          <w:rFonts w:ascii="Times New Roman;sans-serif" w:hAnsi="Times New Roman;sans-serif"/>
          <w:b/>
          <w:color w:val="000000"/>
          <w:sz w:val="20"/>
        </w:rPr>
        <w:t>Property Operations</w:t>
      </w:r>
      <w:r>
        <w:rPr>
          <w:color w:val="000000"/>
        </w:rPr>
        <w:t>—</w:t>
      </w:r>
      <w:r>
        <w:rPr>
          <w:rFonts w:ascii="Times New Roman;sans-serif" w:hAnsi="Times New Roman;sans-serif"/>
          <w:b w:val="false"/>
          <w:color w:val="000000"/>
          <w:sz w:val="20"/>
        </w:rPr>
        <w:t xml:space="preserve">The increase in property operations expense consists primarily of an increase of $13,440 related to acquisitions completed in 2021 and 2020. We acquired 74 stores during the year ended December 31, 2021 and acquired 23 stores during the year ended December 31, 2020. The increase was partially offset by a decrease in expense of $(4,755) related to property sales. </w:t>
      </w:r>
    </w:p>
    <w:p>
      <w:pPr>
        <w:pStyle w:val="TextBody"/>
        <w:spacing w:lineRule="auto" w:line="288" w:before="240" w:after="283"/>
        <w:ind w:left="0" w:right="0" w:firstLine="495"/>
        <w:rPr/>
      </w:pPr>
      <w:r>
        <w:rPr>
          <w:rFonts w:ascii="Times New Roman;sans-serif" w:hAnsi="Times New Roman;sans-serif"/>
          <w:b/>
          <w:color w:val="000000"/>
          <w:sz w:val="20"/>
        </w:rPr>
        <w:t>Tenant Reinsurance</w:t>
      </w:r>
      <w:r>
        <w:rPr>
          <w:color w:val="000000"/>
        </w:rPr>
        <w:t>—</w:t>
      </w:r>
      <w:r>
        <w:rPr>
          <w:rFonts w:ascii="Times New Roman;sans-serif" w:hAnsi="Times New Roman;sans-serif"/>
          <w:b w:val="false"/>
          <w:color w:val="000000"/>
          <w:sz w:val="20"/>
        </w:rPr>
        <w:t xml:space="preserve">Tenant reinsurance expense represents the costs that are incurred to provide tenant reinsurance. The increase in tenant reinsurance expense for the year ended December 31, 2021 was due primarily to the increase in total number of stores operated compared to the prior year and major storm events that occurred causing an increase in claim payouts. We operated 2,096 stores at December 31, 2021, compared to 1,921 stores at December 31, 2020. </w:t>
      </w:r>
    </w:p>
    <w:p>
      <w:pPr>
        <w:pStyle w:val="TextBody"/>
        <w:spacing w:lineRule="auto" w:line="288" w:before="240" w:after="283"/>
        <w:ind w:left="0" w:right="0" w:firstLine="450"/>
        <w:rPr/>
      </w:pPr>
      <w:r>
        <w:rPr>
          <w:rFonts w:ascii="Times New Roman;sans-serif" w:hAnsi="Times New Roman;sans-serif"/>
          <w:b/>
          <w:color w:val="000000"/>
          <w:sz w:val="20"/>
        </w:rPr>
        <w:t>General and Administrative—</w:t>
      </w:r>
      <w:r>
        <w:rPr>
          <w:rFonts w:ascii="Times New Roman;sans-serif" w:hAnsi="Times New Roman;sans-serif"/>
          <w:b w:val="false"/>
          <w:color w:val="000000"/>
          <w:sz w:val="20"/>
        </w:rPr>
        <w:t xml:space="preserve">General and administrative expenses primarily include all expenses not directly related to our stores, including corporate payroll, travel and professional fees. These expenses are recognized as incurred. During 2021, we experienced higher than average turnover and extended times to fill. Additionally, we experienced wage pressure which led to increases in wages of approximately 10% nationwide. These trends will directly increase general &amp; administrative expenses in 2022. No other material trends in specific travel or other expenses were observed. </w:t>
      </w:r>
    </w:p>
    <w:p>
      <w:pPr>
        <w:pStyle w:val="TextBody"/>
        <w:spacing w:lineRule="auto" w:line="288" w:before="240" w:after="283"/>
        <w:ind w:left="0" w:right="0" w:firstLine="450"/>
        <w:rPr/>
      </w:pPr>
      <w:r>
        <w:rPr>
          <w:rFonts w:ascii="Times New Roman;sans-serif" w:hAnsi="Times New Roman;sans-serif"/>
          <w:b/>
          <w:color w:val="000000"/>
          <w:sz w:val="20"/>
        </w:rPr>
        <w:t>Depreciation and Amortization</w:t>
      </w:r>
      <w:r>
        <w:rPr>
          <w:color w:val="000000"/>
        </w:rPr>
        <w:t>—</w:t>
      </w:r>
      <w:r>
        <w:rPr>
          <w:rFonts w:ascii="Times New Roman;sans-serif" w:hAnsi="Times New Roman;sans-serif"/>
          <w:b w:val="false"/>
          <w:color w:val="000000"/>
          <w:sz w:val="20"/>
        </w:rPr>
        <w:t>Depreciation and amortization expense increased as a result of the acquisition of new stores. We acquired 74 stores during the year ended December 31, 2021, and acquired 23 stores during the year ended December 31, 2020.</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Other Income and Expenses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other revenues and expenses for the years indicated:</w:t>
      </w:r>
    </w:p>
    <w:tbl>
      <w:tblPr>
        <w:tblW w:w="10205" w:type="dxa"/>
        <w:jc w:val="left"/>
        <w:tblInd w:w="0" w:type="dxa"/>
        <w:tblCellMar>
          <w:top w:w="28" w:type="dxa"/>
          <w:left w:w="28" w:type="dxa"/>
          <w:bottom w:w="28" w:type="dxa"/>
          <w:right w:w="28" w:type="dxa"/>
        </w:tblCellMar>
      </w:tblPr>
      <w:tblGrid>
        <w:gridCol w:w="1721"/>
        <w:gridCol w:w="1339"/>
        <w:gridCol w:w="1344"/>
        <w:gridCol w:w="217"/>
        <w:gridCol w:w="851"/>
        <w:gridCol w:w="112"/>
        <w:gridCol w:w="112"/>
        <w:gridCol w:w="112"/>
        <w:gridCol w:w="112"/>
        <w:gridCol w:w="217"/>
        <w:gridCol w:w="887"/>
        <w:gridCol w:w="112"/>
        <w:gridCol w:w="109"/>
        <w:gridCol w:w="109"/>
        <w:gridCol w:w="109"/>
        <w:gridCol w:w="211"/>
        <w:gridCol w:w="826"/>
        <w:gridCol w:w="109"/>
        <w:gridCol w:w="109"/>
        <w:gridCol w:w="109"/>
        <w:gridCol w:w="109"/>
        <w:gridCol w:w="323"/>
        <w:gridCol w:w="325"/>
        <w:gridCol w:w="621"/>
      </w:tblGrid>
      <w:tr>
        <w:trPr/>
        <w:tc>
          <w:tcPr>
            <w:tcW w:w="1721"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amortization of discount on equity component of exchangeable senior notes</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4"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9" w:type="dxa"/>
            <w:gridSpan w:val="3"/>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real estate ventures - gain on sale of real estate assets and purchase of joint venture partner's interest</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(130,483)</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95"/>
        <w:rPr/>
      </w:pPr>
      <w:r>
        <w:rPr/>
      </w:r>
    </w:p>
    <w:p>
      <w:pPr>
        <w:pStyle w:val="TextBody"/>
        <w:spacing w:lineRule="auto" w:line="288" w:before="0" w:after="0"/>
        <w:ind w:left="0" w:right="0" w:firstLine="450"/>
        <w:rPr/>
      </w:pPr>
      <w:r>
        <w:rPr>
          <w:rFonts w:ascii="Times New Roman;sans-serif" w:hAnsi="Times New Roman;sans-serif"/>
          <w:b/>
          <w:color w:val="000000"/>
          <w:sz w:val="20"/>
        </w:rPr>
        <w:t xml:space="preserve">Gain on Real Estate Transactions — </w:t>
      </w:r>
      <w:r>
        <w:rPr>
          <w:rFonts w:ascii="Times New Roman;sans-serif" w:hAnsi="Times New Roman;sans-serif"/>
          <w:b w:val="false"/>
          <w:color w:val="000000"/>
          <w:sz w:val="20"/>
        </w:rPr>
        <w:t xml:space="preserve">During the first quarter of 2021, we sold 16 stores to a newly established unconsolidated joint venture for a total sales price of $168,885 resulting in a gain of $63,477. Additionally, we sold 16 stores during the fourth quarter of 2021 to a third party for a total sales price of $204,500 resulting in a gain of $73,854.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firstLine="450"/>
        <w:rPr/>
      </w:pPr>
      <w:r>
        <w:rPr>
          <w:rFonts w:ascii="Times New Roman;sans-serif" w:hAnsi="Times New Roman;sans-serif"/>
          <w:b/>
          <w:color w:val="000000"/>
          <w:sz w:val="20"/>
        </w:rPr>
        <w:t>Interest Expense—</w:t>
      </w:r>
      <w:r>
        <w:rPr>
          <w:rFonts w:ascii="Times New Roman;sans-serif" w:hAnsi="Times New Roman;sans-serif"/>
          <w:b w:val="false"/>
          <w:color w:val="000000"/>
          <w:sz w:val="20"/>
        </w:rPr>
        <w:t>The decrease in interest expense during the year ended December 31, 2021 was primarily the result of a lower average interest rate when compared to the same period in the prior year. Information on the total face value of debt and the average interest rate for each quarter during the years ended December 31, 2021 and December 31, 2020 is set forth in the following table:</w:t>
      </w:r>
    </w:p>
    <w:tbl>
      <w:tblPr>
        <w:tblW w:w="10383" w:type="dxa"/>
        <w:jc w:val="left"/>
        <w:tblInd w:w="0" w:type="dxa"/>
        <w:tblCellMar>
          <w:top w:w="28" w:type="dxa"/>
          <w:left w:w="28" w:type="dxa"/>
          <w:bottom w:w="28" w:type="dxa"/>
          <w:right w:w="28" w:type="dxa"/>
        </w:tblCellMar>
      </w:tblPr>
      <w:tblGrid>
        <w:gridCol w:w="404"/>
        <w:gridCol w:w="158"/>
        <w:gridCol w:w="159"/>
        <w:gridCol w:w="381"/>
        <w:gridCol w:w="381"/>
        <w:gridCol w:w="154"/>
        <w:gridCol w:w="109"/>
        <w:gridCol w:w="109"/>
        <w:gridCol w:w="109"/>
        <w:gridCol w:w="381"/>
        <w:gridCol w:w="381"/>
        <w:gridCol w:w="154"/>
        <w:gridCol w:w="109"/>
        <w:gridCol w:w="109"/>
        <w:gridCol w:w="109"/>
        <w:gridCol w:w="388"/>
        <w:gridCol w:w="388"/>
        <w:gridCol w:w="140"/>
        <w:gridCol w:w="109"/>
        <w:gridCol w:w="109"/>
        <w:gridCol w:w="109"/>
        <w:gridCol w:w="388"/>
        <w:gridCol w:w="388"/>
        <w:gridCol w:w="140"/>
        <w:gridCol w:w="109"/>
        <w:gridCol w:w="109"/>
        <w:gridCol w:w="109"/>
        <w:gridCol w:w="338"/>
        <w:gridCol w:w="338"/>
        <w:gridCol w:w="240"/>
        <w:gridCol w:w="109"/>
        <w:gridCol w:w="109"/>
        <w:gridCol w:w="109"/>
        <w:gridCol w:w="338"/>
        <w:gridCol w:w="338"/>
        <w:gridCol w:w="240"/>
        <w:gridCol w:w="109"/>
        <w:gridCol w:w="109"/>
        <w:gridCol w:w="109"/>
        <w:gridCol w:w="342"/>
        <w:gridCol w:w="342"/>
        <w:gridCol w:w="232"/>
        <w:gridCol w:w="109"/>
        <w:gridCol w:w="109"/>
        <w:gridCol w:w="109"/>
        <w:gridCol w:w="342"/>
        <w:gridCol w:w="342"/>
        <w:gridCol w:w="277"/>
      </w:tblGrid>
      <w:tr>
        <w:trPr/>
        <w:tc>
          <w:tcPr>
            <w:tcW w:w="40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September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face value of debt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$5,984,113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$5,767,771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$5,614,222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$5,302,752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$5,396,746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$5,103,812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$5,321,362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$5,151,993</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r>
    </w:tbl>
    <w:p>
      <w:pPr>
        <w:pStyle w:val="TextBody"/>
        <w:spacing w:lineRule="auto" w:line="288" w:before="240" w:after="283"/>
        <w:ind w:left="0" w:right="0" w:firstLine="450"/>
        <w:rPr/>
      </w:pPr>
      <w:r>
        <w:rPr>
          <w:rFonts w:ascii="Times New Roman;sans-serif" w:hAnsi="Times New Roman;sans-serif"/>
          <w:b/>
          <w:color w:val="000000"/>
          <w:sz w:val="20"/>
        </w:rPr>
        <w:t>Non-cash Interest Expense Related to Amortization of Discount on Equity Component of Exchangeable Senior Notes—</w:t>
      </w:r>
      <w:r>
        <w:rPr>
          <w:rFonts w:ascii="Times New Roman;sans-serif" w:hAnsi="Times New Roman;sans-serif"/>
          <w:b w:val="false"/>
          <w:color w:val="000000"/>
          <w:sz w:val="20"/>
        </w:rPr>
        <w:t>Represents the amortization of the discounts related to the equity components of the exchangeable senior notes issued by our Operating Partnership. The exchangeable senior notes had an effective interest rate of 4.0% relative to the carrying amount of the liability. The notes were paid in full in November 2020.</w:t>
      </w:r>
    </w:p>
    <w:p>
      <w:pPr>
        <w:pStyle w:val="TextBody"/>
        <w:spacing w:lineRule="auto" w:line="288" w:before="240" w:after="283"/>
        <w:ind w:left="0" w:right="0" w:firstLine="450"/>
        <w:rPr/>
      </w:pPr>
      <w:r>
        <w:rPr>
          <w:rFonts w:ascii="Times New Roman;sans-serif" w:hAnsi="Times New Roman;sans-serif"/>
          <w:b/>
          <w:color w:val="000000"/>
          <w:sz w:val="20"/>
        </w:rPr>
        <w:t>Interest Income—</w:t>
      </w:r>
      <w:r>
        <w:rPr>
          <w:rFonts w:ascii="Times New Roman;sans-serif" w:hAnsi="Times New Roman;sans-serif"/>
          <w:b w:val="false"/>
          <w:color w:val="000000"/>
          <w:sz w:val="20"/>
        </w:rPr>
        <w:t xml:space="preserve">Interest income represents amounts earned on cash and cash equivalents deposited with financial institutions, interest earned on bridge loans and debt securities and income earned on notes receivable from common and preferred Operating Partnership unit holders. In late 2018 we began to provide bridge financing on completed properties owned by third parties that we manage. The total principal balance of bridge loans receivable as of December 31, 2021 was $279,042, compared to $187,368 as of December 31, 2020. We also purchased a senior mezzanine note receivable with a principal amount of $103,000 in July 2020. The increase in interest income during the year ended December 31, 2021 was primarily the result of interest earned on these loans as well as interest earned from our investment in preferred stock of Jernigan Capital, Inc. ("JCAP"), in connection with the acquisition of JCAP by affiliates of NexPoint Advisors, L.P., which was purchased in November 2020 for $300,000. </w:t>
      </w:r>
    </w:p>
    <w:p>
      <w:pPr>
        <w:pStyle w:val="TextBody"/>
        <w:spacing w:lineRule="auto" w:line="288" w:before="240" w:after="283"/>
        <w:ind w:left="0" w:right="0" w:firstLine="450"/>
        <w:rPr/>
      </w:pPr>
      <w:r>
        <w:rPr>
          <w:rFonts w:ascii="Times New Roman;sans-serif" w:hAnsi="Times New Roman;sans-serif"/>
          <w:b/>
          <w:color w:val="000000"/>
          <w:sz w:val="20"/>
        </w:rPr>
        <w:t>Equity in Earnings and Dividend Income from Unconsolidated Real Estate Entities—</w:t>
      </w:r>
      <w:r>
        <w:rPr>
          <w:rFonts w:ascii="Times New Roman;sans-serif" w:hAnsi="Times New Roman;sans-serif"/>
          <w:b w:val="false"/>
          <w:color w:val="000000"/>
          <w:sz w:val="20"/>
        </w:rPr>
        <w:t>Equity in earnings of unconsolidated real estate ventures represents the income earned through our ownership interests in unconsolidated real estate ventures. In joint ventures, we and our joint venture partners generally receive a preferred return on our invested capital. To the extent that cash or profits in excess of these preferred returns are generated, we receive a higher percentage of the excess cash or profits, as applicable. Dividend income represents dividends from our investment in convertible preferred stock of SmartStop, which was purchased in October 2019 for $150,000 with another $50,000 invested in October 2020. The increase in earnings for the year ended December 31, 2021 is related in part to the dividend income from the secondary investment of SmartStop preferred stock. Additionally the increases related to the higher income at our joint ventures are due to store performance and the acquisition of 45 stores with new and existing joint venture partners. These increases were offset by the sale of our equity interest in 22 stores.</w:t>
      </w:r>
    </w:p>
    <w:p>
      <w:pPr>
        <w:pStyle w:val="TextBody"/>
        <w:spacing w:lineRule="auto" w:line="288" w:before="240" w:after="283"/>
        <w:ind w:left="0" w:right="0" w:firstLine="450"/>
        <w:rPr/>
      </w:pPr>
      <w:r>
        <w:rPr>
          <w:rFonts w:ascii="Times New Roman;sans-serif" w:hAnsi="Times New Roman;sans-serif"/>
          <w:b/>
          <w:color w:val="000000"/>
          <w:sz w:val="20"/>
        </w:rPr>
        <w:t>Equity in Earnings of Unconsolidated Real Estate Ventures—Gain on Sale of Real Estate Assets and Purchase of Joint Venture Partner's Interest—</w:t>
      </w:r>
      <w:r>
        <w:rPr>
          <w:rFonts w:ascii="Times New Roman;sans-serif" w:hAnsi="Times New Roman;sans-serif"/>
          <w:b w:val="false"/>
          <w:color w:val="000000"/>
          <w:sz w:val="20"/>
        </w:rPr>
        <w:t xml:space="preserve">In June 2021, we sold our interest in two unconsolidated single store joint ventures to our joint ventures partner. We received proceeds of $1,888 in cash and recorded a gain of $525. Also, as of June 2021, the WICNN JV LLC and GFN JV LLC joint ventures sold all 17 of the stores owned by the joint ventures to a third party. Subsequent to the sales, these joint ventures were dissolved. As a result of these transactions, we recorded a gain of $5,739. </w:t>
      </w:r>
    </w:p>
    <w:p>
      <w:pPr>
        <w:pStyle w:val="TextBody"/>
        <w:spacing w:lineRule="auto" w:line="288" w:before="240" w:after="283"/>
        <w:ind w:left="0" w:right="0" w:firstLine="450"/>
        <w:rPr/>
      </w:pPr>
      <w:r>
        <w:rPr>
          <w:rFonts w:ascii="Times New Roman;sans-serif" w:hAnsi="Times New Roman;sans-serif"/>
          <w:b/>
          <w:color w:val="000000"/>
          <w:sz w:val="20"/>
        </w:rPr>
        <w:t>Income Tax Expense—</w:t>
      </w:r>
      <w:r>
        <w:rPr>
          <w:rFonts w:ascii="Times New Roman;sans-serif" w:hAnsi="Times New Roman;sans-serif"/>
          <w:b w:val="false"/>
          <w:color w:val="000000"/>
          <w:sz w:val="20"/>
        </w:rPr>
        <w:t>For the year ended December 31, 2021</w:t>
      </w:r>
      <w:r>
        <w:rPr>
          <w:rFonts w:ascii="Arial;sans-serif" w:hAnsi="Arial;sans-serif"/>
          <w:b w:val="false"/>
          <w:color w:val="000000"/>
          <w:sz w:val="16"/>
        </w:rPr>
        <w:t xml:space="preserve">, </w:t>
      </w:r>
      <w:r>
        <w:rPr>
          <w:rFonts w:ascii="Times New Roman;sans-serif" w:hAnsi="Times New Roman;sans-serif"/>
          <w:b w:val="false"/>
          <w:color w:val="000000"/>
          <w:sz w:val="20"/>
        </w:rPr>
        <w:t>the increase in income tax expense was the result of an increase in income earned by our TRS when compared to the same period in the prior year.</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 Ended December 31, 2020 to the Year Ended December 31, 2019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years ended December 31, 2020 compared to December 31, 2019 was included in our Annual Report on Form 10-K for the year ended December 31, 2020 on page 19, under Part II, Item 7, “Management’s Discussion and Analysis of Financial Condition and Results of Operations,” which was filed with the SEC on February 26,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 FFO should not be considered a replacement of net income computed in accordance with GAAP.</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FFO for the periods indicated:</w:t>
      </w:r>
    </w:p>
    <w:tbl>
      <w:tblPr>
        <w:tblW w:w="10205" w:type="dxa"/>
        <w:jc w:val="left"/>
        <w:tblInd w:w="0" w:type="dxa"/>
        <w:tblCellMar>
          <w:top w:w="28" w:type="dxa"/>
          <w:left w:w="28" w:type="dxa"/>
          <w:bottom w:w="28" w:type="dxa"/>
          <w:right w:w="28" w:type="dxa"/>
        </w:tblCellMar>
      </w:tblPr>
      <w:tblGrid>
        <w:gridCol w:w="2127"/>
        <w:gridCol w:w="1802"/>
        <w:gridCol w:w="1811"/>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127"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 real estate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 gain on sale of real estate assets and purchase of partner's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on Series A Preferred Operating Partnership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allocated to Operating Partnership noncontrolling interests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attributable to common stockholders and unit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667,888 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80"/>
        <w:rPr>
          <w:rFonts w:ascii="Times New Roman;sans-serif" w:hAnsi="Times New Roman;sans-serif"/>
          <w:b/>
          <w:color w:val="000000"/>
          <w:sz w:val="20"/>
        </w:rPr>
      </w:pPr>
      <w:r>
        <w:rPr>
          <w:rFonts w:ascii="Times New Roman;sans-serif" w:hAnsi="Times New Roman;sans-serif"/>
          <w:b/>
          <w:color w:val="000000"/>
          <w:sz w:val="20"/>
        </w:rPr>
        <w:t>SAME-STORE RESULTS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 Ended December 31, 2021 to the Year Ended December 31, 2020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same-store pool for the periods presented consists of 842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 </w:t>
      </w:r>
    </w:p>
    <w:tbl>
      <w:tblPr>
        <w:tblW w:w="8625" w:type="dxa"/>
        <w:jc w:val="left"/>
        <w:tblInd w:w="0" w:type="dxa"/>
        <w:tblCellMar>
          <w:top w:w="28" w:type="dxa"/>
          <w:left w:w="28" w:type="dxa"/>
          <w:bottom w:w="28" w:type="dxa"/>
          <w:right w:w="28" w:type="dxa"/>
        </w:tblCellMar>
      </w:tblPr>
      <w:tblGrid>
        <w:gridCol w:w="1004"/>
        <w:gridCol w:w="883"/>
        <w:gridCol w:w="888"/>
        <w:gridCol w:w="109"/>
        <w:gridCol w:w="109"/>
        <w:gridCol w:w="109"/>
        <w:gridCol w:w="109"/>
        <w:gridCol w:w="195"/>
        <w:gridCol w:w="195"/>
        <w:gridCol w:w="378"/>
        <w:gridCol w:w="1750"/>
        <w:gridCol w:w="195"/>
        <w:gridCol w:w="109"/>
        <w:gridCol w:w="109"/>
        <w:gridCol w:w="109"/>
        <w:gridCol w:w="211"/>
        <w:gridCol w:w="976"/>
        <w:gridCol w:w="109"/>
        <w:gridCol w:w="109"/>
        <w:gridCol w:w="109"/>
        <w:gridCol w:w="109"/>
        <w:gridCol w:w="220"/>
        <w:gridCol w:w="220"/>
        <w:gridCol w:w="311"/>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1078" w:type="dxa"/>
            <w:gridSpan w:val="6"/>
            <w:tcBorders/>
            <w:shd w:fill="auto" w:val="clea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rental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1,199,750 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net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898,815 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tbl>
      <w:tblPr>
        <w:tblW w:w="7503" w:type="dxa"/>
        <w:jc w:val="left"/>
        <w:tblInd w:w="0" w:type="dxa"/>
        <w:tblCellMar>
          <w:top w:w="28" w:type="dxa"/>
          <w:left w:w="28" w:type="dxa"/>
          <w:bottom w:w="28" w:type="dxa"/>
          <w:right w:w="28" w:type="dxa"/>
        </w:tblCellMar>
      </w:tblPr>
      <w:tblGrid>
        <w:gridCol w:w="1541"/>
        <w:gridCol w:w="1355"/>
        <w:gridCol w:w="1363"/>
        <w:gridCol w:w="109"/>
        <w:gridCol w:w="109"/>
        <w:gridCol w:w="109"/>
        <w:gridCol w:w="109"/>
        <w:gridCol w:w="109"/>
        <w:gridCol w:w="109"/>
        <w:gridCol w:w="255"/>
        <w:gridCol w:w="256"/>
        <w:gridCol w:w="271"/>
        <w:gridCol w:w="109"/>
        <w:gridCol w:w="109"/>
        <w:gridCol w:w="109"/>
        <w:gridCol w:w="255"/>
        <w:gridCol w:w="256"/>
        <w:gridCol w:w="271"/>
        <w:gridCol w:w="109"/>
        <w:gridCol w:w="109"/>
        <w:gridCol w:w="109"/>
        <w:gridCol w:w="109"/>
        <w:gridCol w:w="109"/>
        <w:gridCol w:w="154"/>
      </w:tblGrid>
      <w:tr>
        <w:trPr/>
        <w:tc>
          <w:tcPr>
            <w:tcW w:w="154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square foot occupancy as of quarter end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included in same-store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Same-store revenues for the year ended December 31, 2021 increased compared to the prior year, due to higher average occupancy, higher average rates to new and existing customers and higher late fees partially offset by higher discounts. Expenses were lower for the year ended December 31, 2021 compared to the prior year, primarily due to decreases in payroll and marketing expense, partially offset by increases in property taxes, credit card processing fees, repairs and maintenance expense and insurance expense.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same-store net operating income to net income as presented on our condensed consolidated statements of operations for the periods indicated:</w:t>
      </w:r>
    </w:p>
    <w:tbl>
      <w:tblPr>
        <w:tblW w:w="10205" w:type="dxa"/>
        <w:jc w:val="left"/>
        <w:tblInd w:w="0" w:type="dxa"/>
        <w:tblCellMar>
          <w:top w:w="28" w:type="dxa"/>
          <w:left w:w="28" w:type="dxa"/>
          <w:bottom w:w="28" w:type="dxa"/>
          <w:right w:w="28" w:type="dxa"/>
        </w:tblCellMar>
      </w:tblPr>
      <w:tblGrid>
        <w:gridCol w:w="2517"/>
        <w:gridCol w:w="1945"/>
        <w:gridCol w:w="1950"/>
        <w:gridCol w:w="109"/>
        <w:gridCol w:w="109"/>
        <w:gridCol w:w="164"/>
        <w:gridCol w:w="164"/>
        <w:gridCol w:w="318"/>
        <w:gridCol w:w="1244"/>
        <w:gridCol w:w="164"/>
        <w:gridCol w:w="109"/>
        <w:gridCol w:w="109"/>
        <w:gridCol w:w="109"/>
        <w:gridCol w:w="211"/>
        <w:gridCol w:w="826"/>
        <w:gridCol w:w="157"/>
      </w:tblGrid>
      <w:tr>
        <w:trPr/>
        <w:tc>
          <w:tcPr>
            <w:tcW w:w="2517"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1521" w:type="dxa"/>
            <w:gridSpan w:val="6"/>
            <w:tcBorders/>
            <w:shd w:fill="auto" w:val="clear"/>
          </w:tcPr>
          <w:p>
            <w:pPr>
              <w:pStyle w:val="TableContents"/>
              <w:spacing w:before="0" w:after="283"/>
              <w:rPr>
                <w:sz w:val="4"/>
                <w:szCs w:val="4"/>
              </w:rPr>
            </w:pPr>
            <w:r>
              <w:rPr>
                <w:sz w:val="4"/>
                <w:szCs w:val="4"/>
              </w:rPr>
            </w:r>
          </w:p>
        </w:tc>
      </w:tr>
      <w:tr>
        <w:trPr/>
        <w:tc>
          <w:tcPr>
            <w:tcW w:w="6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6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real estate ventures - gain on sale of real estate assets and purchase of joint venture partner's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6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other income and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(115,967)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tenant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(140,620)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rental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(141,240)</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same-store net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898,815 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45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Comparison of the Year Ended December 31, 2020 to the Year Ended December 31, 2019</w:t>
      </w:r>
    </w:p>
    <w:p>
      <w:pPr>
        <w:pStyle w:val="TextBody"/>
        <w:spacing w:before="0" w:after="0"/>
        <w:jc w:val="center"/>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same-store results for the years ended December 31, 2020 compared to December 31, 2019 was included in our Annual Report on Form 10-K for the year ended December 31, 2020 on page 25, under Part II, Item 7, “Management’s Discussion and Analysis of Financial Condition and Results of Operations,” which was filed with the SEC on February 26,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increased as expected due to our continued growth in revenues and through the increase in the number of properties we own and operate. Cash flows used in investing activities relate primarily to our acquisitions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tbl>
      <w:tblPr>
        <w:tblW w:w="10205" w:type="dxa"/>
        <w:jc w:val="center"/>
        <w:tblInd w:w="0" w:type="dxa"/>
        <w:tblCellMar>
          <w:top w:w="28" w:type="dxa"/>
          <w:left w:w="28" w:type="dxa"/>
          <w:bottom w:w="28" w:type="dxa"/>
          <w:right w:w="28" w:type="dxa"/>
        </w:tblCellMar>
      </w:tblPr>
      <w:tblGrid>
        <w:gridCol w:w="2083"/>
        <w:gridCol w:w="1774"/>
        <w:gridCol w:w="1777"/>
        <w:gridCol w:w="211"/>
        <w:gridCol w:w="1042"/>
        <w:gridCol w:w="109"/>
        <w:gridCol w:w="109"/>
        <w:gridCol w:w="109"/>
        <w:gridCol w:w="109"/>
        <w:gridCol w:w="211"/>
        <w:gridCol w:w="976"/>
        <w:gridCol w:w="109"/>
        <w:gridCol w:w="109"/>
        <w:gridCol w:w="109"/>
        <w:gridCol w:w="109"/>
        <w:gridCol w:w="211"/>
        <w:gridCol w:w="892"/>
        <w:gridCol w:w="156"/>
      </w:tblGrid>
      <w:tr>
        <w:trPr/>
        <w:tc>
          <w:tcPr>
            <w:tcW w:w="2083"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(621,630)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net cash flow included:</w:t>
            </w:r>
          </w:p>
        </w:tc>
        <w:tc>
          <w:tcPr>
            <w:tcW w:w="1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development and redevelopment of stores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(1,289,524)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(403,211)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real estate entities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purchase of notes receivable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debt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notes receivable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common stock, net of offering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 assets and investments in real estate ventures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our debt financing and repayment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public bonds,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(458,114)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funding for new notes receivable for bridge loans, building redevelopments and expansions, distributions to unit holders and dividends to stockholders necessary to maintain our REIT qualification.</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expect to generate positive cash flow from operations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Financing Strategy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pStyle w:val="TextBody"/>
        <w:spacing w:lineRule="auto" w:line="288" w:before="0" w:after="0"/>
        <w:rPr>
          <w:color w:val="000000"/>
        </w:rPr>
      </w:pPr>
      <w:r>
        <w:rPr>
          <w:color w:val="000000"/>
        </w:rPr>
        <w:t> </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the interest rate of the proposed financing;</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the extent to which the financing impacts flexibility in managing our stores;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prepayment penalties and restrictions on refinancing;</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the purchase price of stores acquired with debt financing;</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long-term objectives with respect to the financing;</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target investment returns;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the ability of particular stores, and our company as a whole, to generate cash flow sufficient to cover expected debt service payments;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overall level of consolidated indebtedness;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timing of debt maturities;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provisions that require recourse and cross-collateralization; and</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corporate credit ratios including fixed charge coverage ratio and max secured/unsecured indebtedness.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indebtedness may be recourse, non-recourse, cross-collateralized, cross-defaulted, secured or unsecured. In addition, we may invest in stores subject to existing loans collateralized by mortgages or similar liens,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$71,126 available in cash and cash equivalents. Our cash and cash equivalents are held in accounts managed by third party financial institutions and consist of invested cash and cash in our operating accounts. During 2021 and 2020, we experienced no loss or lack of access to our cash or cash equivalents; however, there can be no assurance that access to our cash and cash equivalents will not be impacted by adverse conditions in the financial markets.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$5,984,113 face value of debt, resulting in a debt to total enterprise value ratio of 15.6%. As of December 31, 2020, we had $5,767,771 face value of debt, resulting in a debt to total enterprise value ratio of 27.5%. As of December 31, 2021, the ratio of total fixed-rate debt and other instruments to total debt was 75.3% (including $1,983,145 on which we have interest rate swaps that have been included as fixed-rate debt). As of December 31, 2020, the ratio of total fixed-rate debt and other instruments to total debt was 63.1% (including $2,091,269 on which we have interest rate swaps that have been included as fixed-rate debt). The weighted average interest rate of total debt at December 31, 2021 and 2020 was 2.6% and 2.7%, respectively.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January 2021, we received a Baa2 rating from Moody's Investors Service and in July 2019, we obtained a BBB/Stable rating from S&amp;P. We intend to manage our balance sheet to preserve such ratings. Certain of our real estate assets are pledged as collateral for our debt. We have a total of 752 unencumbered stores as defined by our public bonds. Our unencumbered asset value is calculated as $13,498,591 and our total asset value is calculated as $18,072,262 according to the calculations as defined by our public bonds. We are subject to certain restrictive covenants relating to our outstanding debt. We were in compliance with all financial covenants at December 31, 2021.</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needs consist primarily of operating expenses, monthly debt service payments, recurring capital expenditures, distributions to unit holders and dividends to stockholders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Operating Partnership units as currency to fund acquisitions from self-storage owners who desire tax-deferral in their exiting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weighted average interest rate for all fixed rate debt was 3.1%, and the weighted average interest rate on all variable rate debt was 1.3%.</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more information on our contractual obligations related to real estate acquisitions, refer to our commitments and contingencies footnote in the notes to the consolidated financial statements in Item 8 of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self-storage business has been subject to seasonal fluctuations. A greater portion of revenues and profits is typically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Market risk refers to the risk of loss from adverse changes in market prices and interest rates. Our future income, cash flows and fair values of financial instruments are dependent upon prevailing market interest rates.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Interest rate risk is highly sensitive to many factors, including governmental monetary and tax policies, domestic and international economic and political considerations and other factors beyond our control.</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approximately $5,984,113 in total face value debt, of which approximately $1,477,679 was subject to variable interest rates (excluding debt with interest rate swaps). If LIBOR were to increase or decrease by 100 basis points, the increase or decrease in interest expense on the variable rate debt would increase or decrease future earnings and cash flows by approximately $14,777 annually.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help manage interest rate risk using designated hedge relationships. Interest rate swaps involve the exchange of fixed-rate and variable-rate interest payments between two parties based on a contractual underlying notional amount, but do not involve the exchange of the underlying notional amounts. See our Derivatives footnote in our Notes to consolidated financial statements in Item 8 for additional information about our use of derivative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SCHEDULES</w:t>
      </w:r>
    </w:p>
    <w:tbl>
      <w:tblPr>
        <w:tblW w:w="9461" w:type="dxa"/>
        <w:jc w:val="center"/>
        <w:tblInd w:w="0" w:type="dxa"/>
        <w:tblCellMar>
          <w:top w:w="28" w:type="dxa"/>
          <w:left w:w="28" w:type="dxa"/>
          <w:bottom w:w="28" w:type="dxa"/>
          <w:right w:w="28" w:type="dxa"/>
        </w:tblCellMar>
      </w:tblPr>
      <w:tblGrid>
        <w:gridCol w:w="3288"/>
        <w:gridCol w:w="2896"/>
        <w:gridCol w:w="2905"/>
        <w:gridCol w:w="109"/>
        <w:gridCol w:w="109"/>
        <w:gridCol w:w="154"/>
      </w:tblGrid>
      <w:tr>
        <w:trPr/>
        <w:tc>
          <w:tcPr>
            <w:tcW w:w="3288" w:type="dxa"/>
            <w:tcBorders/>
            <w:shd w:fill="auto" w:val="clear"/>
            <w:vAlign w:val="center"/>
          </w:tcPr>
          <w:p>
            <w:pPr>
              <w:pStyle w:val="TableContents"/>
              <w:spacing w:before="0" w:after="283"/>
              <w:rPr>
                <w:sz w:val="4"/>
                <w:szCs w:val="4"/>
              </w:rPr>
            </w:pPr>
            <w:r>
              <w:rPr>
                <w:sz w:val="4"/>
                <w:szCs w:val="4"/>
              </w:rPr>
            </w:r>
          </w:p>
        </w:tc>
        <w:tc>
          <w:tcPr>
            <w:tcW w:w="2896"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82">
              <w:r>
                <w:rPr>
                  <w:rStyle w:val="InternetLink"/>
                </w:rPr>
                <w:t>Report of Independent Registered Public Accounting Fir</w:t>
              </w:r>
            </w:hyperlink>
            <w:hyperlink w:anchor="i7809e2c0fa9449f5812420732fe1e1a7_82">
              <w:r>
                <w:rPr>
                  <w:rStyle w:val="InternetLink"/>
                </w:rPr>
                <w:t xml:space="preserve">m (PCAOB ID: </w:t>
              </w:r>
            </w:hyperlink>
            <w:r>
              <w:rPr>
                <w:rFonts w:ascii="Times New Roman;sans-serif" w:hAnsi="Times New Roman;sans-serif"/>
                <w:b/>
                <w:color w:val="000000"/>
                <w:sz w:val="20"/>
              </w:rPr>
              <w:t>42</w:t>
            </w:r>
            <w:hyperlink w:anchor="i7809e2c0fa9449f5812420732fe1e1a7_82">
              <w:r>
                <w:rPr>
                  <w:rStyle w:val="InternetLink"/>
                  <w:rFonts w:ascii="Times New Roman;sans-serif" w:hAnsi="Times New Roman;sans-serif"/>
                  <w:b/>
                  <w:color w:val="0000FF"/>
                  <w:sz w:val="20"/>
                  <w:u w:val="single"/>
                </w:rPr>
                <w: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82">
              <w:r>
                <w:rPr>
                  <w:rStyle w:val="InternetLink"/>
                  <w:rFonts w:ascii="Times New Roman;sans-serif" w:hAnsi="Times New Roman;sans-serif"/>
                  <w:b/>
                  <w:color w:val="0000FF"/>
                  <w:sz w:val="20"/>
                  <w:u w:val="single"/>
                </w:rPr>
                <w:t>30</w:t>
              </w:r>
            </w:hyperlink>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85">
              <w:r>
                <w:rPr>
                  <w:rStyle w:val="InternetLink"/>
                </w:rPr>
                <w:t>Consolidated Balance Sheets as of December 31, 202</w:t>
              </w:r>
            </w:hyperlink>
            <w:hyperlink w:anchor="i7809e2c0fa9449f5812420732fe1e1a7_85">
              <w:r>
                <w:rPr>
                  <w:rStyle w:val="InternetLink"/>
                </w:rPr>
                <w:t>1</w:t>
              </w:r>
            </w:hyperlink>
            <w:hyperlink w:anchor="i7809e2c0fa9449f5812420732fe1e1a7_85">
              <w:r>
                <w:rPr>
                  <w:rStyle w:val="InternetLink"/>
                </w:rPr>
                <w:t xml:space="preserve"> and 20</w:t>
              </w:r>
            </w:hyperlink>
            <w:hyperlink w:anchor="i7809e2c0fa9449f5812420732fe1e1a7_85">
              <w:r>
                <w:rPr>
                  <w:rStyle w:val="InternetLink"/>
                </w:rPr>
                <w:t>20</w:t>
              </w:r>
            </w:hyperlink>
            <w:hyperlink w:anchor="i7809e2c0fa9449f5812420732fe1e1a7_85">
              <w:r>
                <w:rPr>
                  <w:rStyle w:val="InternetLink"/>
                </w:rPr>
                <w:t xml:space="preserve"> </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85">
              <w:r>
                <w:rPr>
                  <w:rStyle w:val="InternetLink"/>
                  <w:rFonts w:ascii="Times New Roman;sans-serif" w:hAnsi="Times New Roman;sans-serif"/>
                  <w:b/>
                  <w:color w:val="0000FF"/>
                  <w:sz w:val="20"/>
                  <w:u w:val="single"/>
                </w:rPr>
                <w:t>32</w:t>
              </w:r>
            </w:hyperlink>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88">
              <w:r>
                <w:rPr>
                  <w:rStyle w:val="InternetLink"/>
                </w:rPr>
                <w:t>Consolidated Statements of Operations for the years ended December 31, 202</w:t>
              </w:r>
            </w:hyperlink>
            <w:hyperlink w:anchor="i7809e2c0fa9449f5812420732fe1e1a7_88">
              <w:r>
                <w:rPr>
                  <w:rStyle w:val="InternetLink"/>
                </w:rPr>
                <w:t>1</w:t>
              </w:r>
            </w:hyperlink>
            <w:hyperlink w:anchor="i7809e2c0fa9449f5812420732fe1e1a7_88">
              <w:r>
                <w:rPr>
                  <w:rStyle w:val="InternetLink"/>
                </w:rPr>
                <w:t>, 20</w:t>
              </w:r>
            </w:hyperlink>
            <w:hyperlink w:anchor="i7809e2c0fa9449f5812420732fe1e1a7_88">
              <w:r>
                <w:rPr>
                  <w:rStyle w:val="InternetLink"/>
                </w:rPr>
                <w:t>20</w:t>
              </w:r>
            </w:hyperlink>
            <w:hyperlink w:anchor="i7809e2c0fa9449f5812420732fe1e1a7_88">
              <w:r>
                <w:rPr>
                  <w:rStyle w:val="InternetLink"/>
                </w:rPr>
                <w:t xml:space="preserve"> and 201</w:t>
              </w:r>
            </w:hyperlink>
            <w:hyperlink w:anchor="i7809e2c0fa9449f5812420732fe1e1a7_88">
              <w:r>
                <w:rPr>
                  <w:rStyle w:val="InternetLink"/>
                </w:rPr>
                <w:t>9</w:t>
              </w:r>
            </w:hyperlink>
            <w:hyperlink w:anchor="i7809e2c0fa9449f5812420732fe1e1a7_88">
              <w:r>
                <w:rPr>
                  <w:rStyle w:val="InternetLink"/>
                </w:rPr>
                <w:t xml:space="preserve"> </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88">
              <w:r>
                <w:rPr>
                  <w:rStyle w:val="InternetLink"/>
                  <w:rFonts w:ascii="Times New Roman;sans-serif" w:hAnsi="Times New Roman;sans-serif"/>
                  <w:b/>
                  <w:color w:val="0000FF"/>
                  <w:sz w:val="20"/>
                  <w:u w:val="single"/>
                </w:rPr>
                <w:t>33</w:t>
              </w:r>
            </w:hyperlink>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91">
              <w:r>
                <w:rPr>
                  <w:rStyle w:val="InternetLink"/>
                </w:rPr>
                <w:t>Consolidated Statements of Comprehensive Income for the years ended December 31, 202</w:t>
              </w:r>
            </w:hyperlink>
            <w:hyperlink w:anchor="i7809e2c0fa9449f5812420732fe1e1a7_91">
              <w:r>
                <w:rPr>
                  <w:rStyle w:val="InternetLink"/>
                </w:rPr>
                <w:t>1</w:t>
              </w:r>
            </w:hyperlink>
            <w:hyperlink w:anchor="i7809e2c0fa9449f5812420732fe1e1a7_91">
              <w:r>
                <w:rPr>
                  <w:rStyle w:val="InternetLink"/>
                </w:rPr>
                <w:t>, 20</w:t>
              </w:r>
            </w:hyperlink>
            <w:hyperlink w:anchor="i7809e2c0fa9449f5812420732fe1e1a7_91">
              <w:r>
                <w:rPr>
                  <w:rStyle w:val="InternetLink"/>
                </w:rPr>
                <w:t>20</w:t>
              </w:r>
            </w:hyperlink>
            <w:hyperlink w:anchor="i7809e2c0fa9449f5812420732fe1e1a7_91">
              <w:r>
                <w:rPr>
                  <w:rStyle w:val="InternetLink"/>
                </w:rPr>
                <w:t xml:space="preserve"> and 20</w:t>
              </w:r>
            </w:hyperlink>
            <w:hyperlink w:anchor="i7809e2c0fa9449f5812420732fe1e1a7_91">
              <w:r>
                <w:rPr>
                  <w:rStyle w:val="InternetLink"/>
                </w:rPr>
                <w:t>19</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91">
              <w:r>
                <w:rPr>
                  <w:rStyle w:val="InternetLink"/>
                  <w:rFonts w:ascii="Times New Roman;sans-serif" w:hAnsi="Times New Roman;sans-serif"/>
                  <w:b/>
                  <w:color w:val="0000FF"/>
                  <w:sz w:val="20"/>
                  <w:u w:val="single"/>
                </w:rPr>
                <w:t>34</w:t>
              </w:r>
            </w:hyperlink>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94">
              <w:r>
                <w:rPr>
                  <w:rStyle w:val="InternetLink"/>
                </w:rPr>
                <w:t>Consolidated Statements of Stockholders’ Equity for the years ended December 31, 202</w:t>
              </w:r>
            </w:hyperlink>
            <w:hyperlink w:anchor="i7809e2c0fa9449f5812420732fe1e1a7_94">
              <w:r>
                <w:rPr>
                  <w:rStyle w:val="InternetLink"/>
                </w:rPr>
                <w:t>1</w:t>
              </w:r>
            </w:hyperlink>
            <w:hyperlink w:anchor="i7809e2c0fa9449f5812420732fe1e1a7_94">
              <w:r>
                <w:rPr>
                  <w:rStyle w:val="InternetLink"/>
                </w:rPr>
                <w:t>, 20</w:t>
              </w:r>
            </w:hyperlink>
            <w:hyperlink w:anchor="i7809e2c0fa9449f5812420732fe1e1a7_94">
              <w:r>
                <w:rPr>
                  <w:rStyle w:val="InternetLink"/>
                </w:rPr>
                <w:t>20</w:t>
              </w:r>
            </w:hyperlink>
            <w:hyperlink w:anchor="i7809e2c0fa9449f5812420732fe1e1a7_94">
              <w:r>
                <w:rPr>
                  <w:rStyle w:val="InternetLink"/>
                </w:rPr>
                <w:t xml:space="preserve"> and 20</w:t>
              </w:r>
            </w:hyperlink>
            <w:hyperlink w:anchor="i7809e2c0fa9449f5812420732fe1e1a7_94">
              <w:r>
                <w:rPr>
                  <w:rStyle w:val="InternetLink"/>
                </w:rPr>
                <w:t>19</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94">
              <w:r>
                <w:rPr>
                  <w:rStyle w:val="InternetLink"/>
                  <w:rFonts w:ascii="Times New Roman;sans-serif" w:hAnsi="Times New Roman;sans-serif"/>
                  <w:b/>
                  <w:color w:val="0000FF"/>
                  <w:sz w:val="20"/>
                  <w:u w:val="single"/>
                </w:rPr>
                <w:t>35</w:t>
              </w:r>
            </w:hyperlink>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97">
              <w:r>
                <w:rPr>
                  <w:rStyle w:val="InternetLink"/>
                </w:rPr>
                <w:t>Consolidated Statements of Cash Flows for the years ended December 31, 202</w:t>
              </w:r>
            </w:hyperlink>
            <w:hyperlink w:anchor="i7809e2c0fa9449f5812420732fe1e1a7_97">
              <w:r>
                <w:rPr>
                  <w:rStyle w:val="InternetLink"/>
                </w:rPr>
                <w:t>1</w:t>
              </w:r>
            </w:hyperlink>
            <w:hyperlink w:anchor="i7809e2c0fa9449f5812420732fe1e1a7_97">
              <w:r>
                <w:rPr>
                  <w:rStyle w:val="InternetLink"/>
                </w:rPr>
                <w:t>, 20</w:t>
              </w:r>
            </w:hyperlink>
            <w:hyperlink w:anchor="i7809e2c0fa9449f5812420732fe1e1a7_97">
              <w:r>
                <w:rPr>
                  <w:rStyle w:val="InternetLink"/>
                </w:rPr>
                <w:t>20</w:t>
              </w:r>
            </w:hyperlink>
            <w:hyperlink w:anchor="i7809e2c0fa9449f5812420732fe1e1a7_97">
              <w:r>
                <w:rPr>
                  <w:rStyle w:val="InternetLink"/>
                </w:rPr>
                <w:t xml:space="preserve"> and 20</w:t>
              </w:r>
            </w:hyperlink>
            <w:hyperlink w:anchor="i7809e2c0fa9449f5812420732fe1e1a7_97">
              <w:r>
                <w:rPr>
                  <w:rStyle w:val="InternetLink"/>
                </w:rPr>
                <w:t>19</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97">
              <w:r>
                <w:rPr>
                  <w:rStyle w:val="InternetLink"/>
                  <w:rFonts w:ascii="Times New Roman;sans-serif" w:hAnsi="Times New Roman;sans-serif"/>
                  <w:b/>
                  <w:color w:val="0000FF"/>
                  <w:sz w:val="20"/>
                  <w:u w:val="single"/>
                </w:rPr>
                <w:t>38</w:t>
              </w:r>
            </w:hyperlink>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100">
              <w:r>
                <w:rPr>
                  <w:rStyle w:val="InternetLink"/>
                  <w:rFonts w:ascii="Times New Roman;sans-serif" w:hAnsi="Times New Roman;sans-serif"/>
                  <w:b/>
                  <w:color w:val="0000FF"/>
                  <w:sz w:val="20"/>
                  <w:u w:val="single"/>
                </w:rPr>
                <w:t>Notes to Consolidated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00">
              <w:r>
                <w:rPr>
                  <w:rStyle w:val="InternetLink"/>
                  <w:rFonts w:ascii="Times New Roman;sans-serif" w:hAnsi="Times New Roman;sans-serif"/>
                  <w:b/>
                  <w:color w:val="0000FF"/>
                  <w:sz w:val="20"/>
                  <w:u w:val="single"/>
                </w:rPr>
                <w:t>39</w:t>
              </w:r>
            </w:hyperlink>
          </w:p>
        </w:tc>
      </w:tr>
      <w:tr>
        <w:trPr/>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09e2c0fa9449f5812420732fe1e1a7_169">
              <w:r>
                <w:rPr>
                  <w:rStyle w:val="InternetLink"/>
                  <w:rFonts w:ascii="Times New Roman;sans-serif" w:hAnsi="Times New Roman;sans-serif"/>
                  <w:b/>
                  <w:color w:val="0000FF"/>
                  <w:sz w:val="20"/>
                  <w:u w:val="single"/>
                </w:rPr>
                <w:t>Schedule III - Real Estate and Accumulated Depreciation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09e2c0fa9449f5812420732fe1e1a7_169">
              <w:r>
                <w:rPr>
                  <w:rStyle w:val="InternetLink"/>
                  <w:rFonts w:ascii="Times New Roman;sans-serif" w:hAnsi="Times New Roman;sans-serif"/>
                  <w:b/>
                  <w:color w:val="0000FF"/>
                  <w:sz w:val="20"/>
                  <w:u w:val="single"/>
                </w:rPr>
                <w:t>74</w:t>
              </w:r>
            </w:hyperlink>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240" w:after="283"/>
        <w:rPr/>
      </w:pPr>
      <w:r>
        <w:rPr/>
      </w:r>
    </w:p>
    <w:p>
      <w:pPr>
        <w:pStyle w:val="TextBody"/>
        <w:spacing w:lineRule="auto" w:line="288" w:before="0" w:after="240"/>
        <w:rPr>
          <w:rFonts w:ascii="Times New Roman;sans-serif" w:hAnsi="Times New Roman;sans-serif"/>
          <w:b w:val="false"/>
          <w:color w:val="333333"/>
          <w:sz w:val="20"/>
        </w:rPr>
      </w:pPr>
      <w:r>
        <w:rPr>
          <w:rFonts w:ascii="Times New Roman;sans-serif" w:hAnsi="Times New Roman;sans-serif"/>
          <w:b w:val="false"/>
          <w:color w:val="333333"/>
          <w:sz w:val="20"/>
        </w:rPr>
        <w:t>To the Stockholders and the Board of Directors of Extra Space Storage Inc.</w:t>
      </w:r>
    </w:p>
    <w:p>
      <w:pPr>
        <w:pStyle w:val="TextBody"/>
        <w:spacing w:lineRule="auto" w:line="288" w:before="0" w:after="240"/>
        <w:rPr>
          <w:rFonts w:ascii="Times New Roman;sans-serif" w:hAnsi="Times New Roman;sans-serif"/>
          <w:b/>
          <w:color w:val="333333"/>
          <w:sz w:val="20"/>
        </w:rPr>
      </w:pPr>
      <w:r>
        <w:rPr>
          <w:rFonts w:ascii="Times New Roman;sans-serif" w:hAnsi="Times New Roman;sans-serif"/>
          <w:b/>
          <w:color w:val="333333"/>
          <w:sz w:val="20"/>
        </w:rPr>
        <w:t>Opinion on the Financial Statements</w:t>
      </w:r>
    </w:p>
    <w:p>
      <w:pPr>
        <w:pStyle w:val="TextBody"/>
        <w:spacing w:lineRule="auto" w:line="288" w:before="0" w:after="240"/>
        <w:rPr>
          <w:rFonts w:ascii="Times New Roman;sans-serif" w:hAnsi="Times New Roman;sans-serif"/>
          <w:b w:val="false"/>
          <w:color w:val="333333"/>
          <w:sz w:val="20"/>
        </w:rPr>
      </w:pPr>
      <w:r>
        <w:rPr>
          <w:rFonts w:ascii="Times New Roman;sans-serif" w:hAnsi="Times New Roman;sans-serif"/>
          <w:b w:val="false"/>
          <w:color w:val="333333"/>
          <w:sz w:val="20"/>
        </w:rPr>
        <w:t>We have audited the accompanying consolidated balance sheets of Extra Space Storage Inc. (the Company) as of December 31, 2021 and 2020, the related consolidated statements of operations, comprehensive income, stockholders' equity and cash flows for each of the three years in the period ended December 31, 2021,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lineRule="auto" w:line="288" w:before="0" w:after="240"/>
        <w:rPr>
          <w:rFonts w:ascii="Times New Roman;sans-serif" w:hAnsi="Times New Roman;sans-serif"/>
          <w:b w:val="false"/>
          <w:color w:val="333333"/>
          <w:sz w:val="20"/>
        </w:rPr>
      </w:pPr>
      <w:r>
        <w:rPr>
          <w:rFonts w:ascii="Times New Roman;sans-serif" w:hAnsi="Times New Roman;sans-serif"/>
          <w:b w:val="false"/>
          <w:color w:val="333333"/>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lineRule="auto" w:line="288" w:before="0" w:after="240"/>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spacing w:lineRule="auto" w:line="288" w:before="0" w:after="240"/>
        <w:rPr>
          <w:rFonts w:ascii="Times New Roman;sans-serif" w:hAnsi="Times New Roman;sans-serif"/>
          <w:b w:val="false"/>
          <w:color w:val="333333"/>
          <w:sz w:val="20"/>
        </w:rPr>
      </w:pPr>
      <w:r>
        <w:rPr>
          <w:rFonts w:ascii="Times New Roman;sans-serif" w:hAnsi="Times New Roman;sans-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40"/>
        <w:rPr>
          <w:rFonts w:ascii="Times New Roman;sans-serif" w:hAnsi="Times New Roman;sans-serif"/>
          <w:b w:val="false"/>
          <w:color w:val="333333"/>
          <w:sz w:val="20"/>
        </w:rPr>
      </w:pPr>
      <w:r>
        <w:rPr>
          <w:rFonts w:ascii="Times New Roman;sans-serif" w:hAnsi="Times New Roman;sans-serif"/>
          <w:b w:val="false"/>
          <w:color w:val="333333"/>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240"/>
        <w:rPr/>
      </w:pPr>
      <w:r>
        <w:rPr>
          <w:rFonts w:ascii="Times New Roman;sans-serif" w:hAnsi="Times New Roman;sans-serif"/>
          <w:b/>
          <w:color w:val="333333"/>
          <w:sz w:val="20"/>
        </w:rPr>
        <w:t>Critical Audit Matter</w:t>
      </w:r>
      <w:r>
        <w:rPr>
          <w:color w:val="333333"/>
          <w:highlight w:val="white"/>
        </w:rPr>
        <w:t xml:space="preserve"> </w:t>
      </w:r>
    </w:p>
    <w:p>
      <w:pPr>
        <w:pStyle w:val="TextBody"/>
        <w:spacing w:lineRule="auto" w:line="256" w:before="0" w:after="0"/>
        <w:rPr>
          <w:rFonts w:ascii="Times New Roman;sans-serif" w:hAnsi="Times New Roman;sans-serif"/>
          <w:b w:val="false"/>
          <w:color w:val="333333"/>
          <w:sz w:val="20"/>
        </w:rPr>
      </w:pPr>
      <w:r>
        <w:rPr>
          <w:rFonts w:ascii="Times New Roman;sans-serif" w:hAnsi="Times New Roman;sans-serif"/>
          <w:b w:val="false"/>
          <w:color w:val="333333"/>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tbl>
      <w:tblPr>
        <w:tblW w:w="10205" w:type="dxa"/>
        <w:jc w:val="left"/>
        <w:tblInd w:w="0" w:type="dxa"/>
        <w:tblCellMar>
          <w:top w:w="28" w:type="dxa"/>
          <w:left w:w="28" w:type="dxa"/>
          <w:bottom w:w="28" w:type="dxa"/>
          <w:right w:w="28" w:type="dxa"/>
        </w:tblCellMar>
      </w:tblPr>
      <w:tblGrid>
        <w:gridCol w:w="464"/>
        <w:gridCol w:w="408"/>
        <w:gridCol w:w="410"/>
        <w:gridCol w:w="2841"/>
        <w:gridCol w:w="2510"/>
        <w:gridCol w:w="3572"/>
      </w:tblGrid>
      <w:tr>
        <w:trPr/>
        <w:tc>
          <w:tcPr>
            <w:tcW w:w="46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2841"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3572" w:type="dxa"/>
            <w:tcBorders/>
            <w:shd w:fill="auto" w:val="clear"/>
            <w:vAlign w:val="center"/>
          </w:tcPr>
          <w:p>
            <w:pPr>
              <w:pStyle w:val="TableContents"/>
              <w:spacing w:before="0" w:after="283"/>
              <w:rPr>
                <w:sz w:val="4"/>
                <w:szCs w:val="4"/>
              </w:rPr>
            </w:pPr>
            <w:r>
              <w:rPr>
                <w:sz w:val="4"/>
                <w:szCs w:val="4"/>
              </w:rPr>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333333"/>
                <w:sz w:val="20"/>
              </w:rPr>
            </w:pPr>
            <w:r>
              <w:rPr>
                <w:rFonts w:ascii="Times New Roman;sans-serif" w:hAnsi="Times New Roman;sans-serif"/>
                <w:b/>
                <w:i/>
                <w:color w:val="333333"/>
                <w:sz w:val="20"/>
              </w:rPr>
              <w:t>Purchase price allocation</w:t>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333333"/>
                <w:sz w:val="20"/>
              </w:rPr>
            </w:pPr>
            <w:r>
              <w:rPr>
                <w:rFonts w:ascii="Times New Roman;sans-serif" w:hAnsi="Times New Roman;sans-serif"/>
                <w:b w:val="false"/>
                <w:i/>
                <w:color w:val="333333"/>
                <w:sz w:val="20"/>
              </w:rPr>
              <w:t>Description of the Matter</w:t>
            </w:r>
          </w:p>
        </w:tc>
        <w:tc>
          <w:tcPr>
            <w:tcW w:w="8923"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For the year ended December 31, 2021, the Company completed the acquisition of 70 self-storage properties (“stores”) for a total purchase price of $1.1 billion. As further discussed in Note 2 of the consolidated financial statements, the transactions were accounted for as asset acquisitions, and the purchase price was allocated to the real estate assets acquired based on their relative fair values, which are estimated using unobservable inputs.</w:t>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3" w:type="dxa"/>
            <w:gridSpan w:val="3"/>
            <w:tcBorders/>
            <w:shd w:fill="auto"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Auditing the accounting for the Company’s 2021 acquisitions of stores was subjective because in determining the fair value of acquired land and buildings, the Company had to rely on unobservable inputs due to the lack of available directly comparable market information. In particular, the fair value estimates were sensitive to assumptions such as price of land per square foot, and current replacement cost estimates, including adjustments for the age, class, height, square footage, condition, location, and turnkey factor associated with the acquired assets.</w:t>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333333"/>
                <w:sz w:val="20"/>
              </w:rPr>
            </w:pPr>
            <w:r>
              <w:rPr>
                <w:rFonts w:ascii="Times New Roman;sans-serif" w:hAnsi="Times New Roman;sans-serif"/>
                <w:b w:val="false"/>
                <w:i/>
                <w:color w:val="333333"/>
                <w:sz w:val="20"/>
              </w:rPr>
              <w:t>How We Addressed the Matter in Our Audit</w:t>
            </w:r>
          </w:p>
        </w:tc>
        <w:tc>
          <w:tcPr>
            <w:tcW w:w="8923" w:type="dxa"/>
            <w:gridSpan w:val="3"/>
            <w:tcBorders/>
            <w:shd w:fill="auto"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We obtained an understanding, evaluated the design, and tested the operating effectiveness of controls over management’s accounting for acquired stores, including controls over the review of assumptions underlying the purchase price allocation and accuracy of the underlying data used. For example, we tested controls over the determination of the fair value of the land and building assets, including the controls over the review of the valuation models and the underlying assumptions used to develop such estimates.</w:t>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3" w:type="dxa"/>
            <w:gridSpan w:val="3"/>
            <w:tcBorders/>
            <w:shd w:fill="auto"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For the 2021 store acquisitions described above, our procedures included, but were not limited to, evaluating the Company’s valuation methodologies and evaluating the significant assumptions used to determine the fair value of the assets acquired. For certain of these asset acquisitions, we tested the completeness and accuracy of the underlying data by, among other things, recalculating the current replacement cost of buildings and comparing the adjustments for the age, class, height, square footage, condition, location, and turnkey factor with the acquired assets to industry publications. Additionally, we also compared significant assumptions, including prices per square foot to third-party sources such as recent land sales. For certain of these asset acquisitions, we involved our valuation specialists to assist in the assessment of the methodology utilized by the Company, in addition to performing corroborative analyses to assess whether the conclusions in the valuation were supported by observable market data. For example, our valuation specialists used independently identified data sources to evaluate management’s selected comparable land sales and replacement cost assumptions.</w:t>
            </w:r>
          </w:p>
        </w:tc>
      </w:tr>
    </w:tbl>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2005.</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Salt Lake City, Utah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tbl>
      <w:tblPr>
        <w:tblW w:w="10205" w:type="dxa"/>
        <w:jc w:val="center"/>
        <w:tblInd w:w="0" w:type="dxa"/>
        <w:tblCellMar>
          <w:top w:w="28" w:type="dxa"/>
          <w:left w:w="28" w:type="dxa"/>
          <w:bottom w:w="28" w:type="dxa"/>
          <w:right w:w="28" w:type="dxa"/>
        </w:tblCellMar>
      </w:tblPr>
      <w:tblGrid>
        <w:gridCol w:w="2803"/>
        <w:gridCol w:w="2094"/>
        <w:gridCol w:w="2103"/>
        <w:gridCol w:w="217"/>
        <w:gridCol w:w="1115"/>
        <w:gridCol w:w="112"/>
        <w:gridCol w:w="109"/>
        <w:gridCol w:w="109"/>
        <w:gridCol w:w="109"/>
        <w:gridCol w:w="225"/>
        <w:gridCol w:w="1042"/>
        <w:gridCol w:w="167"/>
      </w:tblGrid>
      <w:tr>
        <w:trPr/>
        <w:tc>
          <w:tcPr>
            <w:tcW w:w="2803"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7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Assets: </w:t>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8,834,649 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7,893,802 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 operating lease right-of-use assets</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227,949 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252,172 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debt securities and notes receivable</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719,187 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593,810 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109,124 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4" w:type="dxa"/>
            <w:gridSpan w:val="3"/>
            <w:tcBorders/>
            <w:shd w:fill="auto" w:val="cle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10,474,477 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9,395,848 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Noncontrolling Interests and Equity:</w:t>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1,320,755 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2,283,454 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term loans, net</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1,741,926 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1,194,383 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senior notes, net</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2,360,066 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1,319,466 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lines of credit</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949,000 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233,356 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263,485 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in unconsolidated real estate ventures</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142,285 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291,531 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6,688,501 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6,459,724 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 and Equity:</w:t>
            </w:r>
          </w:p>
        </w:tc>
        <w:tc>
          <w:tcPr>
            <w:tcW w:w="1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 stockholders' equity:</w:t>
            </w:r>
          </w:p>
        </w:tc>
        <w:tc>
          <w:tcPr>
            <w:tcW w:w="1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50,000,000 shares authorized, no shares issued or outstanding</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500,000,000 shares authorized, 133,922,305 and 131,357,961 shares issued and outstanding at December 31, 2021 and 2020, respectively</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3,285,948 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3,000,458 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(99,093)</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(128,245)</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(354,900)</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Extra Space Storage Inc. stockholders' equity</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3,116,496 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 represented by Preferred Operating Partnership units, net </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259,110 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Operating Partnership, net and other noncontrolling interests</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216,293 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noncontrolling interests and equity</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3,785,976 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2,936,124 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noncontrolling interests and equity</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10,474,477 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9,395,848 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tbl>
      <w:tblPr>
        <w:tblW w:w="10205" w:type="dxa"/>
        <w:jc w:val="center"/>
        <w:tblInd w:w="0" w:type="dxa"/>
        <w:tblCellMar>
          <w:top w:w="28" w:type="dxa"/>
          <w:left w:w="28" w:type="dxa"/>
          <w:bottom w:w="28" w:type="dxa"/>
          <w:right w:w="28" w:type="dxa"/>
        </w:tblCellMar>
      </w:tblPr>
      <w:tblGrid>
        <w:gridCol w:w="2203"/>
        <w:gridCol w:w="1704"/>
        <w:gridCol w:w="1710"/>
        <w:gridCol w:w="211"/>
        <w:gridCol w:w="976"/>
        <w:gridCol w:w="109"/>
        <w:gridCol w:w="109"/>
        <w:gridCol w:w="109"/>
        <w:gridCol w:w="109"/>
        <w:gridCol w:w="211"/>
        <w:gridCol w:w="976"/>
        <w:gridCol w:w="109"/>
        <w:gridCol w:w="109"/>
        <w:gridCol w:w="109"/>
        <w:gridCol w:w="109"/>
        <w:gridCol w:w="211"/>
        <w:gridCol w:w="976"/>
        <w:gridCol w:w="155"/>
      </w:tblGrid>
      <w:tr>
        <w:trPr/>
        <w:tc>
          <w:tcPr>
            <w:tcW w:w="2203"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6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8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6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rental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reinsurance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128,387 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other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Tenant reinsurance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amortization of discount on equity component of exchangeable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equity in earnings and dividend income from unconsolidated real estate ventures and income tax expense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real estate ventures - gain on sale of real estate assets and purchase of joint venture partner's interest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Preferred Operating Partnership noncontrolling interests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Operating Partnership and other noncontrolling interests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133,374,938 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129,541,531 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128,203,568 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140,016,028 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129,584,829 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136,433,769 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8877" w:type="dxa"/>
        <w:jc w:val="center"/>
        <w:tblInd w:w="0" w:type="dxa"/>
        <w:tblCellMar>
          <w:top w:w="28" w:type="dxa"/>
          <w:left w:w="28" w:type="dxa"/>
          <w:bottom w:w="28" w:type="dxa"/>
          <w:right w:w="28" w:type="dxa"/>
        </w:tblCellMar>
      </w:tblPr>
      <w:tblGrid>
        <w:gridCol w:w="1825"/>
        <w:gridCol w:w="1603"/>
        <w:gridCol w:w="1627"/>
        <w:gridCol w:w="196"/>
        <w:gridCol w:w="736"/>
        <w:gridCol w:w="109"/>
        <w:gridCol w:w="109"/>
        <w:gridCol w:w="109"/>
        <w:gridCol w:w="109"/>
        <w:gridCol w:w="196"/>
        <w:gridCol w:w="736"/>
        <w:gridCol w:w="109"/>
        <w:gridCol w:w="109"/>
        <w:gridCol w:w="109"/>
        <w:gridCol w:w="109"/>
        <w:gridCol w:w="196"/>
        <w:gridCol w:w="736"/>
        <w:gridCol w:w="154"/>
      </w:tblGrid>
      <w:tr>
        <w:trPr/>
        <w:tc>
          <w:tcPr>
            <w:tcW w:w="1825"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Change in fair value of interest rate swaps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937,083 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443,896 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384,280 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Less: comprehensive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attributable to common stockholders</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884,196 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411,652 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356,351 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17233" w:type="dxa"/>
        <w:jc w:val="center"/>
        <w:tblInd w:w="0" w:type="dxa"/>
        <w:tblCellMar>
          <w:top w:w="28" w:type="dxa"/>
          <w:left w:w="28" w:type="dxa"/>
          <w:bottom w:w="28" w:type="dxa"/>
          <w:right w:w="28" w:type="dxa"/>
        </w:tblCellMar>
      </w:tblPr>
      <w:tblGrid>
        <w:gridCol w:w="649"/>
        <w:gridCol w:w="268"/>
        <w:gridCol w:w="269"/>
        <w:gridCol w:w="109"/>
        <w:gridCol w:w="109"/>
        <w:gridCol w:w="961"/>
        <w:gridCol w:w="109"/>
        <w:gridCol w:w="961"/>
        <w:gridCol w:w="109"/>
        <w:gridCol w:w="541"/>
        <w:gridCol w:w="109"/>
        <w:gridCol w:w="196"/>
        <w:gridCol w:w="751"/>
        <w:gridCol w:w="109"/>
        <w:gridCol w:w="109"/>
        <w:gridCol w:w="109"/>
        <w:gridCol w:w="109"/>
        <w:gridCol w:w="196"/>
        <w:gridCol w:w="751"/>
        <w:gridCol w:w="109"/>
        <w:gridCol w:w="109"/>
        <w:gridCol w:w="109"/>
        <w:gridCol w:w="109"/>
        <w:gridCol w:w="230"/>
        <w:gridCol w:w="512"/>
        <w:gridCol w:w="129"/>
        <w:gridCol w:w="109"/>
        <w:gridCol w:w="109"/>
        <w:gridCol w:w="109"/>
        <w:gridCol w:w="661"/>
        <w:gridCol w:w="405"/>
        <w:gridCol w:w="406"/>
        <w:gridCol w:w="109"/>
        <w:gridCol w:w="109"/>
        <w:gridCol w:w="109"/>
        <w:gridCol w:w="235"/>
        <w:gridCol w:w="685"/>
        <w:gridCol w:w="131"/>
        <w:gridCol w:w="109"/>
        <w:gridCol w:w="109"/>
        <w:gridCol w:w="109"/>
        <w:gridCol w:w="197"/>
        <w:gridCol w:w="893"/>
        <w:gridCol w:w="111"/>
        <w:gridCol w:w="109"/>
        <w:gridCol w:w="109"/>
        <w:gridCol w:w="109"/>
        <w:gridCol w:w="196"/>
        <w:gridCol w:w="661"/>
        <w:gridCol w:w="109"/>
        <w:gridCol w:w="195"/>
        <w:gridCol w:w="195"/>
        <w:gridCol w:w="196"/>
        <w:gridCol w:w="196"/>
        <w:gridCol w:w="751"/>
        <w:gridCol w:w="109"/>
        <w:gridCol w:w="175"/>
        <w:gridCol w:w="175"/>
        <w:gridCol w:w="176"/>
        <w:gridCol w:w="196"/>
        <w:gridCol w:w="886"/>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008" w:type="dxa"/>
            <w:gridSpan w:val="38"/>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6225" w:type="dxa"/>
            <w:gridSpan w:val="24"/>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7" w:type="dxa"/>
            <w:gridSpan w:val="15"/>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3" w:type="dxa"/>
            <w:gridSpan w:val="27"/>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109" w:type="dxa"/>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c>
          <w:tcPr>
            <w:tcW w:w="4697" w:type="dxa"/>
            <w:gridSpan w:val="18"/>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109"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541" w:type="dxa"/>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472"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5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153,096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218,362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127,103,750</w:t>
            </w: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1,271</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2,640,705</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(262,902)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2,785,422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the exercise of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211,057 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issued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109,081 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(8,863)</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offering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1,779,200 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198,808 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 related to stock-based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receivable for preferred operating units pledged as collateral on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340,182 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C Units in the Operating Partnership for Common Operating Partnership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D Units in the Operating Partnership in conjunction with acquisitions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consolidated joint venture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$3.56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(458,114)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175,948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205,419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366</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129,534,407</w:t>
            </w:r>
            <w:r>
              <w:rPr>
                <w:color w:val="000000"/>
              </w:rPr>
              <w:t> </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1,295</w:t>
            </w:r>
            <w:r>
              <w:rPr>
                <w:color w:val="000000"/>
              </w:rPr>
              <w:t>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2,868,681</w:t>
            </w:r>
            <w:r>
              <w:rPr>
                <w:color w:val="000000"/>
              </w:rPr>
              <w:t>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(28,966)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(301,049)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2,921,694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tbl>
      <w:tblPr>
        <w:tblW w:w="17233" w:type="dxa"/>
        <w:jc w:val="center"/>
        <w:tblInd w:w="0" w:type="dxa"/>
        <w:tblCellMar>
          <w:top w:w="28" w:type="dxa"/>
          <w:left w:w="28" w:type="dxa"/>
          <w:bottom w:w="28" w:type="dxa"/>
          <w:right w:w="28" w:type="dxa"/>
        </w:tblCellMar>
      </w:tblPr>
      <w:tblGrid>
        <w:gridCol w:w="649"/>
        <w:gridCol w:w="268"/>
        <w:gridCol w:w="269"/>
        <w:gridCol w:w="109"/>
        <w:gridCol w:w="109"/>
        <w:gridCol w:w="961"/>
        <w:gridCol w:w="109"/>
        <w:gridCol w:w="961"/>
        <w:gridCol w:w="109"/>
        <w:gridCol w:w="541"/>
        <w:gridCol w:w="109"/>
        <w:gridCol w:w="196"/>
        <w:gridCol w:w="751"/>
        <w:gridCol w:w="109"/>
        <w:gridCol w:w="109"/>
        <w:gridCol w:w="109"/>
        <w:gridCol w:w="109"/>
        <w:gridCol w:w="196"/>
        <w:gridCol w:w="751"/>
        <w:gridCol w:w="109"/>
        <w:gridCol w:w="109"/>
        <w:gridCol w:w="109"/>
        <w:gridCol w:w="109"/>
        <w:gridCol w:w="230"/>
        <w:gridCol w:w="512"/>
        <w:gridCol w:w="129"/>
        <w:gridCol w:w="109"/>
        <w:gridCol w:w="109"/>
        <w:gridCol w:w="109"/>
        <w:gridCol w:w="661"/>
        <w:gridCol w:w="405"/>
        <w:gridCol w:w="406"/>
        <w:gridCol w:w="109"/>
        <w:gridCol w:w="109"/>
        <w:gridCol w:w="109"/>
        <w:gridCol w:w="235"/>
        <w:gridCol w:w="685"/>
        <w:gridCol w:w="131"/>
        <w:gridCol w:w="109"/>
        <w:gridCol w:w="109"/>
        <w:gridCol w:w="109"/>
        <w:gridCol w:w="197"/>
        <w:gridCol w:w="893"/>
        <w:gridCol w:w="111"/>
        <w:gridCol w:w="109"/>
        <w:gridCol w:w="109"/>
        <w:gridCol w:w="109"/>
        <w:gridCol w:w="196"/>
        <w:gridCol w:w="661"/>
        <w:gridCol w:w="109"/>
        <w:gridCol w:w="195"/>
        <w:gridCol w:w="195"/>
        <w:gridCol w:w="196"/>
        <w:gridCol w:w="196"/>
        <w:gridCol w:w="751"/>
        <w:gridCol w:w="109"/>
        <w:gridCol w:w="175"/>
        <w:gridCol w:w="175"/>
        <w:gridCol w:w="176"/>
        <w:gridCol w:w="196"/>
        <w:gridCol w:w="886"/>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008" w:type="dxa"/>
            <w:gridSpan w:val="38"/>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6225" w:type="dxa"/>
            <w:gridSpan w:val="24"/>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7" w:type="dxa"/>
            <w:gridSpan w:val="15"/>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3" w:type="dxa"/>
            <w:gridSpan w:val="27"/>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109" w:type="dxa"/>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c>
          <w:tcPr>
            <w:tcW w:w="4697" w:type="dxa"/>
            <w:gridSpan w:val="18"/>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109"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541" w:type="dxa"/>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472"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5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175,948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205,419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129,534,407</w:t>
            </w: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1,295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2,868,681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(301,049)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2,921,694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the exercise of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134,930 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share 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143,187 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offering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899,048 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103,459 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Buyback of common stock, net of offering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(826,797)</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123,993 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equity portion of 2015 exchangeable senior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1,323,781 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receivable with Preferred operating units pledged as collateral on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B Units in the Operating Partnership for cash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D Units in the Operating Partnership for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30,495 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consolidated joint venture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$3.60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172,052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215,892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401</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131,357,961</w:t>
            </w:r>
            <w:r>
              <w:rPr>
                <w:color w:val="000000"/>
              </w:rPr>
              <w:t> </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1,314</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3,000,458</w:t>
            </w:r>
            <w:r>
              <w:rPr>
                <w:color w:val="000000"/>
              </w:rPr>
              <w:t>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(99,093)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(354,900)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2,936,124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tbl>
      <w:tblPr>
        <w:tblW w:w="17233" w:type="dxa"/>
        <w:jc w:val="center"/>
        <w:tblInd w:w="0" w:type="dxa"/>
        <w:tblCellMar>
          <w:top w:w="28" w:type="dxa"/>
          <w:left w:w="28" w:type="dxa"/>
          <w:bottom w:w="28" w:type="dxa"/>
          <w:right w:w="28" w:type="dxa"/>
        </w:tblCellMar>
      </w:tblPr>
      <w:tblGrid>
        <w:gridCol w:w="649"/>
        <w:gridCol w:w="268"/>
        <w:gridCol w:w="269"/>
        <w:gridCol w:w="109"/>
        <w:gridCol w:w="109"/>
        <w:gridCol w:w="961"/>
        <w:gridCol w:w="109"/>
        <w:gridCol w:w="961"/>
        <w:gridCol w:w="109"/>
        <w:gridCol w:w="541"/>
        <w:gridCol w:w="109"/>
        <w:gridCol w:w="196"/>
        <w:gridCol w:w="751"/>
        <w:gridCol w:w="109"/>
        <w:gridCol w:w="109"/>
        <w:gridCol w:w="109"/>
        <w:gridCol w:w="109"/>
        <w:gridCol w:w="196"/>
        <w:gridCol w:w="751"/>
        <w:gridCol w:w="109"/>
        <w:gridCol w:w="109"/>
        <w:gridCol w:w="109"/>
        <w:gridCol w:w="109"/>
        <w:gridCol w:w="230"/>
        <w:gridCol w:w="512"/>
        <w:gridCol w:w="129"/>
        <w:gridCol w:w="109"/>
        <w:gridCol w:w="109"/>
        <w:gridCol w:w="109"/>
        <w:gridCol w:w="661"/>
        <w:gridCol w:w="405"/>
        <w:gridCol w:w="406"/>
        <w:gridCol w:w="109"/>
        <w:gridCol w:w="109"/>
        <w:gridCol w:w="109"/>
        <w:gridCol w:w="235"/>
        <w:gridCol w:w="685"/>
        <w:gridCol w:w="131"/>
        <w:gridCol w:w="109"/>
        <w:gridCol w:w="109"/>
        <w:gridCol w:w="109"/>
        <w:gridCol w:w="197"/>
        <w:gridCol w:w="893"/>
        <w:gridCol w:w="111"/>
        <w:gridCol w:w="109"/>
        <w:gridCol w:w="109"/>
        <w:gridCol w:w="109"/>
        <w:gridCol w:w="196"/>
        <w:gridCol w:w="661"/>
        <w:gridCol w:w="109"/>
        <w:gridCol w:w="195"/>
        <w:gridCol w:w="195"/>
        <w:gridCol w:w="196"/>
        <w:gridCol w:w="196"/>
        <w:gridCol w:w="751"/>
        <w:gridCol w:w="109"/>
        <w:gridCol w:w="175"/>
        <w:gridCol w:w="175"/>
        <w:gridCol w:w="176"/>
        <w:gridCol w:w="196"/>
        <w:gridCol w:w="886"/>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008" w:type="dxa"/>
            <w:gridSpan w:val="38"/>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6225" w:type="dxa"/>
            <w:gridSpan w:val="24"/>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7" w:type="dxa"/>
            <w:gridSpan w:val="15"/>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3" w:type="dxa"/>
            <w:gridSpan w:val="27"/>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109" w:type="dxa"/>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c>
          <w:tcPr>
            <w:tcW w:w="4697" w:type="dxa"/>
            <w:gridSpan w:val="18"/>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541" w:type="dxa"/>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47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5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215,892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131,357,961</w:t>
            </w: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1,314</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3,000,458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2,936,124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the exercise of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62,322 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share 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148,228 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(12,808)</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offering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2,185,685 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273,167 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165,652 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B Units in the Operating Partnership for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15,265 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cash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receivable with Operating Partnership units pledged as collateral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Operating Partnership units in conjunction with acquisitions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D units in the Operating Partnership in conjunction with acquisitions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remaining equity interest in existing consolidated joint venture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consolidated joint venture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$4.50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259,110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410,053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317</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133,922,305</w:t>
            </w:r>
            <w:r>
              <w:rPr>
                <w:color w:val="000000"/>
              </w:rPr>
              <w:t> </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1,339</w:t>
            </w:r>
            <w:r>
              <w:rPr>
                <w:color w:val="000000"/>
              </w:rPr>
              <w:t>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3,285,948</w:t>
            </w:r>
            <w:r>
              <w:rPr>
                <w:color w:val="000000"/>
              </w:rPr>
              <w:t>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(42,546)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(128,245)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3,785,976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center"/>
        <w:tblInd w:w="0" w:type="dxa"/>
        <w:tblCellMar>
          <w:top w:w="28" w:type="dxa"/>
          <w:left w:w="28" w:type="dxa"/>
          <w:bottom w:w="28" w:type="dxa"/>
          <w:right w:w="28" w:type="dxa"/>
        </w:tblCellMar>
      </w:tblPr>
      <w:tblGrid>
        <w:gridCol w:w="2390"/>
        <w:gridCol w:w="1980"/>
        <w:gridCol w:w="1987"/>
        <w:gridCol w:w="197"/>
        <w:gridCol w:w="742"/>
        <w:gridCol w:w="109"/>
        <w:gridCol w:w="109"/>
        <w:gridCol w:w="109"/>
        <w:gridCol w:w="109"/>
        <w:gridCol w:w="197"/>
        <w:gridCol w:w="742"/>
        <w:gridCol w:w="109"/>
        <w:gridCol w:w="109"/>
        <w:gridCol w:w="109"/>
        <w:gridCol w:w="109"/>
        <w:gridCol w:w="197"/>
        <w:gridCol w:w="742"/>
        <w:gridCol w:w="159"/>
      </w:tblGrid>
      <w:tr>
        <w:trPr/>
        <w:tc>
          <w:tcPr>
            <w:tcW w:w="2390"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4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6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451,123 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 related to amortization of discount on equity component of exchangeable senior notes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 related to stock-based awards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 of interest income added to principal of debt securities and notes receivable</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real estate transactions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of unconsolidated real estate ventures - gain on sale of real estate assets and purchase of joint venture partner's interest</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unconsolidated real estate ventures in excess of earnings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707,686 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real estate assets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(1,233,298)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(320,148)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(349,494)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and redevelopment of real estate assets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(53,717)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real estate assets and investments in real estate ventures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real estate entities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(197,759)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of investment in unconsolidated real estate ventures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and purchase of notes receivable</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(313,355)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(185,993)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debt securities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notes receivable</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received from notes receivable</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157,861 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equipment and fixtures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(7,764)</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(621,630)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common stock, net of offering costs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198,827 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notes payable and revolving lines of credit</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4,666,632 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2,214,000 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notes payable and revolving lines of credit</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(5,500,290)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(2,014,730)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(1,977,805)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notes payable to trusts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(30,928)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public bonds, net</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exchangeable senior notes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exercise of stock options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principal payments on notes receivable collateralized by OP Units and Preferred OP Units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held by noncontrolling interests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(458,114)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(34,243)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(88,013)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the period</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the period</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cash flow information</w:t>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174,155 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noncash investing and financing activities:</w:t>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held by noncontrolling interests for common stock</w:t>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 in Operating Partnership</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and paid-in capital</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of Preferred OP Units to unconsolidated real estate venture</w:t>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unconsolidated real estate ventures</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Preferred Operating Partnership units issued</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Operating Partnership units for common stock</w:t>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Operating Partnership units</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OP Units for additional investment in unconsolidated real estate venture</w:t>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r>
      <w:tr>
        <w:trPr/>
        <w:tc>
          <w:tcPr>
            <w:tcW w:w="635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r>
      <w:tr>
        <w:trPr/>
        <w:tc>
          <w:tcPr>
            <w:tcW w:w="635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Preferred OP Units </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OP Units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establishment of operating lease right of use assets and lease liabilities</w:t>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assets - operating lease right-of-use assets</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277,557 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(286,914)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real estate assets</w:t>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assets, net</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Operating Partnership and Preferred Operating Partnership units issued</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payable assumed</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real estate ventures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liability</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liabilities assumed</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construction costs and capital expenditures</w:t>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real estate assets</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and redevelopment of real estate assets</w:t>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12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invests in stores by acquiring wholly-owned stores or by acquiring an equity interest in real estate entities. At December 31, 2021, the Company had direct and indirect equity interests in 1,268 storage facilities. In addition, the Company managed 828 stores for third parties bringing the total number of stores which it owns and/or manages to 2,096. These stores are located in 41 states and Washington, D.C. The Company also offers tenant reinsurance at its owned and managed stores that insures the value of goods in the storage units.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comparison purposes, the Company has reclassified a portion of Notes payable, net to Unsecured term loans, net and Unsecured senior notes, net on the Consolidated Balance Sheets as of December 31, 2020, to conform to the presentation as of December 31, 2021.</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concluded that under certain circumstances when the Company enters into arrangements for the formation of joint ventures or when entering into a new bridge loan agreement,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the Company is determined to be the primary beneficiary of the VIE, the assets, liabilities and operations of the VIE are consolidated with the Company’s financial statements. The Company had one consolidated VIE consisting of four stores as of December 31, 2021 and no consolidated VIEs as of December 31,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Fair Value Disclosures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2021,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assets and liabilities measured at fair value on a recurring basis as of December 31, 2021, aggregated by the level in the fair value hierarchy within which those measurements fall.</w:t>
      </w:r>
    </w:p>
    <w:tbl>
      <w:tblPr>
        <w:tblW w:w="10205" w:type="dxa"/>
        <w:jc w:val="left"/>
        <w:tblInd w:w="0" w:type="dxa"/>
        <w:tblCellMar>
          <w:top w:w="28" w:type="dxa"/>
          <w:left w:w="28" w:type="dxa"/>
          <w:bottom w:w="28" w:type="dxa"/>
          <w:right w:w="28" w:type="dxa"/>
        </w:tblCellMar>
      </w:tblPr>
      <w:tblGrid>
        <w:gridCol w:w="794"/>
        <w:gridCol w:w="697"/>
        <w:gridCol w:w="702"/>
        <w:gridCol w:w="243"/>
        <w:gridCol w:w="831"/>
        <w:gridCol w:w="125"/>
        <w:gridCol w:w="109"/>
        <w:gridCol w:w="109"/>
        <w:gridCol w:w="109"/>
        <w:gridCol w:w="606"/>
        <w:gridCol w:w="1157"/>
        <w:gridCol w:w="309"/>
        <w:gridCol w:w="116"/>
        <w:gridCol w:w="116"/>
        <w:gridCol w:w="116"/>
        <w:gridCol w:w="378"/>
        <w:gridCol w:w="1296"/>
        <w:gridCol w:w="195"/>
        <w:gridCol w:w="116"/>
        <w:gridCol w:w="116"/>
        <w:gridCol w:w="116"/>
        <w:gridCol w:w="503"/>
        <w:gridCol w:w="968"/>
        <w:gridCol w:w="378"/>
      </w:tblGrid>
      <w:tr>
        <w:trPr/>
        <w:tc>
          <w:tcPr>
            <w:tcW w:w="7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2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Reporting Date Using</w:t>
            </w:r>
          </w:p>
        </w:tc>
      </w:tr>
      <w:tr>
        <w:trPr/>
        <w:tc>
          <w:tcPr>
            <w:tcW w:w="2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21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Cash flow hedge swap agreements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Cash flow hedge swap agreements</w:t>
            </w:r>
          </w:p>
        </w:tc>
        <w:tc>
          <w:tcPr>
            <w:tcW w:w="24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assets and liabilities between Level 1 and Level 2 during the year ended December 31, 2021. The Company did not have any significant assets or liabilities that are re-measured on a recurring basis using significant unobservable inputs as of December 31, 2021 or 2020.</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Measured at Fair Value on a Nonrecurring Basis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When real estate assets are identified by management as held for sale, the Company discontinues depreciating the assets and estimates the fair value of the assets, net of selling costs. The Company compares the carrying value of the related long-lived assets to the undiscounted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for all periods presented.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did not have any assets or liabilities measured at fair value on a nonrecurring basis.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restricted cash, receivables, other financial instruments included in other assets, accounts payable and accrued expenses, variable-rate notes payable, investments in debt securities and notes receivable, revolving lines of credit and other liabilities reflected in the consolidated balance sheets at December 31, 2021 and 2020, approximate fair value.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notes receivable and notes receivable from Preferred Operating Partnership unit holders were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fixed-rate assets and liabilities were as follows for the periods indicated:</w:t>
      </w:r>
    </w:p>
    <w:tbl>
      <w:tblPr>
        <w:tblW w:w="10205" w:type="dxa"/>
        <w:jc w:val="left"/>
        <w:tblInd w:w="0" w:type="dxa"/>
        <w:tblCellMar>
          <w:top w:w="28" w:type="dxa"/>
          <w:left w:w="28" w:type="dxa"/>
          <w:bottom w:w="28" w:type="dxa"/>
          <w:right w:w="28" w:type="dxa"/>
        </w:tblCellMar>
      </w:tblPr>
      <w:tblGrid>
        <w:gridCol w:w="1446"/>
        <w:gridCol w:w="1272"/>
        <w:gridCol w:w="127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6"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3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Carrying </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Carrying </w:t>
              <w:br/>
              <w:t>Value</w:t>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Preferred and Common Operating Partnership unit 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notes receivable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3,637,220 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Real Estate Assets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Real estate assets are stated at cost, less accumulated depreciation. Direct and allowable internal costs associated with the development, construction, renovation, and improvement of real estate assets are capitalized. Interest, property taxes, and other 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Expenditures for maintenance and repairs are charged to expense as incurred. Major replacements and betterments that improve or extend the life of the asset are capitalized and depreciated over their estimated useful lives. Depreciation is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computed using the straight-line method over the estimated useful lives of the buildings and improvements, which are generally between five and 39 years.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purchase of stores are considered asset acquisitions. As such, the purchase price is allocated to the real estate assets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relative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the acquisition is recorded at fair value based on current interest rates compared to contractual rates. Acquisition-related transactions costs are capitalized as part of the purchase price.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Intangible lease rights represent: (1) purchase price amounts allocated to leases on three stores that cannot be classified as ground or building leases; these rights are amortized to expense over the life of the leases and (2) intangibles related to ground leases on eight stores where the leases were assumed by the Company at rates that were lower than the current market rates for similar leases. The values associated with these assumed leases were recorded as intangibles, which will be amortized over the lease terms.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Real Estate Sales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Investments in Unconsolidated Real Estate Entities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 and Cash distributions in unconsolidated real estate ventures represent the Company's noncontrolling interest in real estate joint ventures that own stores and the Company's interest in preferred stock of SmartStop Self Storage REIT, Inc. ("SmartStop"). 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“nature of distribution” approach for classification of distributions from joint ventures. Under this approach, cash flows are classified on the basis of the nature of the activity or activities of the investee that generated the distribution as either a return on investment (classified as a cash inflow from operating activities) or a return of investment (classified as a cash inflow from investing activities).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evaluated its investments in preferred stock of non-public real estate entities and determined it did not have significant influence over the entity, and the investment in preferred stock does not have a readily determinable fair value, therefore it has been recorded at the transaction price. The Company periodically evaluates the investment for impairment. No impairment indicators were noted as of December 31, 2021.</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Investments in Debt Securities and Notes Receivable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investment in debt securities and loans receivable at amortized cost. The Company recognizes interest income related to the debt securities and notes receivable using the effective interest method, with deferred fees and costs amortized over the lives of the related loans as yield adjustment. Additionally, the discount related to purchased notes receivable is being amortized to interest income over the remaining period of the notes.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cash is deposited with financial institutions located throughout the United States and at times may exceed federally insured limits. The Company considers all highly liquid debt instruments with a maturity date of three months or less to be cash equivalents.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Restricted cash is comprised of escrowed funds deposited with financial institutions located throughout the United States relating to earnest money deposits on potential acquisitions, real estate taxes, loan collateral, operating reserves and insurance and capital expenditures.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consist of equipment and fixtures, capitalized software, rents receivable from our tenants, other receivables, other intangible assets, deferred tax assets, prepaid expenses and the fair value of interest rate swaps. Depreciation of equipment and fixtures is computed on a straight-line basis over three to five years. The Company capitalizes certain costs during the application development stage when developing software for internal use. As of December 31, 2021 and 2020, unamortized software costs were $20,280 and $22,708. During the year ended December 31, 2021 and 2020, the Company recorded amortization expense of $2,428 and $1,571, respectively, relating to capitalized software costs. No significant amortization of software costs was recorded prior to 2020 as the software was still in the application development stage.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Derivative Instruments and Hedging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 Management and Use of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Exchange of Common Operating Partnership Units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Redemption of common Operating Partnership units for shares of common stock, when redeemed under the original provisions of the Operating Partnership agreement, are accounted for by reclassifying the underlying net book value of the units from noncontrolling interest to the Company’s equity.</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Revenue and Expense Recognition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and merchandise sales are recognized as income when earned. </w:t>
      </w:r>
    </w:p>
    <w:p>
      <w:pPr>
        <w:pStyle w:val="TextBody"/>
        <w:spacing w:lineRule="auto" w:line="288" w:before="24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fees are earned subject to the terms of the related management services agreements ("MSAs"). These MSAs provide that the Company will perform management services, which include leasing and operating the property and providing accounting, marketing, banking, maintenance and other services. These services are provided in exchange for monthly management fees, which are based on a percentage of revenues collected from stores owned by third parties and unconsolidated joint ventures. MSAs generally have original terms from three to five years, after which management services are provided on a month-to-month basis unless terminated. Management fees are due on the last day of each calendar month that management services are provided. </w:t>
      </w:r>
    </w:p>
    <w:p>
      <w:pPr>
        <w:pStyle w:val="TextBody"/>
        <w:spacing w:lineRule="auto" w:line="288" w:before="24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management services provided to a customer as a single performance obligation which are rendered over time each month. The total amount of consideration from the contract is variable as it is based on monthly revenues, which are influenced by multiple factors, some of which are outside the Company's control. Therefore, the Company recognizes the revenue at the end of each month once the uncertainty is resolved. Due to the standardized terms of the MSAs, the Company accounts for all MSAs in a similar, consistent manner. Therefore, no disaggregated information relating to MSAs is presented.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expenses, including utilities, property taxes, repairs and maintenance and other costs to manage the facilities are recognized as incurred. The Company accrues for property tax expense based upon invoice amounts and estimates. If these estimates are incorrect, the timing of expense recognition could be affected.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Tenant reinsurance premiums are recognized as revenue over the period of insurance coverage. The Company records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The Company uses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2,000 dollars to 10,000 dollars of insurance coverage in exchange for a monthly fee. As of December 31, 2021, the average insurance coverage for tenants was approximately 3,300 dollars. The Company’s exposure per claim is limited by the maximum amount of coverage chosen by each tenant.</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the number of individual claims made were 8,748, 8,226 and 7,888, respectively (claim numbers not in thousands).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the portion of the Company’s unpaid claims liability, which is included in other liabilities on the Company's consolidated balance sheets, that relates to tenant insurance for the periods indicated:</w:t>
      </w:r>
    </w:p>
    <w:tbl>
      <w:tblPr>
        <w:tblW w:w="10205" w:type="dxa"/>
        <w:jc w:val="left"/>
        <w:tblInd w:w="0" w:type="dxa"/>
        <w:tblCellMar>
          <w:top w:w="28" w:type="dxa"/>
          <w:left w:w="28" w:type="dxa"/>
          <w:bottom w:w="28" w:type="dxa"/>
          <w:right w:w="28" w:type="dxa"/>
        </w:tblCellMar>
      </w:tblPr>
      <w:tblGrid>
        <w:gridCol w:w="2422"/>
        <w:gridCol w:w="2131"/>
        <w:gridCol w:w="2144"/>
        <w:gridCol w:w="211"/>
        <w:gridCol w:w="616"/>
        <w:gridCol w:w="109"/>
        <w:gridCol w:w="109"/>
        <w:gridCol w:w="109"/>
        <w:gridCol w:w="109"/>
        <w:gridCol w:w="211"/>
        <w:gridCol w:w="616"/>
        <w:gridCol w:w="109"/>
        <w:gridCol w:w="109"/>
        <w:gridCol w:w="109"/>
        <w:gridCol w:w="109"/>
        <w:gridCol w:w="211"/>
        <w:gridCol w:w="616"/>
        <w:gridCol w:w="155"/>
      </w:tblGrid>
      <w:tr>
        <w:trPr/>
        <w:tc>
          <w:tcPr>
            <w:tcW w:w="2422"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Tenant Reinsurance Claims: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claims liability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and claim adjustment expense for claims incurred in the current year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and claim adjustment expense (benefit) for claims incurred in the prior years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current year claims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prior year claims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claims liability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incurs advertising costs primarily attributable to digital and other advertising. These costs are expensed as incurred. The Company recognized $18,793, $28,336 and $25,106 in advertising expense for the years ended December 31, 2021, 2020 and 2019, respectively, which are included in property operating expenses on the Company’s consolidated statements of operations.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be treated as a REIT under Sections 856 through 860 of the Internal Revenue Code of 1986, as amended (the "Internal Revenue Code"). In order to maintain its qualification as a REIT, among other things, the Company is required to distribute at least 90% of its REIT taxable income to its stockholders and meet certain tests regarding the nature of its income and assets. As a REIT, the Company is not subject to U.S.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For any taxable year that the Company fails to qualify as a REIT and for which applicable statutory relief provisions did not apply, the Company would be subject to U.S. federal corporate income tax on all of its taxable income for at least that year and the ensuing four years. The Company is subject to certain state and local taxes. Provision for such taxes has been included in income tax expense on the Company’s consolidated statements of operations. For the year ended December 31, 2021, 0% (unaudited) of all distributions to stockholders qualified as a return of capital.</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owns and may acquire direct or indirect interests in entities that have elected or will elect to be taxed as REITs under the Internal Revenue Code (each, a “Subsidiary REIT ”). A Subsidiary REIT is subject to the various REIT qualification requirements and other limitations described herein that are applicable to the Company.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the Company would fail certain of the asset tests applicable to REITs, in which event the Company would fail to qualify as a REIT unless it could avail itself of certain relief provisions.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treat certain corporate subsidiaries, including Extra Space Management, Inc. (“ESMI”), as a taxable REIT subsidiary (“TRS”). In general, a TRS may perform additional services for tenants and may engage in any real estate or non-real estate related business. A TRS is subject to U.S. federal corporate income tax and may also be subject to state and local income taxes. ESM Reinsurance Limited, a wholly-owned subsidiary of ESMI, generates income from insurance premiums that are subject to U.S. federal corporate income tax and state insurance premiums tax.</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determined based on differences between financial reporting and tax bases of assets and liabilities. At December 31, 2021 and 2020, there were no material unrecognized tax benefits. Interest and penalties relating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to uncertain tax positions will be recognized in income tax expense when incurred. As of December 31, 2021 and 2020, the Company had no interest or penalties related to uncertain tax provisions.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measurement and recognition of compensation expense for all share-based payment awards to employees and directors are based on estimated fair values. Awards granted are valued at fair value and any compensation expense is recognized over the service periods of each award.</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Earnings Per Common Share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together with the Series A Units, Series B Units and Series C Units, the “Preferred OP Units") and common Operating Partnership units (“OP Units”)) that do not have a current right to participate in earnings of the Company but could do so in the future by virtue of their option, redemption or conversion right.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(those that reduce earnings per common share) are included. For the years ended December 31, 2021, 2020 and 2019 there were no anti-dilutive shares outstanding.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purposes of computing the diluted impact of the potential exchange of the Preferred OP Units for common shares upon redemption, where the Company has the option to redeem in cash or shares and where the Company has stated the intent and ability to settle the redemption in shares, the Company divided the total liquidation value of the Preferred OP Units by the average share price of $161.98 for the year ended December 31, 2021.</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weighted OP Units and Preferred OP Units, and the potential common shares, that were excluded from the computation of earnings per share as their effect would have been anti-dilutive:</w:t>
      </w:r>
    </w:p>
    <w:tbl>
      <w:tblPr>
        <w:tblW w:w="10205" w:type="dxa"/>
        <w:jc w:val="left"/>
        <w:tblInd w:w="0" w:type="dxa"/>
        <w:tblCellMar>
          <w:top w:w="28" w:type="dxa"/>
          <w:left w:w="28" w:type="dxa"/>
          <w:bottom w:w="28" w:type="dxa"/>
          <w:right w:w="28" w:type="dxa"/>
        </w:tblCellMar>
      </w:tblPr>
      <w:tblGrid>
        <w:gridCol w:w="810"/>
        <w:gridCol w:w="713"/>
        <w:gridCol w:w="718"/>
        <w:gridCol w:w="889"/>
        <w:gridCol w:w="865"/>
        <w:gridCol w:w="531"/>
        <w:gridCol w:w="165"/>
        <w:gridCol w:w="165"/>
        <w:gridCol w:w="165"/>
        <w:gridCol w:w="918"/>
        <w:gridCol w:w="865"/>
        <w:gridCol w:w="531"/>
        <w:gridCol w:w="165"/>
        <w:gridCol w:w="165"/>
        <w:gridCol w:w="165"/>
        <w:gridCol w:w="864"/>
        <w:gridCol w:w="805"/>
        <w:gridCol w:w="706"/>
      </w:tblGrid>
      <w:tr>
        <w:trPr/>
        <w:tc>
          <w:tcPr>
            <w:tcW w:w="81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6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Equivalent Shares (if converted)</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Equivalent Shares (if converted)</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Equivalent Shares (if converted)</w:t>
            </w:r>
          </w:p>
        </w:tc>
      </w:tr>
      <w:tr>
        <w:trPr/>
        <w:tc>
          <w:tcPr>
            <w:tcW w:w="22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OP Units</w:t>
            </w:r>
          </w:p>
        </w:tc>
        <w:tc>
          <w:tcPr>
            <w:tcW w:w="17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5,853,814 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Units (Variable Only)</w:t>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875,480 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Units</w:t>
            </w:r>
          </w:p>
        </w:tc>
        <w:tc>
          <w:tcPr>
            <w:tcW w:w="1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246,618 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400,771 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393,189 </w:t>
            </w:r>
          </w:p>
        </w:tc>
        <w:tc>
          <w:tcPr>
            <w:tcW w:w="7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auto" w:val="clear"/>
            <w:vAlign w:val="center"/>
          </w:tcPr>
          <w:p>
            <w:pPr>
              <w:pStyle w:val="TableContents"/>
              <w:spacing w:before="0" w:after="283"/>
              <w:rPr>
                <w:sz w:val="4"/>
                <w:szCs w:val="4"/>
              </w:rPr>
            </w:pPr>
            <w:r>
              <w:rPr>
                <w:sz w:val="4"/>
                <w:szCs w:val="4"/>
              </w:rPr>
            </w:r>
          </w:p>
        </w:tc>
        <w:tc>
          <w:tcPr>
            <w:tcW w:w="2285"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2314"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2375" w:type="dxa"/>
            <w:gridSpan w:val="3"/>
            <w:tcBorders/>
            <w:shd w:fill="auto" w:val="cle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Units</w:t>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726,037 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1,143,547 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1,081,369 </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972,655 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8,273,612 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1,474,558 </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495"/>
        <w:rPr/>
      </w:pPr>
      <w:r>
        <w:rPr/>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Operating Partnership had no exchangeable senior notes issued or outstanding. In October and November 2020, a portion of the 3.125% Exchangeable Senior Notes due 2035 (the “2015 Notes”) were exchanged for cash and shares of the Company's common stock and the remaining 2015 Notes were redeemed for cash. The 2015 Notes could potentially have had a dilutive impact on the Company's earnings per share calculations. The 2015 Notes were exchangeable by holders into shares of the Company's common stock under certain circumstances per the terms of the indenture governing the 2015 Notes. The Company had irrevocably agreed to pay only cash for the accreted principal amount of the 2015 Notes relative to its exchange obligations, but retained the right to satisfy the exchange obligation in excess of the accreted principal amount in cash and/or common stock.</w:t>
      </w:r>
    </w:p>
    <w:p>
      <w:pPr>
        <w:pStyle w:val="TextBody"/>
        <w:spacing w:lineRule="auto" w:line="288" w:before="240" w:after="283"/>
        <w:ind w:left="0" w:right="0" w:firstLine="495"/>
        <w:rPr/>
      </w:pPr>
      <w:r>
        <w:rPr>
          <w:rFonts w:ascii="Times New Roman;sans-serif" w:hAnsi="Times New Roman;sans-serif"/>
          <w:b w:val="false"/>
          <w:color w:val="000000"/>
          <w:sz w:val="20"/>
        </w:rPr>
        <w:t xml:space="preserve">Although the Company had retained that right to satisfy the exchange obligation in excess of the accreted principal amount of the 2015 Notes in cash and/or common stock, Accounting Standards Codification (“ASC”) 260, </w:t>
      </w:r>
      <w:r>
        <w:rPr>
          <w:color w:val="000000"/>
        </w:rPr>
        <w:t>“</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required an assumption that shares would be used to pay the exchange obligation in excess of the accreted principal amount, and required that those shares be included in the Company’s calculation of weighted average common shares outstanding for the diluted earnings per share computation. For the year ended December 31, 2021, the Company had repaid the principal and accrued interest of its 2015 Notes, and therefore, no shares relating to the 2015 Notes were included in the computation of diluted earnings per share. For the years ended December 31, 2020 and 2019, zero and 993,114 shares, respectively, related to the 2015 Notes were included in the computation of diluted earnings per share.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$101,700 fixed amount.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computation of earnings per share is as follows for the periods presented:</w:t>
      </w:r>
    </w:p>
    <w:tbl>
      <w:tblPr>
        <w:tblW w:w="10205" w:type="dxa"/>
        <w:jc w:val="left"/>
        <w:tblInd w:w="0" w:type="dxa"/>
        <w:tblCellMar>
          <w:top w:w="28" w:type="dxa"/>
          <w:left w:w="28" w:type="dxa"/>
          <w:bottom w:w="28" w:type="dxa"/>
          <w:right w:w="28" w:type="dxa"/>
        </w:tblCellMar>
      </w:tblPr>
      <w:tblGrid>
        <w:gridCol w:w="2096"/>
        <w:gridCol w:w="1760"/>
        <w:gridCol w:w="1764"/>
        <w:gridCol w:w="241"/>
        <w:gridCol w:w="945"/>
        <w:gridCol w:w="109"/>
        <w:gridCol w:w="109"/>
        <w:gridCol w:w="109"/>
        <w:gridCol w:w="109"/>
        <w:gridCol w:w="241"/>
        <w:gridCol w:w="945"/>
        <w:gridCol w:w="109"/>
        <w:gridCol w:w="109"/>
        <w:gridCol w:w="109"/>
        <w:gridCol w:w="109"/>
        <w:gridCol w:w="241"/>
        <w:gridCol w:w="945"/>
        <w:gridCol w:w="155"/>
      </w:tblGrid>
      <w:tr>
        <w:trPr/>
        <w:tc>
          <w:tcPr>
            <w:tcW w:w="2096"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and dividends allocated to participating securities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for basic computations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and dividends allocated to participating securities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allocated to noncontrolling interest - Preferred Operating Partnership Units and Operating Partnership Units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component of income allocated to noncontrolling interest - Preferred Operating Partnership (Series A Units)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diluted computations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number of common shares outstanding - basic </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133,374,938 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129,541,531 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128,203,568 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6,006,114 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Units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562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included for treasury stock method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related to exchangeable senior notes and dilutive stock options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common shares outstanding -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140,016,028 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129,584,829 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136,433,769 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spacing w:lineRule="auto" w:line="288" w:before="240" w:after="283"/>
        <w:ind w:left="0" w:right="0" w:firstLine="495"/>
        <w:rPr/>
      </w:pPr>
      <w:r>
        <w:rPr>
          <w:rFonts w:ascii="Times New Roman;sans-serif" w:hAnsi="Times New Roman;sans-serif"/>
          <w:b w:val="false"/>
          <w:color w:val="000000"/>
          <w:sz w:val="20"/>
        </w:rPr>
        <w:t xml:space="preserve">In February 2016, the Financial Accounting Standards Board ("FASB") issued ASU 2016-02, </w:t>
      </w:r>
      <w:r>
        <w:rPr>
          <w:rFonts w:ascii="Times New Roman;sans-serif" w:hAnsi="Times New Roman;sans-serif"/>
          <w:b w:val="false"/>
          <w:i/>
          <w:color w:val="000000"/>
          <w:sz w:val="20"/>
        </w:rPr>
        <w:t xml:space="preserve">"Leases (Topic 842)," </w:t>
      </w:r>
      <w:r>
        <w:rPr>
          <w:rFonts w:ascii="Times New Roman;sans-serif" w:hAnsi="Times New Roman;sans-serif"/>
          <w:b w:val="false"/>
          <w:color w:val="000000"/>
          <w:sz w:val="20"/>
        </w:rPr>
        <w:t>which modifies the accounting for leases, intending to increase transparency and comparability of organizations by requiring balance sheet presentation of leased assets and increased financial statement disclosure of leasing arrangements. ASU 2016-02 requires entities to recognize a liability for their lease obligations and a corresponding asset representing the right to use the underlying asset over the lease term. ASU 2016-02 became effective for annual and interim periods beginning after December 15, 2018. The Company adopted the standard using the modified retrospective approach as of January 1, 2019. The Company elected the package of practical expedients upon adoption, which allows for the application of the standard solely to the transition period in 2019 but does not require application to prior fiscal comparative periods presented. The Company also elected the practical expedient provided in a subsequent amendment to ASU 2016-02 that removed the requirement to separate lease and non-lease components. The Company did not record a significant cumulative catch-up adjustment upon the adoption of ASC 2016-02. The primary impact was related to the Company's 22 operating ground leases and two corporate facility leases under which it served as lessee as of the adoption date. The Company recognized lease liabilities totaling $104,863 and right-of-use assets related to operating leases totaling $95,506 as of the adoption date. Refer to Note 14 for further discussion of the Company's leases.</w:t>
      </w:r>
    </w:p>
    <w:p>
      <w:pPr>
        <w:pStyle w:val="TextBody"/>
        <w:spacing w:lineRule="auto" w:line="288" w:before="240" w:after="283"/>
        <w:ind w:left="0" w:right="0" w:firstLine="495"/>
        <w:rPr/>
      </w:pPr>
      <w:r>
        <w:rPr>
          <w:rFonts w:ascii="Times New Roman;sans-serif" w:hAnsi="Times New Roman;sans-serif"/>
          <w:b w:val="false"/>
          <w:color w:val="000000"/>
          <w:sz w:val="20"/>
        </w:rPr>
        <w:t>In June 2016, the FASB issued ASU 2016-13,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ASU 2016-13 changes how entities measure credit losses for most financial assets. This standard requires an entity to estimate its lifetime "expected credit loss" and record an allowance that, when deducted from the amortized cost basis of the financial asset, presents the net amount expected to be collected on the financial asset. In November 2018, the FASB issued ASU 2018-19, "Codification Improvements to Topic 326, Financial Instruments - Credit Losses," which clarified that receivables arising from operating leases are within the scope of the leasing standard (ASU 2016-02), and not within the scope of ASU 2016-13. This new standard became effective for the Company on January 1, 2020. The adoption of this standard by the Company did not have a material impact on the Company's consolidated financial statements.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pPr>
      <w:r>
        <w:rPr>
          <w:rFonts w:ascii="Times New Roman;sans-serif" w:hAnsi="Times New Roman;sans-serif"/>
          <w:b w:val="false"/>
          <w:color w:val="000000"/>
          <w:sz w:val="20"/>
        </w:rPr>
        <w:t>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(“ASU 2020-04”). ASU 2020-04 provides temporary optional guidance that provides transition relief 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also elected to apply additional expedients related to contract modifications, changes in critical terms, and updates to the designated hedged risks as qualifying changes are made to applicable debt and derivative contracts. Application of these expedients preserves the presentation of derivatives and debt contracts consistent with past presentation. In January 2021, the FASB issued ASU 2021-01, Reference Rate Reform (Topic 848): Scope, which refines the scope of Topic 848 and clarifies some of its guidance. The Company continues to evaluate the impact of the guidance and may apply other elections as applicable as additional changes in the market occur.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highlight w:val="white"/>
        </w:rPr>
        <w:t>3.     </w:t>
      </w:r>
      <w:r>
        <w:rPr>
          <w:rFonts w:ascii="Times New Roman;sans-serif" w:hAnsi="Times New Roman;sans-serif"/>
          <w:b/>
          <w:color w:val="000000"/>
          <w:sz w:val="20"/>
        </w:rPr>
        <w:t>REAL ESTATE ASSETS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real estate assets are summarized as follows:</w:t>
      </w:r>
    </w:p>
    <w:tbl>
      <w:tblPr>
        <w:tblW w:w="8696" w:type="dxa"/>
        <w:jc w:val="left"/>
        <w:tblInd w:w="0" w:type="dxa"/>
        <w:tblCellMar>
          <w:top w:w="28" w:type="dxa"/>
          <w:left w:w="28" w:type="dxa"/>
          <w:bottom w:w="28" w:type="dxa"/>
          <w:right w:w="28" w:type="dxa"/>
        </w:tblCellMar>
      </w:tblPr>
      <w:tblGrid>
        <w:gridCol w:w="1895"/>
        <w:gridCol w:w="1665"/>
        <w:gridCol w:w="1675"/>
        <w:gridCol w:w="251"/>
        <w:gridCol w:w="1164"/>
        <w:gridCol w:w="130"/>
        <w:gridCol w:w="109"/>
        <w:gridCol w:w="109"/>
        <w:gridCol w:w="109"/>
        <w:gridCol w:w="250"/>
        <w:gridCol w:w="1157"/>
        <w:gridCol w:w="182"/>
      </w:tblGrid>
      <w:tr>
        <w:trPr/>
        <w:tc>
          <w:tcPr>
            <w:tcW w:w="1895"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 operating</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1,952,097 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 development</w:t>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improvements and other intangibles</w:t>
            </w:r>
          </w:p>
        </w:tc>
        <w:tc>
          <w:tcPr>
            <w:tcW w:w="14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8,227,094 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7,357,033 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finance lease</w:t>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117,718 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58,148 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tenant relationships</w:t>
            </w:r>
          </w:p>
        </w:tc>
        <w:tc>
          <w:tcPr>
            <w:tcW w:w="14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134,577 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rights</w:t>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10,643,151 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9,507,788 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(1,867,750)</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(1,681,429)</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real estate assets</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8,775,401 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7,826,359 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under development/redevelopment</w:t>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67,443 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8,834,649 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7,893,802 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held for sale included in real estate assets, net</w:t>
            </w:r>
          </w:p>
        </w:tc>
        <w:tc>
          <w:tcPr>
            <w:tcW w:w="25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130"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103,624 </w:t>
            </w:r>
          </w:p>
        </w:tc>
        <w:tc>
          <w:tcPr>
            <w:tcW w:w="182"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one store classified as held for sale. The estimated fair value less selling costs of this asset is greater than the carrying value of the asset, and therefore no loss has been recorded related to this asset. Assets held for sale are included in the self-storage operations segment of the Company’s segment information.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$4,778, $2,258, and $6,614 for the years ended December 31, 2021, 2020 and 2019, respectively. The remaining balance of the unamortized lease rights will be amortized over the next seven to 40 years. Accumulated amortization related to intangibles was $130,561 and $129,385 as of December 31, 2021 and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4.     PROPERTY ACQUISITIONS AND DISPOSITIONS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Store Acquisition</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acquisitions of stores for the years ended December 31, 2021 and 2020. The table excludes purchases of raw land and improvements made to existing assets.</w:t>
      </w:r>
    </w:p>
    <w:tbl>
      <w:tblPr>
        <w:tblW w:w="11242" w:type="dxa"/>
        <w:jc w:val="left"/>
        <w:tblInd w:w="0" w:type="dxa"/>
        <w:tblCellMar>
          <w:top w:w="28" w:type="dxa"/>
          <w:left w:w="28" w:type="dxa"/>
          <w:bottom w:w="28" w:type="dxa"/>
          <w:right w:w="28" w:type="dxa"/>
        </w:tblCellMar>
      </w:tblPr>
      <w:tblGrid>
        <w:gridCol w:w="266"/>
        <w:gridCol w:w="234"/>
        <w:gridCol w:w="236"/>
        <w:gridCol w:w="230"/>
        <w:gridCol w:w="230"/>
        <w:gridCol w:w="231"/>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96"/>
        <w:gridCol w:w="646"/>
        <w:gridCol w:w="109"/>
        <w:gridCol w:w="218"/>
        <w:gridCol w:w="620"/>
        <w:gridCol w:w="123"/>
        <w:gridCol w:w="196"/>
        <w:gridCol w:w="556"/>
        <w:gridCol w:w="109"/>
        <w:gridCol w:w="196"/>
        <w:gridCol w:w="736"/>
        <w:gridCol w:w="109"/>
        <w:gridCol w:w="496"/>
        <w:gridCol w:w="196"/>
        <w:gridCol w:w="871"/>
        <w:gridCol w:w="154"/>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Consideration Paid</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221" w:type="dxa"/>
            <w:gridSpan w:val="3"/>
            <w:tcBorders/>
            <w:shd w:fill="auto" w:val="clea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Paid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 Assumed</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 Liability</w:t>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Investments in Real Estate Ventures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Liabilities/ (Assets) Assumed</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OP Units Issued</w:t>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assets</w:t>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2021</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2020</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jc w:val="center"/>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(1)Store acquisitions during the year ended December 31, 2021 included the acquisition of five stores previously held in joint venture where the Company held a noncontrolling interest. The Company purchased its partner's equity interest in these joint ventures, and the properties owned by the joint ventures became wholly owned by the Company. In addition, store acquisitions include the acquisition of two stores that were subject to finance land leases. The right-of-use assets associated with these leases are included in real estate assets above.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(2)Store acquisitions during the year ended December 31, 2020 include the acquisition of three stores that were subject to finance land leases. The right-of-use assets associated with these leases are included in real estate assets above.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Store Dispositions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December 16, 2021 the Company sold 16 stores that had been classified as held for sale for total cash consideration of $200,292. The Company recorded a gain of $73,854.</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2021 the Company sold 16 stores that had been classified as held for sale to a newly established unconsolidated joint venture. The Company received $132,759 and maintained a 55% interest in the new joint venture valued at $33,878. The Company recognized a gain of $63,477 related to the sale of these properties.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December 18, 2020, the Company sold four stores located in Florida that had been classified as held for sale for a total sale price of $46,592. The Company recorded a gain on the sale of $19,600.</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April 11, 2019, the Company sold a store located in New York that had been classified as held for sale for $11,272 in cash. The Company recorded a gain on the sale of $1,205.</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5.     INVESTMENTS IN UNCONSOLIDATED REAL ESTATE ENTITIES</w:t>
      </w:r>
    </w:p>
    <w:p>
      <w:pPr>
        <w:pStyle w:val="TextBody"/>
        <w:spacing w:lineRule="auto" w:line="256"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separately reports investments with net equity less than zero in Cash distributions in unconsolidated real estate ventures in the consolidated balance sheets. The net equity of certain joint ventures is less than zero because distributions have exceeded the Company's investment in and share of income from these joint ventures. This is generally the result of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financing distributions, capital events or operating distributions that are usually greater than net income, as net income includes non-cash charges for depreciation and amortization while distributions do not.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Net Investments in unconsolidated real estate entities and Cash distributions in unconsolidated real estate ventures consist of the following:</w:t>
      </w:r>
    </w:p>
    <w:tbl>
      <w:tblPr>
        <w:tblW w:w="10205" w:type="dxa"/>
        <w:jc w:val="left"/>
        <w:tblInd w:w="0" w:type="dxa"/>
        <w:tblCellMar>
          <w:top w:w="28" w:type="dxa"/>
          <w:left w:w="28" w:type="dxa"/>
          <w:bottom w:w="28" w:type="dxa"/>
          <w:right w:w="28" w:type="dxa"/>
        </w:tblCellMar>
      </w:tblPr>
      <w:tblGrid>
        <w:gridCol w:w="1353"/>
        <w:gridCol w:w="972"/>
        <w:gridCol w:w="975"/>
        <w:gridCol w:w="363"/>
        <w:gridCol w:w="363"/>
        <w:gridCol w:w="364"/>
        <w:gridCol w:w="109"/>
        <w:gridCol w:w="109"/>
        <w:gridCol w:w="109"/>
        <w:gridCol w:w="444"/>
        <w:gridCol w:w="444"/>
        <w:gridCol w:w="446"/>
        <w:gridCol w:w="109"/>
        <w:gridCol w:w="109"/>
        <w:gridCol w:w="109"/>
        <w:gridCol w:w="346"/>
        <w:gridCol w:w="346"/>
        <w:gridCol w:w="348"/>
        <w:gridCol w:w="109"/>
        <w:gridCol w:w="109"/>
        <w:gridCol w:w="109"/>
        <w:gridCol w:w="196"/>
        <w:gridCol w:w="736"/>
        <w:gridCol w:w="109"/>
        <w:gridCol w:w="109"/>
        <w:gridCol w:w="109"/>
        <w:gridCol w:w="109"/>
        <w:gridCol w:w="196"/>
        <w:gridCol w:w="736"/>
        <w:gridCol w:w="160"/>
      </w:tblGrid>
      <w:tr>
        <w:trPr/>
        <w:tc>
          <w:tcPr>
            <w:tcW w:w="135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Stores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 Ownership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Excess Profit % </w:t>
            </w:r>
            <w:r>
              <w:rPr>
                <w:rFonts w:ascii="Times New Roman;sans-serif" w:hAnsi="Times New Roman;sans-serif"/>
                <w:b/>
                <w:color w:val="000000"/>
                <w:sz w:val="12"/>
              </w:rPr>
              <w:t>(1)</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 EXR Self Storage, LLC </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WICNN JV LLC </w:t>
            </w:r>
            <w:r>
              <w:rPr>
                <w:rFonts w:ascii="Times New Roman;sans-serif" w:hAnsi="Times New Roman;sans-serif"/>
                <w:b w:val="false"/>
                <w:color w:val="000000"/>
                <w:sz w:val="12"/>
              </w:rPr>
              <w:t>(2)</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VRS Self Storage, LLC </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ESS-CA TIVS JV LP </w:t>
            </w:r>
            <w:r>
              <w:rPr>
                <w:rFonts w:ascii="Times New Roman;sans-serif" w:hAnsi="Times New Roman;sans-serif"/>
                <w:b w:val="false"/>
                <w:color w:val="000000"/>
                <w:sz w:val="13"/>
              </w:rPr>
              <w:t>(3)</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GFN JV, LLC </w:t>
            </w:r>
            <w:r>
              <w:rPr>
                <w:rFonts w:ascii="Times New Roman;sans-serif" w:hAnsi="Times New Roman;sans-serif"/>
                <w:b w:val="false"/>
                <w:color w:val="000000"/>
                <w:sz w:val="13"/>
              </w:rPr>
              <w:t>(2)</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ESS-NYFL JV LP</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PRISA Self Storage LLC </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Alan Jathoo JV LLC</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IV JV LLC</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Storage Portfolio III JV LLC</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ESS Bristol Investments LLC</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Extra Space Northern Properties Six LLC</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Storage Portfolio II JV LLC </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Storage Portfolio I LLC </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 II EXR JV LLC</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minority owned stores</w:t>
            </w:r>
          </w:p>
        </w:tc>
        <w:tc>
          <w:tcPr>
            <w:tcW w:w="10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SmartStop Self Storage REIT, Inc. Preferred Stock </w:t>
            </w:r>
            <w:r>
              <w:rPr>
                <w:rFonts w:ascii="Times New Roman;sans-serif" w:hAnsi="Times New Roman;sans-serif"/>
                <w:b w:val="false"/>
                <w:color w:val="000000"/>
                <w:sz w:val="12"/>
              </w:rPr>
              <w:t>(4)</w:t>
            </w:r>
          </w:p>
        </w:tc>
        <w:tc>
          <w:tcPr>
            <w:tcW w:w="10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Investments in and Cash distributions in unconsolidated real estate entities</w:t>
            </w:r>
          </w:p>
        </w:tc>
        <w:tc>
          <w:tcPr>
            <w:tcW w:w="10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350,318 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(1)Includes pro-rata equity ownership share and promoted interest.</w:t>
      </w:r>
    </w:p>
    <w:p>
      <w:pPr>
        <w:pStyle w:val="TextBody"/>
        <w:spacing w:lineRule="auto" w:line="288" w:before="24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 xml:space="preserve">(2)In June 2021, the WICNN JV LLC and GFN JV, LLC joint ventures sold all 17 of the stores owned by the joint ventures to a third party. Subsequent to the sales, these joint ventures were dissolved. As a result of these transactions, the Company recorded a gain of $5,739, which is included in Equity in earnings of unconsolidated real estate ventures - gain on sale of real estate assets and purchase of joint venture partner's interest in the Company's consolidated statements of operations. </w:t>
      </w:r>
    </w:p>
    <w:p>
      <w:pPr>
        <w:pStyle w:val="TextBody"/>
        <w:spacing w:lineRule="auto" w:line="288" w:before="24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 xml:space="preserve">(3)The Company sold 16 operating stores to this newly formed joint venture in March 2021. The Company received cash of $132,759 and an interest in the new joint venture valued at $33,556. This joint venture is unconsolidated and the Company accounts for its investment under the equity method of accounting as the Company does not have voting control but does exercise significant influence over the joint venture. </w:t>
      </w:r>
    </w:p>
    <w:p>
      <w:pPr>
        <w:pStyle w:val="TextBody"/>
        <w:spacing w:lineRule="auto" w:line="288" w:before="24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 xml:space="preserve">(4)The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consolidated statement of operations.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sold its interest in two unconsolidated joint ventures to its joint venture partner. The Company received proceeds of $1,888 in cash, and recorded a gain of $525 which is included in Equity in earnings of unconsolidated real estate ventures - gain on sale of real estate assets and purchase of joint venture partner's interest in the Company's condensed consolidated statements of operations. The Company also purchased its joint venture partners' interests in two unconsolidated joint ventures.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accordance with ASC 810, the Company reviews all of its joint venture relationships annually to ensure that there are no entities that require consolidation. As of December 31, 2021, there were no previously unconsolidated entities that were required to be consolidated as a result of this review.</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two new unconsolidated real estate ventures with a total of 45 stores and a total investment of $109,583 during the year ended December 31, 2021. The Company accounts for its investment in these ventures under the equity method of accounting.</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purchased its joint venture partners' interests in the Extra Space West One LLC and Extra Space West Two LLC joint ventures, which owned a total of 12 stores. The Company paid $172,505 of cash to acquire the equity interests, and subsequent to this acquisition, the Company owned 100.0% of the joint ventures and the related stores.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 consists of the following:</w:t>
      </w:r>
    </w:p>
    <w:tbl>
      <w:tblPr>
        <w:tblW w:w="9012" w:type="dxa"/>
        <w:jc w:val="left"/>
        <w:tblInd w:w="0" w:type="dxa"/>
        <w:tblCellMar>
          <w:top w:w="28" w:type="dxa"/>
          <w:left w:w="28" w:type="dxa"/>
          <w:bottom w:w="28" w:type="dxa"/>
          <w:right w:w="28" w:type="dxa"/>
        </w:tblCellMar>
      </w:tblPr>
      <w:tblGrid>
        <w:gridCol w:w="1879"/>
        <w:gridCol w:w="1653"/>
        <w:gridCol w:w="1658"/>
        <w:gridCol w:w="211"/>
        <w:gridCol w:w="721"/>
        <w:gridCol w:w="109"/>
        <w:gridCol w:w="109"/>
        <w:gridCol w:w="109"/>
        <w:gridCol w:w="109"/>
        <w:gridCol w:w="211"/>
        <w:gridCol w:w="721"/>
        <w:gridCol w:w="109"/>
        <w:gridCol w:w="109"/>
        <w:gridCol w:w="109"/>
        <w:gridCol w:w="109"/>
        <w:gridCol w:w="211"/>
        <w:gridCol w:w="721"/>
        <w:gridCol w:w="154"/>
      </w:tblGrid>
      <w:tr>
        <w:trPr/>
        <w:tc>
          <w:tcPr>
            <w:tcW w:w="187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 from SmartStop preferred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PRISA Self Storage LLC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Storage Portfolio II JV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Storage Portfolio I LLC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VRS Self Storage,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ESS-NYFL JV LLC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WICNN JV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Extra Space Northern Properties Six LLC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Alan Jathoo JV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Bristol Investments LLC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GFN JV,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PR EXR Self Storage, LLC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Storage Portfolio IV JV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ESS-CA TIVS JV LP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PR II EXR JV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other minority owned stores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of certain of our joint ventures includes the amortization of the Company’s excess purchase price of $24,721 of these equity investments over its original basis. The excess basis is amortized over forty years.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provides management services to joint ventures for a fee. Management fee revenues for affiliated real estate joint ventures for the years ended December 31, 2021, 2020 and 2019 were $17,619, $15,657 and $14,624,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before="360" w:after="283"/>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6.    INVESTMENTS IN DEBT SECURITIES AND NOTES RECEIVABLE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tbl>
      <w:tblPr>
        <w:tblW w:w="7585" w:type="dxa"/>
        <w:jc w:val="left"/>
        <w:tblInd w:w="0" w:type="dxa"/>
        <w:tblCellMar>
          <w:top w:w="28" w:type="dxa"/>
          <w:left w:w="28" w:type="dxa"/>
          <w:bottom w:w="28" w:type="dxa"/>
          <w:right w:w="28" w:type="dxa"/>
        </w:tblCellMar>
      </w:tblPr>
      <w:tblGrid>
        <w:gridCol w:w="1527"/>
        <w:gridCol w:w="1340"/>
        <w:gridCol w:w="1348"/>
        <w:gridCol w:w="276"/>
        <w:gridCol w:w="1081"/>
        <w:gridCol w:w="142"/>
        <w:gridCol w:w="109"/>
        <w:gridCol w:w="109"/>
        <w:gridCol w:w="109"/>
        <w:gridCol w:w="273"/>
        <w:gridCol w:w="1072"/>
        <w:gridCol w:w="199"/>
      </w:tblGrid>
      <w:tr>
        <w:trPr/>
        <w:tc>
          <w:tcPr>
            <w:tcW w:w="1527"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 NexPoint Series A Preferred Stock</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 NexPoint Series B Preferred Stock</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Receivable-Bridge Loans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279,042 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187,368 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Receivable-Senior Mezzanine Loan, net</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Receivable </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719,187 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593,810 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 invested $300,000 in the preferred stock of JCAP in connection with the acquisition of JCAP by affiliates of NexPoint Advisors, L.P. This investment consists of 200,000 Series A Preferred Shares valued at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isn't retired after five years, the preferred dividends increase annually.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July 2020, the Company purchased a senior mezzanine note receivable with a principal amount of $103,000. This note receivable bears interest at 5.5%, matures in December 2023 and is collateralized through an entity interest in which it or its subsidiaries wholly own 62 storage facilities. The Company paid cash of $101,142 for the note receivable and accounts for the discount at amortized cost. The discount is being amortized over the term of the note receivable. In February 2022, the Company sold this note receivable to a junior mezzanine lender, which exercised its right to buy the Company's position for the full principal balance plus interest due.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bridge loan financing to third-party self-storage operators. These notes receivable consist of primary mortgage and mezzanine loans receivable, collateralized by self-storage properties. These notes receivable typically have a term of three years with two one year extensions, and have variable interest rates. The Company intends to sell the majority of the mortgage receivables and keep the mezzanine receivables to maturity. During the year ended December 31, 2021, the Company sold a total principal amount of $172,566 of its mortgage bridge loans receivable to third parties for a total of $172,002 in cash and closed on $317,482 in new mortgage and mezzanine bridge loan. </w:t>
      </w:r>
    </w:p>
    <w:p>
      <w:pPr>
        <w:pStyle w:val="TextBody"/>
        <w:spacing w:before="24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Operating Partnership executed its initial public bond issuance by selling $450.0 million principal amount of 2.550% Senior Notes due 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31, 2031 for cash equal to the outstanding principal amount plus the present value of the remaining scheduled interest payments, plus any accrued but unpaid interest.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March 15, 2032 for cash equal to the outstanding principal amount plus the present value of the remaining scheduled interest payments, plus any accrued but unpaid interest.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Operating Partner may redeem the Notes Due 2031 and/or the Notes Due in 2032 in whole at any time or in part from time to time, at the Operating Partnership’s option and sole discretion, at a redemption price equal to the greater of (i) 100% of the principal amount of the notes being redeemed and (ii) a make-whole premium calculated in accordance with the indenture governing the notes, plus, in each case, accrued and unpaid interest thereon to, but not including, the applicable redemption date. Notwithstanding the foregoing, on or after the date three months prior to the maturity date of the applicable notes, the redemption price will be equal to 100% of the principal amount of the notes being redeemed, plus accrued and unpaid interest thereon to, but not including, the applicable redemption date.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events are considered events of default, which may result in the accelerated maturity of the Notes Due 2031 and/or the Notes Due 2032, including, among other things, a default for 30 days in the payment of any installment of interest under the notes or a default in the payment of the principal amount or redemption price due with respect to the notes, when the same become due and payable.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Notes Due 2031 and the Notes Due 2032 are unsecured, and are fully and unconditionally guaranteed by the Company, ESS Holdings Business Trust I, and ESS Holdings Business Trust II (the "Guarantors," and together with the Operating Partnership, the "Obligated Group"), on a joint and several basis. The guarantee of the Notes Due 2031 and the Notes Due 2032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term debt are summarized as follows:</w:t>
      </w:r>
    </w:p>
    <w:tbl>
      <w:tblPr>
        <w:tblW w:w="10205" w:type="dxa"/>
        <w:jc w:val="left"/>
        <w:tblInd w:w="0" w:type="dxa"/>
        <w:tblCellMar>
          <w:top w:w="28" w:type="dxa"/>
          <w:left w:w="28" w:type="dxa"/>
          <w:bottom w:w="28" w:type="dxa"/>
          <w:right w:w="28" w:type="dxa"/>
        </w:tblCellMar>
      </w:tblPr>
      <w:tblGrid>
        <w:gridCol w:w="822"/>
        <w:gridCol w:w="633"/>
        <w:gridCol w:w="591"/>
        <w:gridCol w:w="230"/>
        <w:gridCol w:w="1026"/>
        <w:gridCol w:w="128"/>
        <w:gridCol w:w="109"/>
        <w:gridCol w:w="109"/>
        <w:gridCol w:w="109"/>
        <w:gridCol w:w="230"/>
        <w:gridCol w:w="1026"/>
        <w:gridCol w:w="128"/>
        <w:gridCol w:w="109"/>
        <w:gridCol w:w="109"/>
        <w:gridCol w:w="109"/>
        <w:gridCol w:w="318"/>
        <w:gridCol w:w="299"/>
        <w:gridCol w:w="301"/>
        <w:gridCol w:w="109"/>
        <w:gridCol w:w="109"/>
        <w:gridCol w:w="109"/>
        <w:gridCol w:w="409"/>
        <w:gridCol w:w="409"/>
        <w:gridCol w:w="411"/>
        <w:gridCol w:w="109"/>
        <w:gridCol w:w="109"/>
        <w:gridCol w:w="109"/>
        <w:gridCol w:w="109"/>
        <w:gridCol w:w="109"/>
        <w:gridCol w:w="518"/>
        <w:gridCol w:w="492"/>
        <w:gridCol w:w="708"/>
      </w:tblGrid>
      <w:tr>
        <w:trPr/>
        <w:tc>
          <w:tcPr>
            <w:tcW w:w="82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20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 Debt</w:t>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Variable Rate</w:t>
            </w:r>
            <w:r>
              <w:rPr>
                <w:color w:val="000000"/>
              </w:rPr>
              <w:t xml:space="preserve"> </w:t>
            </w:r>
            <w:r>
              <w:rPr>
                <w:rFonts w:ascii="Times New Roman;sans-serif" w:hAnsi="Times New Roman;sans-serif"/>
                <w:b/>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Dates</w:t>
            </w:r>
          </w:p>
        </w:tc>
      </w:tr>
      <w:tr>
        <w:trPr/>
        <w:tc>
          <w:tcPr>
            <w:tcW w:w="20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Secured fixed-rate </w:t>
            </w:r>
            <w:r>
              <w:rPr>
                <w:rFonts w:ascii="Times New Roman;sans-serif" w:hAnsi="Times New Roman;sans-serif"/>
                <w:b w:val="false"/>
                <w:color w:val="000000"/>
                <w:sz w:val="12"/>
              </w:rPr>
              <w:t>(1)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930,830 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1,112,220 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2.46% - 4.23%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2022 - February 2030</w:t>
            </w:r>
          </w:p>
        </w:tc>
      </w:tr>
      <w:tr>
        <w:trPr/>
        <w:tc>
          <w:tcPr>
            <w:tcW w:w="2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Secured variable-rate </w:t>
            </w:r>
            <w:r>
              <w:rPr>
                <w:rFonts w:ascii="Times New Roman;sans-serif" w:hAnsi="Times New Roman;sans-serif"/>
                <w:b w:val="false"/>
                <w:color w:val="000000"/>
                <w:sz w:val="12"/>
              </w:rPr>
              <w:t>(1)</w:t>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392,679 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1,081,551 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1.10% - 2.45%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2022 - May 2027</w:t>
            </w:r>
          </w:p>
        </w:tc>
      </w:tr>
      <w:tr>
        <w:trPr/>
        <w:tc>
          <w:tcPr>
            <w:tcW w:w="2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fixed-rate</w:t>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3,575,000 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2,525,000 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 - 4.39%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2024 - March 2032</w:t>
            </w:r>
          </w:p>
        </w:tc>
      </w:tr>
      <w:tr>
        <w:trPr/>
        <w:tc>
          <w:tcPr>
            <w:tcW w:w="2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variable-rate</w:t>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2024 - October 2026</w:t>
            </w:r>
          </w:p>
        </w:tc>
      </w:tr>
      <w:tr>
        <w:trPr/>
        <w:tc>
          <w:tcPr>
            <w:tcW w:w="2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5,448,509 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4,818,771 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6"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8" w:type="dxa"/>
            <w:gridSpan w:val="3"/>
            <w:tcBorders/>
            <w:shd w:fill="auto" w:val="clear"/>
            <w:vAlign w:val="center"/>
          </w:tcPr>
          <w:p>
            <w:pPr>
              <w:pStyle w:val="TableContents"/>
              <w:spacing w:before="0" w:after="283"/>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(21,468)</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5,422,747 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4,797,303 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0" w:type="dxa"/>
            <w:gridSpan w:val="26"/>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loans are collateralized by mortgages on real estate assets and the assignment of rents.</w:t>
            </w:r>
          </w:p>
        </w:tc>
        <w:tc>
          <w:tcPr>
            <w:tcW w:w="2045" w:type="dxa"/>
            <w:gridSpan w:val="6"/>
            <w:tcBorders/>
            <w:shd w:fill="auto" w:val="clear"/>
          </w:tcPr>
          <w:p>
            <w:pPr>
              <w:pStyle w:val="TableContents"/>
              <w:spacing w:before="0" w:after="283"/>
              <w:rPr>
                <w:sz w:val="4"/>
                <w:szCs w:val="4"/>
              </w:rPr>
            </w:pPr>
            <w:r>
              <w:rPr>
                <w:sz w:val="4"/>
                <w:szCs w:val="4"/>
              </w:rPr>
            </w:r>
          </w:p>
        </w:tc>
      </w:tr>
      <w:tr>
        <w:trPr/>
        <w:tc>
          <w:tcPr>
            <w:tcW w:w="20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Basis rate is 30-day USD LIBOR</w:t>
            </w:r>
          </w:p>
        </w:tc>
        <w:tc>
          <w:tcPr>
            <w:tcW w:w="1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60"/>
        <w:rPr/>
      </w:pPr>
      <w:r>
        <w:rPr/>
      </w:r>
    </w:p>
    <w:p>
      <w:pPr>
        <w:pStyle w:val="TextBody"/>
        <w:spacing w:lineRule="auto" w:line="276"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the terms of the Second Amended and Restated Credit Agreement dated June 22, 2021 (the "Credit Agreement") are as follows: </w:t>
      </w:r>
    </w:p>
    <w:tbl>
      <w:tblPr>
        <w:tblW w:w="6028" w:type="dxa"/>
        <w:jc w:val="left"/>
        <w:tblInd w:w="0" w:type="dxa"/>
        <w:tblCellMar>
          <w:top w:w="28" w:type="dxa"/>
          <w:left w:w="28" w:type="dxa"/>
          <w:bottom w:w="28" w:type="dxa"/>
          <w:right w:w="28" w:type="dxa"/>
        </w:tblCellMar>
      </w:tblPr>
      <w:tblGrid>
        <w:gridCol w:w="994"/>
        <w:gridCol w:w="872"/>
        <w:gridCol w:w="878"/>
        <w:gridCol w:w="109"/>
        <w:gridCol w:w="109"/>
        <w:gridCol w:w="109"/>
        <w:gridCol w:w="211"/>
        <w:gridCol w:w="976"/>
        <w:gridCol w:w="109"/>
        <w:gridCol w:w="109"/>
        <w:gridCol w:w="109"/>
        <w:gridCol w:w="109"/>
        <w:gridCol w:w="390"/>
        <w:gridCol w:w="390"/>
        <w:gridCol w:w="554"/>
      </w:tblGrid>
      <w:tr>
        <w:trPr/>
        <w:tc>
          <w:tcPr>
            <w:tcW w:w="99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Capacity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1 Term Loan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2027</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2 Term Loan Facility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3 Term Loan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4 Term Loan Facility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2026</w:t>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5 Term Loan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r>
      <w:tr>
        <w:trPr/>
        <w:tc>
          <w:tcPr>
            <w:tcW w:w="2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 The term loan amounts have been fully drawn as of December 31, 2021.</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Credit Agreement, the Company may request an extension of the term of the revolving credit facility for up to two additional periods of six months each, after satisfying certain conditions.</w:t>
      </w:r>
    </w:p>
    <w:p>
      <w:pPr>
        <w:pStyle w:val="TextBody"/>
        <w:spacing w:before="0" w:after="0"/>
        <w:ind w:left="0" w:right="0" w:firstLine="450"/>
        <w:rPr/>
      </w:pPr>
      <w:r>
        <w:rPr/>
      </w:r>
    </w:p>
    <w:p>
      <w:pPr>
        <w:pStyle w:val="TextBody"/>
        <w:spacing w:lineRule="auto" w:line="276"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2021, amounts outstanding under the revolving credit facility bore interest at floating rates, at the Company’s option, equal to either (i) LIBOR plus the applicable Eurodollar rate margin or (ii) the applicable base rate which is the applicable margin plus the highest of (a) 0.0%, (b) the federal funds rate plus 0.50%, (c) U.S. Bank’s prime rate or (d) the Eurodollar rate plus 1.00%. Per the Credit Agreement, the applicable Eurodollar rate margin and applicable base rate margin are based on the Company’s achieved debt rating, with the Eurodollar rate margin ranging from 0.7% to 2.25% per annum and the applicable base rate margin ranging from 0.00% to 0.60% per annum.</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Credit Agreement is guaranteed by the Company and is not secured by any assets of the Company. The Company's unsecured debt is subject to certain financial covenants. As of December 31, 2021, the Company was in compliance with all of its financial covenants.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maturities of term debt, excluding available extensions, at December 31, 2021:</w:t>
      </w:r>
    </w:p>
    <w:tbl>
      <w:tblPr>
        <w:tblW w:w="2287" w:type="dxa"/>
        <w:jc w:val="left"/>
        <w:tblInd w:w="0" w:type="dxa"/>
        <w:tblCellMar>
          <w:top w:w="28" w:type="dxa"/>
          <w:left w:w="28" w:type="dxa"/>
          <w:bottom w:w="28" w:type="dxa"/>
          <w:right w:w="28" w:type="dxa"/>
        </w:tblCellMar>
      </w:tblPr>
      <w:tblGrid>
        <w:gridCol w:w="342"/>
        <w:gridCol w:w="300"/>
        <w:gridCol w:w="304"/>
        <w:gridCol w:w="211"/>
        <w:gridCol w:w="97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447,266 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2,904,632 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of the Company’s lines of credit are guaranteed by the Company. The following table presents information on the Company’s lines of credit, the proceeds of which are used to repay debt and for general corporate purposes, for the periods indicated:</w:t>
      </w:r>
    </w:p>
    <w:tbl>
      <w:tblPr>
        <w:tblW w:w="10205" w:type="dxa"/>
        <w:jc w:val="right"/>
        <w:tblInd w:w="0" w:type="dxa"/>
        <w:tblCellMar>
          <w:top w:w="28" w:type="dxa"/>
          <w:left w:w="28" w:type="dxa"/>
          <w:bottom w:w="28" w:type="dxa"/>
          <w:right w:w="28" w:type="dxa"/>
        </w:tblCellMar>
      </w:tblPr>
      <w:tblGrid>
        <w:gridCol w:w="795"/>
        <w:gridCol w:w="697"/>
        <w:gridCol w:w="702"/>
        <w:gridCol w:w="260"/>
        <w:gridCol w:w="1022"/>
        <w:gridCol w:w="134"/>
        <w:gridCol w:w="109"/>
        <w:gridCol w:w="109"/>
        <w:gridCol w:w="109"/>
        <w:gridCol w:w="211"/>
        <w:gridCol w:w="976"/>
        <w:gridCol w:w="109"/>
        <w:gridCol w:w="109"/>
        <w:gridCol w:w="109"/>
        <w:gridCol w:w="109"/>
        <w:gridCol w:w="397"/>
        <w:gridCol w:w="397"/>
        <w:gridCol w:w="399"/>
        <w:gridCol w:w="109"/>
        <w:gridCol w:w="109"/>
        <w:gridCol w:w="109"/>
        <w:gridCol w:w="109"/>
        <w:gridCol w:w="109"/>
        <w:gridCol w:w="316"/>
        <w:gridCol w:w="316"/>
        <w:gridCol w:w="318"/>
        <w:gridCol w:w="109"/>
        <w:gridCol w:w="109"/>
        <w:gridCol w:w="109"/>
        <w:gridCol w:w="482"/>
        <w:gridCol w:w="472"/>
        <w:gridCol w:w="676"/>
      </w:tblGrid>
      <w:tr>
        <w:trPr/>
        <w:tc>
          <w:tcPr>
            <w:tcW w:w="79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2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Revolving Lines of Credit</w:t>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Drawn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Capacity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Interest Rate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Basis Rate </w:t>
            </w:r>
            <w:r>
              <w:rPr>
                <w:rFonts w:ascii="Times New Roman;sans-serif" w:hAnsi="Times New Roman;sans-serif"/>
                <w:b/>
                <w:color w:val="000000"/>
                <w:sz w:val="13"/>
              </w:rPr>
              <w:t>(1)</w:t>
            </w:r>
          </w:p>
        </w:tc>
      </w:tr>
      <w:tr>
        <w:trPr/>
        <w:tc>
          <w:tcPr>
            <w:tcW w:w="21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Credit Line 1 </w:t>
            </w:r>
            <w:r>
              <w:rPr>
                <w:rFonts w:ascii="Times New Roman;sans-serif" w:hAnsi="Times New Roman;sans-serif"/>
                <w:b w:val="false"/>
                <w:color w:val="000000"/>
                <w:sz w:val="13"/>
              </w:rPr>
              <w:t>(2)</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LIBOR plus 1.45%</w:t>
            </w:r>
          </w:p>
        </w:tc>
      </w:tr>
      <w:tr>
        <w:trPr/>
        <w:tc>
          <w:tcPr>
            <w:tcW w:w="21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Credit Line 2 </w:t>
            </w:r>
            <w:r>
              <w:rPr>
                <w:rFonts w:ascii="Times New Roman;sans-serif" w:hAnsi="Times New Roman;sans-serif"/>
                <w:b w:val="false"/>
                <w:color w:val="000000"/>
                <w:sz w:val="13"/>
              </w:rPr>
              <w:t>(3)(4)</w:t>
            </w:r>
          </w:p>
        </w:tc>
        <w:tc>
          <w:tcPr>
            <w:tcW w:w="12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480,000 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6/20/2025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LIBOR plus 0.85%</w:t>
            </w:r>
          </w:p>
        </w:tc>
      </w:tr>
      <w:tr>
        <w:trPr/>
        <w:tc>
          <w:tcPr>
            <w:tcW w:w="2194"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0" w:type="dxa"/>
            <w:gridSpan w:val="3"/>
            <w:tcBorders/>
            <w:shd w:fill="auto" w:val="clear"/>
            <w:vAlign w:val="center"/>
          </w:tcPr>
          <w:p>
            <w:pPr>
              <w:pStyle w:val="TableContents"/>
              <w:spacing w:before="0" w:after="283"/>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8" w:type="dxa"/>
            <w:gridSpan w:val="2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30-day USD LIBOR</w:t>
            </w:r>
          </w:p>
        </w:tc>
        <w:tc>
          <w:tcPr>
            <w:tcW w:w="1957" w:type="dxa"/>
            <w:gridSpan w:val="6"/>
            <w:tcBorders/>
            <w:shd w:fill="auto" w:val="clear"/>
          </w:tcPr>
          <w:p>
            <w:pPr>
              <w:pStyle w:val="TableContents"/>
              <w:spacing w:before="0" w:after="283"/>
              <w:rPr>
                <w:sz w:val="4"/>
                <w:szCs w:val="4"/>
              </w:rPr>
            </w:pPr>
            <w:r>
              <w:rPr>
                <w:sz w:val="4"/>
                <w:szCs w:val="4"/>
              </w:rPr>
            </w:r>
          </w:p>
        </w:tc>
      </w:tr>
      <w:tr>
        <w:trPr/>
        <w:tc>
          <w:tcPr>
            <w:tcW w:w="8248" w:type="dxa"/>
            <w:gridSpan w:val="2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Secured by mortgages on certain real estate assets. One two-year extension available.</w:t>
            </w:r>
          </w:p>
        </w:tc>
        <w:tc>
          <w:tcPr>
            <w:tcW w:w="1957" w:type="dxa"/>
            <w:gridSpan w:val="6"/>
            <w:tcBorders/>
            <w:shd w:fill="auto" w:val="clear"/>
          </w:tcPr>
          <w:p>
            <w:pPr>
              <w:pStyle w:val="TableContents"/>
              <w:spacing w:before="0" w:after="283"/>
              <w:rPr>
                <w:sz w:val="4"/>
                <w:szCs w:val="4"/>
              </w:rPr>
            </w:pPr>
            <w:r>
              <w:rPr>
                <w:sz w:val="4"/>
                <w:szCs w:val="4"/>
              </w:rPr>
            </w:r>
          </w:p>
        </w:tc>
      </w:tr>
      <w:tr>
        <w:trPr/>
        <w:tc>
          <w:tcPr>
            <w:tcW w:w="8248" w:type="dxa"/>
            <w:gridSpan w:val="2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Unsecured. Two six-month extensions available.</w:t>
            </w:r>
          </w:p>
        </w:tc>
        <w:tc>
          <w:tcPr>
            <w:tcW w:w="1957" w:type="dxa"/>
            <w:gridSpan w:val="6"/>
            <w:tcBorders/>
            <w:shd w:fill="auto" w:val="clear"/>
          </w:tcPr>
          <w:p>
            <w:pPr>
              <w:pStyle w:val="TableContents"/>
              <w:spacing w:before="0" w:after="283"/>
              <w:rPr>
                <w:sz w:val="4"/>
                <w:szCs w:val="4"/>
              </w:rPr>
            </w:pPr>
            <w:r>
              <w:rPr>
                <w:sz w:val="4"/>
                <w:szCs w:val="4"/>
              </w:rPr>
            </w:r>
          </w:p>
        </w:tc>
      </w:tr>
      <w:tr>
        <w:trPr/>
        <w:tc>
          <w:tcPr>
            <w:tcW w:w="8248" w:type="dxa"/>
            <w:gridSpan w:val="2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 Basis Rate as of December 31, 2021. Rate is subject to change based on our investment grade rating. </w:t>
            </w:r>
          </w:p>
        </w:tc>
        <w:tc>
          <w:tcPr>
            <w:tcW w:w="1957" w:type="dxa"/>
            <w:gridSpan w:val="6"/>
            <w:tcBorders/>
            <w:shd w:fill="auto" w:val="clear"/>
          </w:tcPr>
          <w:p>
            <w:pPr>
              <w:pStyle w:val="TableContents"/>
              <w:spacing w:before="0" w:after="283"/>
              <w:rPr>
                <w:sz w:val="4"/>
                <w:szCs w:val="4"/>
              </w:rPr>
            </w:pPr>
            <w:r>
              <w:rPr>
                <w:sz w:val="4"/>
                <w:szCs w:val="4"/>
              </w:rPr>
            </w:r>
          </w:p>
        </w:tc>
      </w:tr>
      <w:tr>
        <w:trPr/>
        <w:tc>
          <w:tcPr>
            <w:tcW w:w="2194" w:type="dxa"/>
            <w:gridSpan w:val="3"/>
            <w:tcBorders/>
            <w:shd w:fill="auto" w:val="clear"/>
            <w:vAlign w:val="center"/>
          </w:tcPr>
          <w:p>
            <w:pPr>
              <w:pStyle w:val="TableContents"/>
              <w:spacing w:before="0" w:after="283"/>
              <w:rPr>
                <w:sz w:val="4"/>
                <w:szCs w:val="4"/>
              </w:rPr>
            </w:pPr>
            <w:r>
              <w:rPr>
                <w:sz w:val="4"/>
                <w:szCs w:val="4"/>
              </w:rPr>
            </w:r>
          </w:p>
        </w:tc>
        <w:tc>
          <w:tcPr>
            <w:tcW w:w="8011" w:type="dxa"/>
            <w:gridSpan w:val="29"/>
            <w:tcBorders/>
            <w:shd w:fill="auto" w:val="clea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8.     DERIVATIVES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Cash Flow Hedges of Interest Rate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years ended December 31, 2021, 2020 and 2019,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such derivatives were used to hedge the variable cash flows associated with existing variable-rate debt. During 2022, the Company estimates that $28,070 will be reclassified as an increase to interest expense.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the Company’s 20 derivative financial instruments, which have a total combined notional amount of $1,982,632 as of December 31, 2021:</w:t>
      </w:r>
    </w:p>
    <w:p>
      <w:pPr>
        <w:pStyle w:val="TextBody"/>
        <w:spacing w:lineRule="auto" w:line="288" w:before="0" w:after="0"/>
        <w:rPr>
          <w:color w:val="000000"/>
        </w:rPr>
      </w:pPr>
      <w:r>
        <w:rPr>
          <w:color w:val="000000"/>
        </w:rPr>
        <w:t> </w:t>
      </w:r>
    </w:p>
    <w:tbl>
      <w:tblPr>
        <w:tblW w:w="9527" w:type="dxa"/>
        <w:jc w:val="left"/>
        <w:tblInd w:w="0" w:type="dxa"/>
        <w:tblCellMar>
          <w:top w:w="28" w:type="dxa"/>
          <w:left w:w="28" w:type="dxa"/>
          <w:bottom w:w="28" w:type="dxa"/>
          <w:right w:w="28" w:type="dxa"/>
        </w:tblCellMar>
      </w:tblPr>
      <w:tblGrid>
        <w:gridCol w:w="515"/>
        <w:gridCol w:w="453"/>
        <w:gridCol w:w="457"/>
        <w:gridCol w:w="109"/>
        <w:gridCol w:w="109"/>
        <w:gridCol w:w="109"/>
        <w:gridCol w:w="754"/>
        <w:gridCol w:w="754"/>
        <w:gridCol w:w="757"/>
        <w:gridCol w:w="109"/>
        <w:gridCol w:w="109"/>
        <w:gridCol w:w="109"/>
        <w:gridCol w:w="394"/>
        <w:gridCol w:w="394"/>
        <w:gridCol w:w="396"/>
        <w:gridCol w:w="109"/>
        <w:gridCol w:w="109"/>
        <w:gridCol w:w="109"/>
        <w:gridCol w:w="534"/>
        <w:gridCol w:w="534"/>
        <w:gridCol w:w="537"/>
        <w:gridCol w:w="109"/>
        <w:gridCol w:w="109"/>
        <w:gridCol w:w="109"/>
        <w:gridCol w:w="509"/>
        <w:gridCol w:w="509"/>
        <w:gridCol w:w="722"/>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Hedge Product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 of Notional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Strike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Dates</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Swap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$32,847 - $231,972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1.07% - 2.67%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7/8/2015 - 3/30/2020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3/31/2022 - 6/29/2026</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Fair Values of Derivative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 of the Company’s derivative financial instruments as well as their classification on the consolidated balance sheets:</w:t>
      </w:r>
    </w:p>
    <w:tbl>
      <w:tblPr>
        <w:tblW w:w="7211" w:type="dxa"/>
        <w:jc w:val="left"/>
        <w:tblInd w:w="0" w:type="dxa"/>
        <w:tblCellMar>
          <w:top w:w="28" w:type="dxa"/>
          <w:left w:w="28" w:type="dxa"/>
          <w:bottom w:w="28" w:type="dxa"/>
          <w:right w:w="28" w:type="dxa"/>
        </w:tblCellMar>
      </w:tblPr>
      <w:tblGrid>
        <w:gridCol w:w="1359"/>
        <w:gridCol w:w="1192"/>
        <w:gridCol w:w="1199"/>
        <w:gridCol w:w="318"/>
        <w:gridCol w:w="1050"/>
        <w:gridCol w:w="177"/>
        <w:gridCol w:w="109"/>
        <w:gridCol w:w="109"/>
        <w:gridCol w:w="109"/>
        <w:gridCol w:w="313"/>
        <w:gridCol w:w="1031"/>
        <w:gridCol w:w="245"/>
      </w:tblGrid>
      <w:tr>
        <w:trPr/>
        <w:tc>
          <w:tcPr>
            <w:tcW w:w="135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 Liability Derivatives</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1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39,569 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98,325 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Effect of Derivative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effect of the Company’s derivative financial instruments on the consolidated statements of operations for the periods presented. No tax effect has been presented as the derivative instruments are held by the Company:</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83"/>
        <w:gridCol w:w="335"/>
        <w:gridCol w:w="341"/>
        <w:gridCol w:w="109"/>
        <w:gridCol w:w="109"/>
        <w:gridCol w:w="109"/>
        <w:gridCol w:w="232"/>
        <w:gridCol w:w="767"/>
        <w:gridCol w:w="129"/>
        <w:gridCol w:w="129"/>
        <w:gridCol w:w="129"/>
        <w:gridCol w:w="129"/>
        <w:gridCol w:w="232"/>
        <w:gridCol w:w="915"/>
        <w:gridCol w:w="129"/>
        <w:gridCol w:w="109"/>
        <w:gridCol w:w="109"/>
        <w:gridCol w:w="109"/>
        <w:gridCol w:w="501"/>
        <w:gridCol w:w="501"/>
        <w:gridCol w:w="503"/>
        <w:gridCol w:w="109"/>
        <w:gridCol w:w="109"/>
        <w:gridCol w:w="109"/>
        <w:gridCol w:w="209"/>
        <w:gridCol w:w="722"/>
        <w:gridCol w:w="116"/>
        <w:gridCol w:w="116"/>
        <w:gridCol w:w="116"/>
        <w:gridCol w:w="116"/>
        <w:gridCol w:w="209"/>
        <w:gridCol w:w="722"/>
        <w:gridCol w:w="116"/>
        <w:gridCol w:w="116"/>
        <w:gridCol w:w="116"/>
        <w:gridCol w:w="116"/>
        <w:gridCol w:w="209"/>
        <w:gridCol w:w="690"/>
        <w:gridCol w:w="180"/>
      </w:tblGrid>
      <w:tr>
        <w:trPr/>
        <w:tc>
          <w:tcPr>
            <w:tcW w:w="38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recognized in OCI For the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amounts reclassified from OCI into income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reclassified from OCI For the Year Ended December 31,</w:t>
            </w:r>
          </w:p>
        </w:tc>
      </w:tr>
      <w:tr>
        <w:trPr/>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(100,352)</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Credit-Risk-Related Contingent Features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fair value of derivatives in a net liability position, which includes accrued interest but excludes any adjustment for nonperformance risk, related to these agreements was $41,331. As of December 31, 2021, the Company had not posted any collateral related to these agreements. If the Company had breached any of these provisions as of December 31, 2021, it could have been required to cash settle its obligations under these agreements at their termination value of $41,331.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9.     NOTES PAYABLE TO TRUSTS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had three wholly-owned unconsolidated subsidiaries (“Trust", “Trust II”, “Trust III,” together, the "Trusts") that had issued trust preferred securities to third parties and common securities to the Operating Partnership during 2005. The Trusts loaned proceeds from the sale of the preferred and common securities to the Operating Partnership in the form of notes. The Trusts were VIEs because the holders of the equity investment at risk (that is the Trusts' preferred securities) did not have the power to direct the activities of the entities that most significantly affected the entities’ economic performance due to their lack of voting or similar rights. Because the Operating Partnership’s investment in the Trusts’ common securities was financed directly by the Trusts as a result of its loan of the proceeds to the Operating Partnership, that investment was not considered an equity investment at risk. The Operating Partnership’s investment in the Trusts was not a variable interest because equity interests are variable interests only to the extent that the investment is considered to be at risk, and therefore the Operating Partnership was not the primary beneficiary of the Trusts. Since the Company was not the primary beneficiary of the Trusts, they were not consolidated. A debt obligation was recorded in the form of notes for the proceeds as discussed above, which were owed to the Trusts. The Company had also included its investment in the Trusts’ common securities in other assets on the Company's consolidated balance sheets.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2018, the Company repaid a total principal amount of $88,662 of the notes payable to Trusts, representing all of the notes payable to Trust III, all of the notes payable to Trust II, and all but $30,928 of the notes payable to Trust. The Trusts used the proceeds from these repayments to redeem their preferred and common securities. In January 2019, the Company repaid the remaining balance of $30,928 of notes payable to Trust.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time the notes were outstanding, the Company did not provide financing or other support during the periods presented to the Trusts that it was not previously contractually obligated to provide. The Company’s maximum exposure to loss as a result of its involvement with the Trusts was equal to the total amount of the notes discussed above less the amounts of the Company’s investments in the Trusts’ common securities. The net amount was equal to the notes payable that the Trusts owed to third parties for their investments in the Trusts’ preferred securities.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10.     EXCHANGEABLE SENIOR NOTES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2015, the Operating Partnership issued $575,000 of its 3.125% Exchangeable Senior Notes due 2035. Costs incurred to issue the 2015 Notes were approximately $11,992, consisting primarily of a 2.0% underwriting fee. These costs were amortized as an adjustment to interest expense over five years, which represented the estimated term based on the first available redemption date, and were included in exchangeable senior notes, net, in the consolidated balance sheets. The 2015 Notes were general unsecured senior obligations of the Operating Partnership and were fully guaranteed by the Company. Interest was payable on April 1 and October 1 of each year. The Notes bore interest at 3.125% per annum and contained an exchange settlement feature, which provided that the 2015 Notes could, under certain circumstances, be exchangeable for cash (for the principal amount of the 2015 Notes) and, with respect to any excess exchange value, for cash, shares of the Company’s common stock, or a combination of cash and shares of the Company’s common stock, at the Company’s option.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could redeem the 2015 Notes at any time to preserve the Company’s status as a REIT. In addition, on or after October 5, 2020, the Operating Partnership could redeem the 2015 Notes for cash, in whole or in part, at 100% of the principal amount plus accrued and unpaid interest, upon at least 30 days but not more than 60 days prior written notice to the holders of the 2015 Notes. The holders of the 2015 Notes had the right to require the Operating Partnership to repurchase the 2015 Notes for cash, in whole or in part, on October 1 of the years 2020, 2025 and 2030, (unless the Operating Partnership had called the 2015 Notes for redemption), and upon the occurrence of certain designated events, in each case for a repurchase price equal to 100% of the principal amount of the 2015 Notes plus accrued and unpaid interest. Additionally, the 2015 Notes could have been exchanged during any calendar quarter, if the last reported sale price of the common stock of the Company was greater than or equal to 130% of the exchange price for at least 20 trading days during a period of 30 consecutive trading days ending on the last trading day of the immediately preceding calendar quarter. The Company redeemed all outstanding 2015 Notes on November 2, 2020.</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accounted for the liability and equity component of the 2015 Notes separately. The equity components were included in paid-in capital in stockholders’ equity in the consolidated balance sheets, and the value of the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equity components were treated as original issue discount for purposes of accounting for the debt components. The discount was amortized as interest expense over the remaining period of the debt through its first redemption date, October 1, 2020 for the 2015 Notes. The effective interest rate on the liability components of the 2015 Notes was 4.0%, which approximates the market rate of interest of similar debt without exchange features (i.e. nonconvertible debt) at the time of issuance.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amount of interest cost recognized relating to the contractual interest rate and the amortization of the discount on the liability component for the Notes were as follows for the periods indicated:</w:t>
      </w:r>
    </w:p>
    <w:tbl>
      <w:tblPr>
        <w:tblW w:w="6357" w:type="dxa"/>
        <w:jc w:val="left"/>
        <w:tblInd w:w="0" w:type="dxa"/>
        <w:tblCellMar>
          <w:top w:w="28" w:type="dxa"/>
          <w:left w:w="28" w:type="dxa"/>
          <w:bottom w:w="28" w:type="dxa"/>
          <w:right w:w="28" w:type="dxa"/>
        </w:tblCellMar>
      </w:tblPr>
      <w:tblGrid>
        <w:gridCol w:w="1031"/>
        <w:gridCol w:w="907"/>
        <w:gridCol w:w="912"/>
        <w:gridCol w:w="211"/>
        <w:gridCol w:w="406"/>
        <w:gridCol w:w="109"/>
        <w:gridCol w:w="109"/>
        <w:gridCol w:w="109"/>
        <w:gridCol w:w="109"/>
        <w:gridCol w:w="211"/>
        <w:gridCol w:w="721"/>
        <w:gridCol w:w="109"/>
        <w:gridCol w:w="109"/>
        <w:gridCol w:w="109"/>
        <w:gridCol w:w="109"/>
        <w:gridCol w:w="211"/>
        <w:gridCol w:w="721"/>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recognized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360" w:after="283"/>
        <w:ind w:left="0" w:right="0" w:firstLine="495"/>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Repurchase of 2015 Notes</w:t>
      </w:r>
    </w:p>
    <w:p>
      <w:pPr>
        <w:pStyle w:val="TextBody"/>
        <w:spacing w:before="0" w:after="0"/>
        <w:ind w:left="0" w:right="0" w:firstLine="72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October 1, 2020, the holders of $71,513 principal amount of the 2015 Notes exchanged their Notes. The Company paid cash of $71,513 for the principal amount and issued 124,819 shares of common stock with a value of $13,495 for the exchange value in excess of the principal amount. On November 2, 2020, the holders of an additional $503,432 principal amount of the 2015 Notes exchanged their Notes. The Company paid cash of $503,487 for the principal amount and issued 1,198,962 shares of common stock with a value of $138,900 for the exchange value in excess of the principal amount. Also on November 2, 2020, the Company redeemed the remaining $55 of outstanding principal amount of the 2015 Notes for cash.</w:t>
      </w:r>
    </w:p>
    <w:p>
      <w:pPr>
        <w:pStyle w:val="TextBody"/>
        <w:spacing w:before="0" w:after="0"/>
        <w:ind w:left="0" w:right="0" w:firstLine="495"/>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allocated the value of the consideration paid to repurchase the 2013 Notes and the 2015 Notes (1) to the extinguishment of the liability component and (2) to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2013 Notes and 2015 Notes and recognized as a reduction of stockholders’ equity.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about the repurchases is as follows:</w:t>
      </w:r>
    </w:p>
    <w:tbl>
      <w:tblPr>
        <w:tblW w:w="6717" w:type="dxa"/>
        <w:jc w:val="left"/>
        <w:tblInd w:w="0" w:type="dxa"/>
        <w:tblCellMar>
          <w:top w:w="28" w:type="dxa"/>
          <w:left w:w="28" w:type="dxa"/>
          <w:bottom w:w="28" w:type="dxa"/>
          <w:right w:w="28" w:type="dxa"/>
        </w:tblCellMar>
      </w:tblPr>
      <w:tblGrid>
        <w:gridCol w:w="1239"/>
        <w:gridCol w:w="1089"/>
        <w:gridCol w:w="1092"/>
        <w:gridCol w:w="211"/>
        <w:gridCol w:w="406"/>
        <w:gridCol w:w="109"/>
        <w:gridCol w:w="109"/>
        <w:gridCol w:w="109"/>
        <w:gridCol w:w="109"/>
        <w:gridCol w:w="211"/>
        <w:gridCol w:w="826"/>
        <w:gridCol w:w="109"/>
        <w:gridCol w:w="109"/>
        <w:gridCol w:w="109"/>
        <w:gridCol w:w="109"/>
        <w:gridCol w:w="211"/>
        <w:gridCol w:w="406"/>
        <w:gridCol w:w="154"/>
      </w:tblGrid>
      <w:tr>
        <w:trPr/>
        <w:tc>
          <w:tcPr>
            <w:tcW w:w="1239"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repurchased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allocated to:</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Extinguishment of liability component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Reacquisition of equity component</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paid for repurchase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repurchased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liability component</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on exchangeable senior notes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debt issuance costs </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repurchase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11.     STOCKHOLDERS’ EQUITY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charter provides that it can issue up to 500,000,000 shares of common stock, $0.01 par value per share and 50,000,000 shares of preferred stock, $0.01 par value per share. As of December 31, 2021, 133,922,305 shares of common stock were issued and outstanding, and no shares of preferred stock were issued or outstanding.</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holders of the Company's common stock are entitled to receive dividends and to one vote on all matters submitted to a vote of stockholders. The transfer agent and registrar for the Company’s common stock is American Stock Transfer &amp; Trust Company.</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at an average sales price of $115.90 per share resulting in net proceeds of $66,617.</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March 23, 2021, the Company sold 1,600,000 shares of its common stock in a registered offering structured as a bought deal at a price of $129.13 per share resulting in net proceeds of $206,572.</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the Company sold 899,048 shares of common stock at an average sales price of $116.42 per share, resulting in net proceeds of $103,468.</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2017, the Company's board of directors authorized a three-year share repurchase program to allow for the repurchase of shares with an aggregate value up to $400,000. During the year ended December 31, 2020, the Company repurchased 826,797 shares at an average price of $82.09 per share, paying a total of $67,873. On October 15, 2020, the Company's board of directors authorized a new share repurchase program allowing for the repurchase of shares with an aggregate value up to $400,000. No shares were repurchased during the year ended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12.     NONCONTROLLING INTEREST REPRESENTED BY PREFERRED OPERATING PARTNERSHIP UNITS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Classification of Noncontrolling Interests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the noncontrolling interests represented by the Preferred OP Units qualified for classification as permanent equity on the Company's consolidated balance sheets. The partnership agreement of the Operating Partnership (as amended, the "Partnership Agreement") provides for the designation and issuance of the OP Units. As of December 31, 2021 and 2020, noncontrolling interests in Preferred OP Units were presented net of notes receivable from Preferred Operating Partnership unit holders of $100,000 as of December 31, 2021 and 2020, respectively, as more fully described below. The balances for each of the specific preferred OP units as presented in the Statement of Noncontrolling Interests and Equity as of the periods indicated is as follows: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tbl>
      <w:tblPr>
        <w:tblW w:w="4629" w:type="dxa"/>
        <w:jc w:val="left"/>
        <w:tblInd w:w="0" w:type="dxa"/>
        <w:tblCellMar>
          <w:top w:w="28" w:type="dxa"/>
          <w:left w:w="28" w:type="dxa"/>
          <w:bottom w:w="28" w:type="dxa"/>
          <w:right w:w="28" w:type="dxa"/>
        </w:tblCellMar>
      </w:tblPr>
      <w:tblGrid>
        <w:gridCol w:w="455"/>
        <w:gridCol w:w="400"/>
        <w:gridCol w:w="404"/>
        <w:gridCol w:w="276"/>
        <w:gridCol w:w="1081"/>
        <w:gridCol w:w="142"/>
        <w:gridCol w:w="109"/>
        <w:gridCol w:w="109"/>
        <w:gridCol w:w="109"/>
        <w:gridCol w:w="273"/>
        <w:gridCol w:w="1072"/>
        <w:gridCol w:w="199"/>
      </w:tblGrid>
      <w:tr>
        <w:trPr/>
        <w:tc>
          <w:tcPr>
            <w:tcW w:w="45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Units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Units</w:t>
            </w:r>
          </w:p>
        </w:tc>
        <w:tc>
          <w:tcPr>
            <w:tcW w:w="13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40,902 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Units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205,436 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259,110 </w:t>
            </w:r>
          </w:p>
        </w:tc>
        <w:tc>
          <w:tcPr>
            <w:tcW w:w="1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172,052 </w:t>
            </w:r>
          </w:p>
        </w:tc>
        <w:tc>
          <w:tcPr>
            <w:tcW w:w="19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Series A Participating Redeemable Preferred Units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A Units. The Series A Units have priority over all other partnership interests of the Operating Partnership with respect to distributions and liquidation.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Units were issued in June 2007. Series A Units in the amount of $101,700 bear a fixed priority return of 2.3%, and originally had a fixed liquidation value of $115,000. The remaining balance participates in distributions with, and has a liquidation value equal to, that of the common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June 25, 2007, the Operating Partnership loaned the holders of the Series A Units $100,000. The note receivable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Series B Redeemable Preferred Units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Units were issued in 2013 and 2014 and have a liquidation value of $25.00 per unit for a current fixed liquidation value of $38,068 which represents 1,522,727 Series B Units. Holders of the Series B Units receive distributions at an annual rate of 6.0%. These distributions are cumulative. The Series B Units became redeemable at the option of the holder on the first anniversary of the date of issuance, which redemption obligations may be satisfied at the Company’s option in cash or shares of its common stock.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August 31, 2021, 113,360 Series B Units were redeemed for 15,265 shares of common stock.</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Series C Convertible Redeemable Preferred Units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C Units. The Series C Units rank junior to the Series A Units, on parity with the Series B Units and Series D Units, and senior to all other partnership interests of the Operating Partnership with respect to distributions and liquidation.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December 2014, the Operating Partnership loaned holders of the Series C Units $20,230. The note receivable, which was collateralized by the Series C Units, bears interest at 5.0% and matures on December 15, 2024. The Series C Units were shown on the balance sheet net of the loan because the borrower under the loan receivable was also the holder of the Series C Units.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 2018, certain holders of the Series C Units converted their Series C Units into common OP Units, with a total of 407,996 Series C Units being converted into a total of 373,113 common OP Units. On April 25, 2019, the remaining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296,020 Series C Units were converted into 270,709 OP Units. The remaining outstanding balance of the loan receivable of $1,900 and $2,311 is shown as a reduction of the noncontrolling interests related to the OP Units as of December 31, 2021 and December 31, 2020, respectively. See footnote 13 for further discussion of noncontrolling interests.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Series D Redeemable Preferred Units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Series D Units have a liquidation value of $25.00 per unit, for a current fixed liquidation value of $205,435 which represents 8,217,422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common OP Units until the tenth anniversary of the date of issuance, with the number of common OP Units to be issued equal to $25.00 per Series D Unit, divided by the value of a share of common stock as of the exchange date.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D Units have been issued at various times from 2014 to 2021. During the year ended December 31, 2021, the Operating Partnership issued a total of 3,522,937 Series D Units valued at $88,073 in conjunction with store acquisitions. </w:t>
      </w:r>
    </w:p>
    <w:p>
      <w:pPr>
        <w:pStyle w:val="TextBody"/>
        <w:spacing w:before="0" w:after="0"/>
        <w:ind w:left="0" w:right="0" w:firstLine="495"/>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13.     NONCONTROLLING INTEREST IN OPERATING PARTNERSHIP AND OTHER NONCONTROLLING INTERESTS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 in Operating Partnership</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in its stores is held through the Operating Partnership. Between its general partner and limited partner interests, the Company held a 93.9% majority ownership interest in the Operating Partnership as of December 31, 2021. The remaining ownership interests in the Operating Partnership (including Preferred OP Units) of 6.1% are held by certain former owners of assets acquired by the Operating Partnership. As of December 31,2021 and December 31, 2020, the noncontrolling interests in the Operating Partnership are shown on the balance sheet net of notes receivable of $1,900 and $2,311, respectively, because the borrowers under the loan receivable are also holders of OP Units (Note 12). This loan receivable bears interest at 5.0% per annum and matures on December 15, 2024.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Operating Partnership agreement. As of December 31, 2021, the ten-day average closing stock price was $220.58 and there were 6,528,436 OP Units outstanding. Assuming that all of the OP Unit holders exercised their right to redeem all of their OP Units on December 31, 2021 and the Company elected to pay the OP Unit holders cash, the Company would have paid $1,440,042 in cash consideration to redeem the units.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OP Unit activity is summarized as follows for the periods presented:</w:t>
      </w:r>
    </w:p>
    <w:tbl>
      <w:tblPr>
        <w:tblW w:w="7935" w:type="dxa"/>
        <w:jc w:val="left"/>
        <w:tblInd w:w="0" w:type="dxa"/>
        <w:tblCellMar>
          <w:top w:w="28" w:type="dxa"/>
          <w:left w:w="28" w:type="dxa"/>
          <w:bottom w:w="28" w:type="dxa"/>
          <w:right w:w="28" w:type="dxa"/>
        </w:tblCellMar>
      </w:tblPr>
      <w:tblGrid>
        <w:gridCol w:w="1742"/>
        <w:gridCol w:w="1534"/>
        <w:gridCol w:w="1539"/>
        <w:gridCol w:w="220"/>
        <w:gridCol w:w="862"/>
        <w:gridCol w:w="113"/>
        <w:gridCol w:w="282"/>
        <w:gridCol w:w="544"/>
        <w:gridCol w:w="113"/>
        <w:gridCol w:w="282"/>
        <w:gridCol w:w="544"/>
        <w:gridCol w:w="160"/>
      </w:tblGrid>
      <w:tr>
        <w:trPr/>
        <w:tc>
          <w:tcPr>
            <w:tcW w:w="1742"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4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redeemed for common stock</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340,182 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redeemed for cash</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 Units redeemed</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issued in conjunction with acquisitions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897,803 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OP Units issued in conjunction with acquisitions</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188,319 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issued upon redemption of Series C Units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270,709 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December 1, 2018, 373,113 common OP Units were issued in the conversion of 407,996 Series C Units. These newly issued OP Units were pledged as collateral on the existing loan receivable to the Series C Unit holders. As a result, noncontrolling interests in the Operating Partnership was reported net of $11,091 of the loan receivable as of December 31, 2018, which represents the portion of the note receivable that is collateralized by the OP Units. The remaining 296,020 Series C Units were converted into 270,709 OP Units on April 25, 2019 and the remainder of the loan receivable was reported net with the OP Units. The remaining total outstanding balance of the loan receivable of $1,900 and $2,311 is shown as a reduction of the noncontrolling interests related to the OP Units as of December 31, 2021 and 2020, respectively.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Other Noncontrolling Interests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Other noncontrolling interests represent the ownership interest of partners in two consolidated joint ventures as of December 31, 2021. One joint venture owns four stores in Georgia and the other owns one property under development in Florida. The voting interests of the partners are 10% or less.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25, 2021, the Company purchased for $12,215 in cash the remaining third party ownership interest in a previously consolidated joint venture that owned two operating stores.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2021, the Company purchased for $6,100 in cash the remaining third party ownership interest in previously consolidated joint venture that owned four operating stores. </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spacing w:before="0" w:after="0"/>
        <w:rPr/>
      </w:pPr>
      <w:r>
        <w:rPr/>
      </w:r>
    </w:p>
    <w:p>
      <w:pPr>
        <w:pStyle w:val="TextBody"/>
        <w:spacing w:lineRule="auto" w:line="288" w:before="0" w:after="160"/>
        <w:ind w:left="0" w:right="0" w:firstLine="495"/>
        <w:rPr/>
      </w:pPr>
      <w:r>
        <w:rPr>
          <w:rFonts w:ascii="Times New Roman;sans-serif" w:hAnsi="Times New Roman;sans-serif"/>
          <w:b w:val="false"/>
          <w:color w:val="000000"/>
          <w:sz w:val="20"/>
        </w:rPr>
        <w:t>The Company adopted ASC 842,</w:t>
      </w:r>
      <w:r>
        <w:rPr>
          <w:color w:val="000000"/>
        </w:rPr>
        <w:t xml:space="preserve">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effective January 1, 2019 on a modified retrospective basis as allowed under the standard and thus prior periods have not been restated. The Company elected the package of transition practical expedients, and has therefore (1) not reassessed whether any expired or existing contracts are or contain leases, (2) not reassessed the lease classification for any expired or existing leases, and (3) not reassessed initial direct costs for any expired or existing leases. </w:t>
      </w:r>
    </w:p>
    <w:p>
      <w:pPr>
        <w:pStyle w:val="TextBody"/>
        <w:spacing w:lineRule="auto" w:line="288"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recognized right-of-use assets related to operating leases totaling $95,506 and lease liabilities of $104,863 as of the adoption date, January 1, 2019. These are presented as “Operating lease liabilities” and “Real estate assets-operating lease right-of-use assets” on the Company’s consolidated balance sheets. Right-of-use assets associated with finance leases are included in real estate assets, net and finance lease liabilities are included in other liabilities on the Company's consolidated balance sheets.</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recorded new finance lease right-of-use assets and finance lease liabilities totaling $26,998 associated with the acquisition of two stores with land leases. The Company also recorded a finance lease right-of-use asset and a finance lease liability of $40,916 related to a corporate office lease.</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and August 2019, the Company entered into new triple-net lease agreements to lease land and buildings at 22 and five operating stores, respectively. These leases are categorized as operating leases, and have contractual lease terms of 25 years, but have termination options after 10 years that result in lease terms of 10 years under ASC 842. The Company recorded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 xml:space="preserve">new operating lease right-of-use assets and operating lease liabilities of $127,532 and $52,224, respectively, in conjunction with these new lease agreements. </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lessee under several types of lease agreements. Generally, these leases fall into the following categories: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Leases of real estate at 58 stores classified as wholly-owned or in consolidated joint ventures. These leases generally have original lease terms between 10-99 years. Under these leases, the Company typically has the option to extend the lease term for additional terms of 5-35 years.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Leases of its corporate offices and call center. These leases have original lease terms between five and 14 years, with no extension options. Subsequent to year-end the Company modified and extended the lease of its corporate offices to add additional space and extend the lease until 2034.</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Leases of 14 regional offices. These leases have original lease terms between three and five years. The Company has the option on certain of these leases to extend the lease term for up to three additional years.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Leases of small district offices. These leases generally have terms of 12 months or less. The Company has made an election to account for these under the short-term lease exception outlined under ASC 842. Therefore, no lease assets or liabilities are recorded related to these leases.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included lease extension options in the lease term for calculations of its right-of-use assets and liabilities related to the real estate asset leases at its stores when it is reasonably certain that the Company plans to extend the lease terms as the options arise. </w:t>
      </w:r>
    </w:p>
    <w:p>
      <w:pPr>
        <w:pStyle w:val="TextBody"/>
        <w:spacing w:before="0" w:after="0"/>
        <w:ind w:left="0" w:right="0" w:firstLine="495"/>
        <w:rPr/>
      </w:pPr>
      <w:r>
        <w:rPr/>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Several of the leases of real estate at the Company’s stores include escalation clauses based on an index or rate, such as the Consumer Price Index (CPI). The Company included these lease payments in its calculations of right-of-use assets and liabilities based on the prevailing index or rate as of the adoption date. The Company will recognize changes to these variable lease payments in earnings in the period of change.</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One of the real estate leases includes variable lease payments that are based upon a percentage of gross revenues. Certain other leases include additional variable payments relating to a percentage of sales in excess of a specified amount, common area maintenance, property taxes, and similar items. These payments are variable lease payments that do not depend on an index or rate and are excluded from the measurement of the lease liabilities and right-of-use-assets for these leases. The Company will recognize costs from these variable lease payments in the period in which the obligation for those payments is incurred.</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a signed lease agreement for a store in California. The store is under construction by the lessor, and the Company will take possession of the leased asset upon completion of construction, which is estimated to be completed in 2022. The lease term is 15 years from the lease commencement date, with three 10-year extension options and one 5-year extension option. The Company has not recorded right-of-use asset or lease liability related to this lease as of December 31, 2021 as the lease term has not yet commenced. The lease commencement date will occur when the Company takes possession of the leased asset, and the Company will recognize a lease liability and right-of-use asset relating to the lease at that time.</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the Company’s leases do not provide an implicit rate, the Company uses its incremental borrowing rate based on the information available surrounding the Company’s unsecured borrowing rates and implied secured spread at the lease commencement date in determining the present value of lease payments. These discount rates vary depending on the term of the specific leases.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Following is information on our total lease costs as of the period indicated:</w:t>
      </w:r>
    </w:p>
    <w:tbl>
      <w:tblPr>
        <w:tblW w:w="9208" w:type="dxa"/>
        <w:jc w:val="left"/>
        <w:tblInd w:w="0" w:type="dxa"/>
        <w:tblCellMar>
          <w:top w:w="28" w:type="dxa"/>
          <w:left w:w="28" w:type="dxa"/>
          <w:bottom w:w="28" w:type="dxa"/>
          <w:right w:w="28" w:type="dxa"/>
        </w:tblCellMar>
      </w:tblPr>
      <w:tblGrid>
        <w:gridCol w:w="2241"/>
        <w:gridCol w:w="1972"/>
        <w:gridCol w:w="1982"/>
        <w:gridCol w:w="229"/>
        <w:gridCol w:w="782"/>
        <w:gridCol w:w="294"/>
        <w:gridCol w:w="118"/>
        <w:gridCol w:w="118"/>
        <w:gridCol w:w="118"/>
        <w:gridCol w:w="229"/>
        <w:gridCol w:w="782"/>
        <w:gridCol w:w="343"/>
      </w:tblGrid>
      <w:tr>
        <w:trPr/>
        <w:tc>
          <w:tcPr>
            <w:tcW w:w="2241"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6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6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finance lease right-of-use assets</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Interest expense related to finance lease liabilities</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29,258 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28,709 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outflows for finance lease payments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outflows for operating lease payments</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23,961 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flows for lease liability measurement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25,749 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67,992 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50,096 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finance leases (years)</w:t>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w:t>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operating leases (years)</w:t>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w:t>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finance leases</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160"/>
        <w:ind w:left="0" w:right="0" w:firstLine="495"/>
        <w:rPr/>
      </w:pPr>
      <w:r>
        <w:rPr/>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undiscounted cash flows on an annual basis for operating and finance leases, including a reconciliation of the undiscounted cash flows to the finance lease and operating lease liabilities recognized in the Company’s consolidated balance sheets:</w:t>
      </w:r>
    </w:p>
    <w:tbl>
      <w:tblPr>
        <w:tblW w:w="6357" w:type="dxa"/>
        <w:jc w:val="left"/>
        <w:tblInd w:w="0" w:type="dxa"/>
        <w:tblCellMar>
          <w:top w:w="28" w:type="dxa"/>
          <w:left w:w="28" w:type="dxa"/>
          <w:bottom w:w="28" w:type="dxa"/>
          <w:right w:w="28" w:type="dxa"/>
        </w:tblCellMar>
      </w:tblPr>
      <w:tblGrid>
        <w:gridCol w:w="802"/>
        <w:gridCol w:w="703"/>
        <w:gridCol w:w="715"/>
        <w:gridCol w:w="211"/>
        <w:gridCol w:w="826"/>
        <w:gridCol w:w="109"/>
        <w:gridCol w:w="109"/>
        <w:gridCol w:w="109"/>
        <w:gridCol w:w="109"/>
        <w:gridCol w:w="211"/>
        <w:gridCol w:w="826"/>
        <w:gridCol w:w="109"/>
        <w:gridCol w:w="109"/>
        <w:gridCol w:w="109"/>
        <w:gridCol w:w="109"/>
        <w:gridCol w:w="211"/>
        <w:gridCol w:w="826"/>
        <w:gridCol w:w="154"/>
      </w:tblGrid>
      <w:tr>
        <w:trPr/>
        <w:tc>
          <w:tcPr>
            <w:tcW w:w="802"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Operating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adjustments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package of practical expedients upon adoption of ASC 842, which allows for the application of the standard solely to the transition period in 2019 and does not require application to prior fiscal comparative periods represented. Disclosures required under the previous leasing standard are presented for prior years.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property rental revenue is primarily related to rents received from tenants at its operating stores. The Company's leases with its self-storage tenants are generally on month-to-month terms, include automatic monthly renewals, allow flexibility to increase rental rates over time as market conditions permit, and provide for the collection of contingent fees such as late fees. These leases do not include any terms or conditions that allow the tenants to purchase the leased space. All self-storage leases for which the Company acts as lessor have been classified as operating leases. The real estate assets related to the Company's stores are included in "Real estate assets, net" on the Company's condensed consolidated balance sheets and are presented at historical cost less accumulated depreciation and impairment, if any. Rental income related to these operating leases is included in Property rental revenue on the Company's condensed consolidated statements of operations, and is recognized each month during the month-to-month terms at the rental rate in place during each month.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15.     STOCK-BASED COMPENSATION</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highlight w:val="white"/>
        </w:rPr>
        <w:t>As of December 31, 2021</w:t>
      </w:r>
      <w:r>
        <w:rPr>
          <w:rFonts w:ascii="Times New Roman;sans-serif" w:hAnsi="Times New Roman;sans-serif"/>
          <w:b w:val="false"/>
          <w:color w:val="000000"/>
          <w:sz w:val="20"/>
        </w:rPr>
        <w:t>, 1,051,208 shares</w:t>
      </w:r>
      <w:r>
        <w:rPr>
          <w:color w:val="000000"/>
          <w:highlight w:val="white"/>
        </w:rPr>
        <w:t xml:space="preserve"> </w:t>
      </w:r>
      <w:r>
        <w:rPr>
          <w:rFonts w:ascii="Times New Roman;sans-serif" w:hAnsi="Times New Roman;sans-serif"/>
          <w:b w:val="false"/>
          <w:color w:val="000000"/>
          <w:sz w:val="20"/>
          <w:highlight w:val="white"/>
        </w:rPr>
        <w:t>were available for issuance under the Company’s 2015 Incentive Award Plan (the “Plan”).</w:t>
      </w:r>
    </w:p>
    <w:p>
      <w:pPr>
        <w:pStyle w:val="TextBody"/>
        <w:spacing w:lineRule="auto" w:line="288" w:before="240" w:after="283"/>
        <w:ind w:left="0" w:right="0" w:firstLine="495"/>
        <w:rPr/>
      </w:pPr>
      <w:r>
        <w:rPr>
          <w:rFonts w:ascii="Times New Roman;sans-serif" w:hAnsi="Times New Roman;sans-serif"/>
          <w:b w:val="false"/>
          <w:color w:val="000000"/>
          <w:sz w:val="20"/>
        </w:rPr>
        <w:t>Options are</w:t>
      </w:r>
      <w:r>
        <w:rPr>
          <w:color w:val="000000"/>
          <w:highlight w:val="white"/>
        </w:rPr>
        <w:t xml:space="preserve"> </w:t>
      </w:r>
      <w:r>
        <w:rPr>
          <w:rFonts w:ascii="Times New Roman;sans-serif" w:hAnsi="Times New Roman;sans-serif"/>
          <w:b w:val="false"/>
          <w:color w:val="000000"/>
          <w:sz w:val="20"/>
          <w:highlight w:val="white"/>
        </w:rPr>
        <w:t>exercisable once vested. Options are exercisable at such times and subject to such terms as deter</w:t>
      </w:r>
      <w:r>
        <w:rPr>
          <w:rFonts w:ascii="Times New Roman;sans-serif" w:hAnsi="Times New Roman;sans-serif"/>
          <w:b w:val="false"/>
          <w:color w:val="000000"/>
          <w:sz w:val="20"/>
        </w:rPr>
        <w:t>mined by the Compensation Committee, but under no circumstances may be exercised if such exercise would cause a violation of the ownership limit in the Company’s charter. Options expire 10 years from the date of grant. Beginning in 2017, the CNG Committee decided to the replace stock options granted to executives with performance based stock units for executive compensation. See the "Performance-Based Stock Units" section below.</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Also as defined under the terms of the Plan, restricted stock grants may be awarded. The stock grants are subject to a vesting period over which the restrictions are released and the stock certificates are given to the grantee. During the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Compensation Committee at the time of grant, the forfeiture and transfer restrictions on the shares lapse over a four-year period beginning on the date of grant. For actions taken prior to July 2020, references to the Compensation Committee refer to its predecessor, the CNG Committee; the Board split the CNG Committee into two committees, the Compensation Committee and the Nominating and Governance Committee, effective July 1, 2020.</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Option Grants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is as follows:</w:t>
      </w:r>
    </w:p>
    <w:tbl>
      <w:tblPr>
        <w:tblW w:w="10205" w:type="dxa"/>
        <w:jc w:val="left"/>
        <w:tblInd w:w="0" w:type="dxa"/>
        <w:tblCellMar>
          <w:top w:w="28" w:type="dxa"/>
          <w:left w:w="28" w:type="dxa"/>
          <w:bottom w:w="28" w:type="dxa"/>
          <w:right w:w="28" w:type="dxa"/>
        </w:tblCellMar>
      </w:tblPr>
      <w:tblGrid>
        <w:gridCol w:w="665"/>
        <w:gridCol w:w="585"/>
        <w:gridCol w:w="595"/>
        <w:gridCol w:w="504"/>
        <w:gridCol w:w="403"/>
        <w:gridCol w:w="352"/>
        <w:gridCol w:w="109"/>
        <w:gridCol w:w="109"/>
        <w:gridCol w:w="109"/>
        <w:gridCol w:w="364"/>
        <w:gridCol w:w="1064"/>
        <w:gridCol w:w="188"/>
        <w:gridCol w:w="109"/>
        <w:gridCol w:w="109"/>
        <w:gridCol w:w="109"/>
        <w:gridCol w:w="780"/>
        <w:gridCol w:w="780"/>
        <w:gridCol w:w="783"/>
        <w:gridCol w:w="109"/>
        <w:gridCol w:w="109"/>
        <w:gridCol w:w="109"/>
        <w:gridCol w:w="629"/>
        <w:gridCol w:w="629"/>
        <w:gridCol w:w="903"/>
      </w:tblGrid>
      <w:tr>
        <w:trPr/>
        <w:tc>
          <w:tcPr>
            <w:tcW w:w="66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Exercise Price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as of December 31, 2021</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417,581 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(211,057)</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(134,930)</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(62,322)</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$1,338</w:t>
            </w:r>
          </w:p>
        </w:tc>
      </w:tr>
      <w:tr>
        <w:trPr/>
        <w:tc>
          <w:tcPr>
            <w:tcW w:w="1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$1,338</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Exercisable</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$1,338</w:t>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in the table above represents the total value (the difference between the Company’s closing stock price on the last trading day of 2021 and the exercise price, multiplied by the number of in-the-money options) that would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have been received by the option holders had all option holders exercised their options on December 31, 2021. The amount of aggregate intrinsic value will change based on the fair market value of the Company’s stock. The total intrinsic value of options exercised for the years ended December 31, 2021, 2020 and 2019 was $3,925, $10,016 and $18,089, respectively.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have been no options granted since 2016. The fair value of each option grant was estimated on the date of grant using the Black-Scholes option-pricing model. 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4.6% of unvested options outstanding as of December 31, 2021, is adjusted periodically based on the extent to which actual forfeitures differ, or are expected to differ, from the previous estimates.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options outstanding and exercisable as of December 31, 2021, is as follows:</w:t>
      </w:r>
    </w:p>
    <w:tbl>
      <w:tblPr>
        <w:tblW w:w="10205" w:type="dxa"/>
        <w:jc w:val="left"/>
        <w:tblInd w:w="0" w:type="dxa"/>
        <w:tblCellMar>
          <w:top w:w="28" w:type="dxa"/>
          <w:left w:w="28" w:type="dxa"/>
          <w:bottom w:w="28" w:type="dxa"/>
          <w:right w:w="28" w:type="dxa"/>
        </w:tblCellMar>
      </w:tblPr>
      <w:tblGrid>
        <w:gridCol w:w="409"/>
        <w:gridCol w:w="338"/>
        <w:gridCol w:w="340"/>
        <w:gridCol w:w="109"/>
        <w:gridCol w:w="109"/>
        <w:gridCol w:w="109"/>
        <w:gridCol w:w="308"/>
        <w:gridCol w:w="308"/>
        <w:gridCol w:w="211"/>
        <w:gridCol w:w="109"/>
        <w:gridCol w:w="109"/>
        <w:gridCol w:w="109"/>
        <w:gridCol w:w="770"/>
        <w:gridCol w:w="770"/>
        <w:gridCol w:w="772"/>
        <w:gridCol w:w="109"/>
        <w:gridCol w:w="109"/>
        <w:gridCol w:w="109"/>
        <w:gridCol w:w="390"/>
        <w:gridCol w:w="1140"/>
        <w:gridCol w:w="201"/>
        <w:gridCol w:w="109"/>
        <w:gridCol w:w="109"/>
        <w:gridCol w:w="109"/>
        <w:gridCol w:w="308"/>
        <w:gridCol w:w="308"/>
        <w:gridCol w:w="211"/>
        <w:gridCol w:w="110"/>
        <w:gridCol w:w="110"/>
        <w:gridCol w:w="110"/>
        <w:gridCol w:w="381"/>
        <w:gridCol w:w="1117"/>
        <w:gridCol w:w="285"/>
      </w:tblGrid>
      <w:tr>
        <w:trPr/>
        <w:tc>
          <w:tcPr>
            <w:tcW w:w="4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Exercisable</w:t>
            </w:r>
          </w:p>
        </w:tc>
      </w:tr>
      <w:tr>
        <w:trPr/>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r>
      <w:tr>
        <w:trPr/>
        <w:tc>
          <w:tcPr>
            <w:tcW w:w="10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$65.36 - $65.36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$85.99 - $85.99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783" w:type="dxa"/>
            <w:gridSpan w:val="3"/>
            <w:tcBorders/>
            <w:shd w:fill="auto" w:val="clear"/>
            <w:vAlign w:val="center"/>
          </w:tcPr>
          <w:p>
            <w:pPr>
              <w:pStyle w:val="TableContents"/>
              <w:spacing w:before="0" w:after="283"/>
              <w:rPr>
                <w:sz w:val="4"/>
                <w:szCs w:val="4"/>
              </w:rPr>
            </w:pPr>
            <w:r>
              <w:rPr>
                <w:sz w:val="4"/>
                <w:szCs w:val="4"/>
              </w:rPr>
            </w:r>
          </w:p>
        </w:tc>
      </w:tr>
      <w:tr>
        <w:trPr/>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783" w:type="dxa"/>
            <w:gridSpan w:val="3"/>
            <w:tcBorders/>
            <w:shd w:fill="auto" w:val="clear"/>
            <w:vAlign w:val="center"/>
          </w:tcPr>
          <w:p>
            <w:pPr>
              <w:pStyle w:val="TableContents"/>
              <w:spacing w:before="0" w:after="283"/>
              <w:rPr>
                <w:sz w:val="4"/>
                <w:szCs w:val="4"/>
              </w:rPr>
            </w:pPr>
            <w:r>
              <w:rPr>
                <w:sz w:val="4"/>
                <w:szCs w:val="4"/>
              </w:rPr>
            </w:r>
          </w:p>
        </w:tc>
      </w:tr>
      <w:tr>
        <w:trPr/>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783" w:type="dxa"/>
            <w:gridSpan w:val="3"/>
            <w:tcBorders/>
            <w:shd w:fill="auto" w:val="clear"/>
            <w:vAlign w:val="center"/>
          </w:tcPr>
          <w:p>
            <w:pPr>
              <w:pStyle w:val="TableContents"/>
              <w:spacing w:before="0" w:after="283"/>
              <w:rPr>
                <w:sz w:val="4"/>
                <w:szCs w:val="4"/>
              </w:rPr>
            </w:pPr>
            <w:r>
              <w:rPr>
                <w:sz w:val="4"/>
                <w:szCs w:val="4"/>
              </w:rPr>
            </w:r>
          </w:p>
        </w:tc>
      </w:tr>
      <w:tr>
        <w:trPr/>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78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recorded compensation expense relating to outstanding options of $0, $27 and $364 in general and administrative expense for the years ended December 31, 2021, 2020 and 2019, respectively. Net proceeds received for the years ended December 31, 2021, 2020 and 2019, related to option exercises was $4,572, $4,759 and $3,063, respectively. At December 31, 2021, there was no unrecognized compensation expense related to non-vested stock options under the Plan.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Common Stock Granted to Employees and Directors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recorded $9,260, $9,244 and $9,173 of expense in general and administrative expense in its statement of operations related to restricted stock awards granted to employees and directors for the years ended December 31, 2021, 2020 and 2019, respectively. The forfeiture rate, which is estimated at a weighted-average of 10.0% of unvested awards outstanding as of December 31, 2021, is adjusted periodically based on the extent to which actual forfeitures differ, or are expected to differ, from the previous estimates. At December 31, 2021 there was $13,843 of total unrecognized compensation expense related to non-vested restricted stock awards under the Plan. That cost is expected to be recognized over a weighted-average period of 2.15 years. The fair value of common stock awards is determined based on the closing trading price of the Company’s common stock on the grant date.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employee and director share grant activity is as follows: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tbl>
      <w:tblPr>
        <w:tblW w:w="7632" w:type="dxa"/>
        <w:jc w:val="left"/>
        <w:tblInd w:w="0" w:type="dxa"/>
        <w:tblCellMar>
          <w:top w:w="28" w:type="dxa"/>
          <w:left w:w="28" w:type="dxa"/>
          <w:bottom w:w="28" w:type="dxa"/>
          <w:right w:w="28" w:type="dxa"/>
        </w:tblCellMar>
      </w:tblPr>
      <w:tblGrid>
        <w:gridCol w:w="1026"/>
        <w:gridCol w:w="903"/>
        <w:gridCol w:w="906"/>
        <w:gridCol w:w="449"/>
        <w:gridCol w:w="451"/>
        <w:gridCol w:w="211"/>
        <w:gridCol w:w="109"/>
        <w:gridCol w:w="109"/>
        <w:gridCol w:w="109"/>
        <w:gridCol w:w="652"/>
        <w:gridCol w:w="2230"/>
        <w:gridCol w:w="477"/>
      </w:tblGrid>
      <w:tr>
        <w:trPr/>
        <w:tc>
          <w:tcPr>
            <w:tcW w:w="102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Grants</w:t>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Grant-Date Fair Value</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2018</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109,081 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101.52 </w:t>
            </w:r>
          </w:p>
        </w:tc>
        <w:tc>
          <w:tcPr>
            <w:tcW w:w="4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(110,724)</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90.11 </w:t>
            </w:r>
          </w:p>
        </w:tc>
        <w:tc>
          <w:tcPr>
            <w:tcW w:w="4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2019</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95,671 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4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(94,164)</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93.16 </w:t>
            </w:r>
          </w:p>
        </w:tc>
        <w:tc>
          <w:tcPr>
            <w:tcW w:w="4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2020</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95.86 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99,802 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4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(96,248)</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4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2021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Performance-based Stock Units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performance-based stock units (the "PSUs") granted to executives represent the right to earn shares of the Company's common stock. These awards have two financial performance components: (1) the Company's core FFO performance ("FFO Target"), and (2) the Company's total stockholder return relative to the performance of a defined group of peers ("TSR Target"). Each of these performance components are weighted 50% and are measured over the performance period, which is defined as the three-year period ending December 31 from the year of grant. At the end of the performance period, the financial performance components are reviewed to determine the number of shares actually granted to executives, which can be as low as zero shares and up to a maximum of two shares issued for each PSU. A summary of the PSU activity is as follows:</w:t>
      </w:r>
    </w:p>
    <w:tbl>
      <w:tblPr>
        <w:tblW w:w="7714" w:type="dxa"/>
        <w:jc w:val="center"/>
        <w:tblInd w:w="0" w:type="dxa"/>
        <w:tblCellMar>
          <w:top w:w="28" w:type="dxa"/>
          <w:left w:w="28" w:type="dxa"/>
          <w:bottom w:w="28" w:type="dxa"/>
          <w:right w:w="28" w:type="dxa"/>
        </w:tblCellMar>
      </w:tblPr>
      <w:tblGrid>
        <w:gridCol w:w="978"/>
        <w:gridCol w:w="859"/>
        <w:gridCol w:w="862"/>
        <w:gridCol w:w="109"/>
        <w:gridCol w:w="109"/>
        <w:gridCol w:w="109"/>
        <w:gridCol w:w="412"/>
        <w:gridCol w:w="414"/>
        <w:gridCol w:w="176"/>
        <w:gridCol w:w="109"/>
        <w:gridCol w:w="109"/>
        <w:gridCol w:w="109"/>
        <w:gridCol w:w="652"/>
        <w:gridCol w:w="2230"/>
        <w:gridCol w:w="477"/>
      </w:tblGrid>
      <w:tr>
        <w:trPr/>
        <w:tc>
          <w:tcPr>
            <w:tcW w:w="97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Performance-Based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Grant-Date Fair Value</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129.38 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(28,735)</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recorded $8,043, $7,048 and $3,514 of expense in general and administrative expense in its statement of operations related to PSUs granted to employees for the years ended December 31, 2021, 2020 and 2019, respectively. The Company estimated the fair value of the PSUs as of the grant date, using the closing trading price of the Company's common stock on the grant date to value the FFO Target portion. A Monte Carlo simulation model was used to calculate the fair value of the TSR Target portion of the PSUs, using the following assumptions:</w:t>
      </w:r>
    </w:p>
    <w:tbl>
      <w:tblPr>
        <w:tblW w:w="8503" w:type="dxa"/>
        <w:jc w:val="left"/>
        <w:tblInd w:w="0" w:type="dxa"/>
        <w:tblCellMar>
          <w:top w:w="28" w:type="dxa"/>
          <w:left w:w="28" w:type="dxa"/>
          <w:bottom w:w="28" w:type="dxa"/>
          <w:right w:w="28" w:type="dxa"/>
        </w:tblCellMar>
      </w:tblPr>
      <w:tblGrid>
        <w:gridCol w:w="1734"/>
        <w:gridCol w:w="1520"/>
        <w:gridCol w:w="1530"/>
        <w:gridCol w:w="109"/>
        <w:gridCol w:w="109"/>
        <w:gridCol w:w="109"/>
        <w:gridCol w:w="299"/>
        <w:gridCol w:w="298"/>
        <w:gridCol w:w="184"/>
        <w:gridCol w:w="179"/>
        <w:gridCol w:w="179"/>
        <w:gridCol w:w="179"/>
        <w:gridCol w:w="299"/>
        <w:gridCol w:w="298"/>
        <w:gridCol w:w="184"/>
        <w:gridCol w:w="179"/>
        <w:gridCol w:w="179"/>
        <w:gridCol w:w="179"/>
        <w:gridCol w:w="252"/>
        <w:gridCol w:w="251"/>
        <w:gridCol w:w="253"/>
      </w:tblGrid>
      <w:tr>
        <w:trPr/>
        <w:tc>
          <w:tcPr>
            <w:tcW w:w="1734"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5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5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$30,701</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$12,266</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$6,211</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$8,859</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$6,406</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$4,315</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over which compensation cost recognized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Under the terms of the PSUs, dividends for the entire measurement period are paid in cash when the shares are released, so a dividend yield of zero was used. The valuation model applied in this calculation utilizes subjective assumptions that could potentially change over time, including the probabilities associated with achieving the FFO Targets (categorized within Level 3 of the fair value hierarchy). Therefore, the amount of unrecognized compensation expense at December 31, 2021 noted above does not necessarily represent the expense that will ultimately be realized by the Company in the statement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16.     EMPLOYEE BENEFIT PLAN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a retirement savings plan under Section 401(k) of the Internal Revenue Code under which eligible employees can contribute up to 60% of their annual salary, subject to a statutory prescribed annual limit. For the years ended December 31, 2021, 2020 and 2019, the Company made matching contributions to the plan of $4,239, $3,980 and $3,355, respectively, based on 100% of the first 3% and up to 50% of the next 2% of an employee’s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spacing w:lineRule="auto" w:line="288" w:before="240" w:after="283"/>
        <w:ind w:left="0" w:right="0" w:firstLine="495"/>
        <w:rPr/>
      </w:pPr>
      <w:r>
        <w:rPr>
          <w:rFonts w:ascii="Times New Roman;sans-serif" w:hAnsi="Times New Roman;sans-serif"/>
          <w:b w:val="false"/>
          <w:color w:val="000000"/>
          <w:sz w:val="20"/>
        </w:rPr>
        <w:t xml:space="preserve">As a REIT, the Company is generally not subject to U.S. federal income tax with respect to that portion of its income which is distributed annually to its stockholders. However, the Company has elected to treat certain of its corporate subsidiaries, including Extra Space Management, Inc., as a TRS. In general, a TRS may perform additional services for tenants and generally may engage in any real estate or non-real estate related business. A TRS is subject to U.S. federal corporate income tax and may be subject to state and local income taxes. The Company accounts for income taxes in accordance with the provisions of ASC 740, </w:t>
      </w:r>
      <w:r>
        <w:rPr>
          <w:color w:val="000000"/>
        </w:rPr>
        <w:t>“</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Deferred tax assets and liabilities are determined based on differences between financial reporting and tax bases of assets and liabilities. The Company has elected to use the Tax-Law-Ordering approach to determine when excess tax benefits will be realized.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for the years ended December 31, 2021, 2020 and 2019, is comprised of the following components:</w:t>
      </w:r>
    </w:p>
    <w:tbl>
      <w:tblPr>
        <w:tblW w:w="6836" w:type="dxa"/>
        <w:jc w:val="left"/>
        <w:tblInd w:w="0" w:type="dxa"/>
        <w:tblCellMar>
          <w:top w:w="28" w:type="dxa"/>
          <w:left w:w="28" w:type="dxa"/>
          <w:bottom w:w="28" w:type="dxa"/>
          <w:right w:w="28" w:type="dxa"/>
        </w:tblCellMar>
      </w:tblPr>
      <w:tblGrid>
        <w:gridCol w:w="1130"/>
        <w:gridCol w:w="990"/>
        <w:gridCol w:w="999"/>
        <w:gridCol w:w="211"/>
        <w:gridCol w:w="721"/>
        <w:gridCol w:w="109"/>
        <w:gridCol w:w="109"/>
        <w:gridCol w:w="109"/>
        <w:gridCol w:w="109"/>
        <w:gridCol w:w="211"/>
        <w:gridCol w:w="616"/>
        <w:gridCol w:w="109"/>
        <w:gridCol w:w="109"/>
        <w:gridCol w:w="109"/>
        <w:gridCol w:w="109"/>
        <w:gridCol w:w="211"/>
        <w:gridCol w:w="721"/>
        <w:gridCol w:w="154"/>
      </w:tblGrid>
      <w:tr>
        <w:trPr/>
        <w:tc>
          <w:tcPr>
            <w:tcW w:w="113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 2021</w:t>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Federal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credits/true-up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expense/(benefit)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0" w:after="0"/>
        <w:rPr>
          <w:color w:val="000000"/>
        </w:rPr>
      </w:pPr>
      <w:r>
        <w:rPr>
          <w:color w:val="000000"/>
        </w:rPr>
        <w:t> </w:t>
      </w:r>
    </w:p>
    <w:tbl>
      <w:tblPr>
        <w:tblW w:w="6087" w:type="dxa"/>
        <w:jc w:val="left"/>
        <w:tblInd w:w="0" w:type="dxa"/>
        <w:tblCellMar>
          <w:top w:w="28" w:type="dxa"/>
          <w:left w:w="28" w:type="dxa"/>
          <w:bottom w:w="28" w:type="dxa"/>
          <w:right w:w="28" w:type="dxa"/>
        </w:tblCellMar>
      </w:tblPr>
      <w:tblGrid>
        <w:gridCol w:w="859"/>
        <w:gridCol w:w="752"/>
        <w:gridCol w:w="759"/>
        <w:gridCol w:w="211"/>
        <w:gridCol w:w="721"/>
        <w:gridCol w:w="109"/>
        <w:gridCol w:w="109"/>
        <w:gridCol w:w="109"/>
        <w:gridCol w:w="109"/>
        <w:gridCol w:w="211"/>
        <w:gridCol w:w="616"/>
        <w:gridCol w:w="109"/>
        <w:gridCol w:w="109"/>
        <w:gridCol w:w="109"/>
        <w:gridCol w:w="109"/>
        <w:gridCol w:w="211"/>
        <w:gridCol w:w="721"/>
        <w:gridCol w:w="154"/>
      </w:tblGrid>
      <w:tr>
        <w:trPr/>
        <w:tc>
          <w:tcPr>
            <w:tcW w:w="85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 2020</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Federal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credits/true-up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bl>
      <w:tblPr>
        <w:tblW w:w="5996" w:type="dxa"/>
        <w:jc w:val="left"/>
        <w:tblInd w:w="0" w:type="dxa"/>
        <w:tblCellMar>
          <w:top w:w="28" w:type="dxa"/>
          <w:left w:w="28" w:type="dxa"/>
          <w:bottom w:w="28" w:type="dxa"/>
          <w:right w:w="28" w:type="dxa"/>
        </w:tblCellMar>
      </w:tblPr>
      <w:tblGrid>
        <w:gridCol w:w="826"/>
        <w:gridCol w:w="723"/>
        <w:gridCol w:w="730"/>
        <w:gridCol w:w="211"/>
        <w:gridCol w:w="721"/>
        <w:gridCol w:w="109"/>
        <w:gridCol w:w="109"/>
        <w:gridCol w:w="109"/>
        <w:gridCol w:w="109"/>
        <w:gridCol w:w="211"/>
        <w:gridCol w:w="616"/>
        <w:gridCol w:w="109"/>
        <w:gridCol w:w="109"/>
        <w:gridCol w:w="109"/>
        <w:gridCol w:w="109"/>
        <w:gridCol w:w="211"/>
        <w:gridCol w:w="721"/>
        <w:gridCol w:w="154"/>
      </w:tblGrid>
      <w:tr>
        <w:trPr/>
        <w:tc>
          <w:tcPr>
            <w:tcW w:w="82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 2019</w:t>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Federal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credits/true-up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benefit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reconciliation of the statutory income tax provisions to the effective income tax provisions for the periods indicated is as follows:</w:t>
      </w:r>
    </w:p>
    <w:tbl>
      <w:tblPr>
        <w:tblW w:w="10205" w:type="dxa"/>
        <w:jc w:val="left"/>
        <w:tblInd w:w="0" w:type="dxa"/>
        <w:tblCellMar>
          <w:top w:w="28" w:type="dxa"/>
          <w:left w:w="28" w:type="dxa"/>
          <w:bottom w:w="28" w:type="dxa"/>
          <w:right w:w="28" w:type="dxa"/>
        </w:tblCellMar>
      </w:tblPr>
      <w:tblGrid>
        <w:gridCol w:w="1118"/>
        <w:gridCol w:w="795"/>
        <w:gridCol w:w="798"/>
        <w:gridCol w:w="211"/>
        <w:gridCol w:w="826"/>
        <w:gridCol w:w="109"/>
        <w:gridCol w:w="109"/>
        <w:gridCol w:w="109"/>
        <w:gridCol w:w="109"/>
        <w:gridCol w:w="276"/>
        <w:gridCol w:w="278"/>
        <w:gridCol w:w="271"/>
        <w:gridCol w:w="109"/>
        <w:gridCol w:w="109"/>
        <w:gridCol w:w="109"/>
        <w:gridCol w:w="211"/>
        <w:gridCol w:w="826"/>
        <w:gridCol w:w="109"/>
        <w:gridCol w:w="109"/>
        <w:gridCol w:w="109"/>
        <w:gridCol w:w="109"/>
        <w:gridCol w:w="276"/>
        <w:gridCol w:w="278"/>
        <w:gridCol w:w="271"/>
        <w:gridCol w:w="109"/>
        <w:gridCol w:w="109"/>
        <w:gridCol w:w="109"/>
        <w:gridCol w:w="211"/>
        <w:gridCol w:w="721"/>
        <w:gridCol w:w="109"/>
        <w:gridCol w:w="109"/>
        <w:gridCol w:w="109"/>
        <w:gridCol w:w="109"/>
        <w:gridCol w:w="276"/>
        <w:gridCol w:w="278"/>
        <w:gridCol w:w="322"/>
      </w:tblGrid>
      <w:tr>
        <w:trPr/>
        <w:tc>
          <w:tcPr>
            <w:tcW w:w="111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r>
      <w:tr>
        <w:trPr/>
        <w:tc>
          <w:tcPr>
            <w:tcW w:w="2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9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tax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REIT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tax expense - net of federal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credits/true-up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major sources of temporary differences stated at their deferred tax effects are as follows:</w:t>
      </w:r>
    </w:p>
    <w:tbl>
      <w:tblPr>
        <w:tblW w:w="7376" w:type="dxa"/>
        <w:jc w:val="left"/>
        <w:tblInd w:w="0" w:type="dxa"/>
        <w:tblCellMar>
          <w:top w:w="28" w:type="dxa"/>
          <w:left w:w="28" w:type="dxa"/>
          <w:bottom w:w="28" w:type="dxa"/>
          <w:right w:w="28" w:type="dxa"/>
        </w:tblCellMar>
      </w:tblPr>
      <w:tblGrid>
        <w:gridCol w:w="1417"/>
        <w:gridCol w:w="1246"/>
        <w:gridCol w:w="1252"/>
        <w:gridCol w:w="292"/>
        <w:gridCol w:w="1102"/>
        <w:gridCol w:w="150"/>
        <w:gridCol w:w="109"/>
        <w:gridCol w:w="109"/>
        <w:gridCol w:w="109"/>
        <w:gridCol w:w="289"/>
        <w:gridCol w:w="1090"/>
        <w:gridCol w:w="211"/>
      </w:tblGrid>
      <w:tr>
        <w:trPr/>
        <w:tc>
          <w:tcPr>
            <w:tcW w:w="141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(30,499)</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Finance lease right-of-use assets</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deferred taxes</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(40,418)</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Captive insurance subsidiary</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Finance lease liabilities</w:t>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SmartStop TRS</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deferred taxes</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liabilities</w:t>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(21,404)</w:t>
            </w:r>
          </w:p>
        </w:tc>
        <w:tc>
          <w:tcPr>
            <w:tcW w:w="150"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(20,113)</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state income tax net operating losses expire between 2022 and 2041. The valuation allowance is associated with the state income tax net operating losses. The tax years 2017 through 2020 remain open related to the state returns, and 2018 through 2020 for the federal returns.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our self-storage operations represents total property revenue less direct property operating expenses. NOI for our tenant reinsurance segment represents tenant reinsurance revenues less tenant reinsurance expense.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segments are comprised of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substantially all of our real estate assets, intangible assets, other assets, and accrued and other liabilities are associated with the self-storage operations segment. Financial information for the Company’s business segments is set forth below:</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214"/>
        <w:gridCol w:w="1875"/>
        <w:gridCol w:w="1888"/>
        <w:gridCol w:w="196"/>
        <w:gridCol w:w="871"/>
        <w:gridCol w:w="109"/>
        <w:gridCol w:w="109"/>
        <w:gridCol w:w="109"/>
        <w:gridCol w:w="109"/>
        <w:gridCol w:w="196"/>
        <w:gridCol w:w="871"/>
        <w:gridCol w:w="109"/>
        <w:gridCol w:w="109"/>
        <w:gridCol w:w="109"/>
        <w:gridCol w:w="109"/>
        <w:gridCol w:w="196"/>
        <w:gridCol w:w="871"/>
        <w:gridCol w:w="155"/>
      </w:tblGrid>
      <w:tr>
        <w:trPr/>
        <w:tc>
          <w:tcPr>
            <w:tcW w:w="2214"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1,130,177 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128,387 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1,258,564 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income: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794,127 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net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893,138 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net operating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893,138 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components of net income: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management fees and other income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(219,857)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real estate transactions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(186,526)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related to amortization of discount on equity component of exchangeable senior notes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real estate ventures - gain on sale of real estate assets and purchase of joint venture partner's interest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451,123 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19.     COMMITMENTS AND CONTINGENCIES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was under agreement to acquire nine stores at a total purchase price of $136,491. These stores are scheduled to close in 2022. Additionally, the Company is under agreement to acquire three stores in 2022 with joint venture partners, for a total investment of $5,850.</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vigorously defending any legal proceedings against it. As of December 31, 2021, the Company was involved in various legal proceedings and was subject to various claims and complaints arising in the ordinary course of business. In the opinion of management, such litigation, claims and complaints are not expected to have a material adverse effect on the Company’s financial condition or results of operations.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1320" w:type="dxa"/>
        <w:jc w:val="center"/>
        <w:tblInd w:w="0" w:type="dxa"/>
        <w:tblCellMar>
          <w:top w:w="28" w:type="dxa"/>
          <w:left w:w="28" w:type="dxa"/>
          <w:bottom w:w="28" w:type="dxa"/>
          <w:right w:w="28" w:type="dxa"/>
        </w:tblCellMar>
      </w:tblPr>
      <w:tblGrid>
        <w:gridCol w:w="549"/>
        <w:gridCol w:w="258"/>
        <w:gridCol w:w="259"/>
        <w:gridCol w:w="200"/>
        <w:gridCol w:w="200"/>
        <w:gridCol w:w="201"/>
        <w:gridCol w:w="196"/>
        <w:gridCol w:w="871"/>
        <w:gridCol w:w="109"/>
        <w:gridCol w:w="196"/>
        <w:gridCol w:w="871"/>
        <w:gridCol w:w="109"/>
        <w:gridCol w:w="205"/>
        <w:gridCol w:w="911"/>
        <w:gridCol w:w="115"/>
        <w:gridCol w:w="196"/>
        <w:gridCol w:w="871"/>
        <w:gridCol w:w="109"/>
        <w:gridCol w:w="196"/>
        <w:gridCol w:w="871"/>
        <w:gridCol w:w="109"/>
        <w:gridCol w:w="205"/>
        <w:gridCol w:w="911"/>
        <w:gridCol w:w="115"/>
        <w:gridCol w:w="196"/>
        <w:gridCol w:w="961"/>
        <w:gridCol w:w="109"/>
        <w:gridCol w:w="196"/>
        <w:gridCol w:w="871"/>
        <w:gridCol w:w="154"/>
      </w:tblGrid>
      <w:tr>
        <w:trPr/>
        <w:tc>
          <w:tcPr>
            <w:tcW w:w="54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Building and Improvements Initial Cost</w:t>
            </w:r>
          </w:p>
        </w:tc>
        <w:tc>
          <w:tcPr>
            <w:tcW w:w="11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Adjustments and Costs to Land and Building Subsequent to Acquisition</w:t>
            </w:r>
          </w:p>
        </w:tc>
        <w:tc>
          <w:tcPr>
            <w:tcW w:w="36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Gross carrying amount at December 31, 2021</w:t>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Self - Storage Facilities by State:</w:t>
            </w:r>
          </w:p>
        </w:tc>
        <w:tc>
          <w:tcPr>
            <w:tcW w:w="60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Store Count</w:t>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Land Initial Cost</w:t>
            </w:r>
          </w:p>
        </w:tc>
        <w:tc>
          <w:tcPr>
            <w:tcW w:w="123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Building and Improvements</w:t>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Depreciation</w:t>
            </w:r>
          </w:p>
        </w:tc>
      </w:tr>
      <w:tr>
        <w:trPr/>
        <w:tc>
          <w:tcPr>
            <w:tcW w:w="10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6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Debt</w:t>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23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Land</w:t>
            </w:r>
          </w:p>
        </w:tc>
        <w:tc>
          <w:tcPr>
            <w:tcW w:w="123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Total</w:t>
            </w:r>
          </w:p>
        </w:tc>
        <w:tc>
          <w:tcPr>
            <w:tcW w:w="12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129,126 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1,365,639 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1,525,261 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81,144 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98,260 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CT</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799,941 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863,104 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529,048 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566,393 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133,870 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146,854 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247,958 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283,311 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67,860 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KS</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KY</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60,442 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270,243 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327,396 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MD</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327,904 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359,482 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67,982 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MN</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74,960 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MS</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160,876 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NH</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NJ</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605,834 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654,150 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NV</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74,376 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80,755 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NY</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237,795 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278,809 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70,312 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190,966 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206,313 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159,688 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TN</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149,956 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635,935 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703,793 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470,969 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498,132 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60,926 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72,542 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DC</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corporate assets</w:t>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182,440 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tenant relationships and lease rights</w:t>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Progress/Undeveloped Land</w:t>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 - finance lease</w:t>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117,718 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Totals </w:t>
            </w:r>
            <w:r>
              <w:rPr>
                <w:rFonts w:ascii="Times New Roman;sans-serif" w:hAnsi="Times New Roman;sans-serif"/>
                <w:b/>
                <w:color w:val="000000"/>
                <w:sz w:val="12"/>
              </w:rPr>
              <w:t>(1)</w:t>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985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7,437,285 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8,551,080 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10,702,399 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No right-of-use assets related to operating leases are included in the ending net real estate assets information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 Schedule III (continued)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Activity in real estate facilities during the years ended December 31, 2021, 2020 and 2019 is as follows:</w:t>
      </w:r>
    </w:p>
    <w:tbl>
      <w:tblPr>
        <w:tblW w:w="8651" w:type="dxa"/>
        <w:jc w:val="left"/>
        <w:tblInd w:w="0" w:type="dxa"/>
        <w:tblCellMar>
          <w:top w:w="28" w:type="dxa"/>
          <w:left w:w="28" w:type="dxa"/>
          <w:bottom w:w="28" w:type="dxa"/>
          <w:right w:w="28" w:type="dxa"/>
        </w:tblCellMar>
      </w:tblPr>
      <w:tblGrid>
        <w:gridCol w:w="1433"/>
        <w:gridCol w:w="1258"/>
        <w:gridCol w:w="1268"/>
        <w:gridCol w:w="211"/>
        <w:gridCol w:w="1081"/>
        <w:gridCol w:w="109"/>
        <w:gridCol w:w="109"/>
        <w:gridCol w:w="109"/>
        <w:gridCol w:w="109"/>
        <w:gridCol w:w="211"/>
        <w:gridCol w:w="976"/>
        <w:gridCol w:w="109"/>
        <w:gridCol w:w="109"/>
        <w:gridCol w:w="109"/>
        <w:gridCol w:w="109"/>
        <w:gridCol w:w="211"/>
        <w:gridCol w:w="976"/>
        <w:gridCol w:w="154"/>
      </w:tblGrid>
      <w:tr>
        <w:trPr/>
        <w:tc>
          <w:tcPr>
            <w:tcW w:w="1433"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facilities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9,507,788 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9,129,558 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8,709,315 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1,500,703 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construction in progress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other</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(507,362)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4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other</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1,868,321 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1,681,429 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1,473,851 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under development/redevelopment:</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development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 operating facilities</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other</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non-lease real estate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7,696,864 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No right-of-use assets related to operating leases are included in the ending net real estate assets information above.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aggregate cost of real estate for U.S. federal income tax purposes was $8,865,491.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9.     Changes in and Disagreements with Accountants on Accounting and Financial Disclosure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Item 9A.     Controls and Procedures</w:t>
      </w:r>
      <w:r>
        <w:rPr>
          <w:color w:val="000000"/>
        </w:rPr>
        <w:t xml:space="preserve"> </w:t>
      </w: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(i)Disclosure Controls and Procedures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 </w:t>
      </w: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(ii)Internal Control over Financial Reporting</w:t>
      </w:r>
    </w:p>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1.Management’s Report on Internal Control over Financial Reporting</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2021.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independent registered public accounting firm, Ernst &amp; Young LLP, has issued the following attestation report over our internal control over financial reporting.</w:t>
      </w:r>
    </w:p>
    <w:p>
      <w:pPr>
        <w:pStyle w:val="TextBody"/>
        <w:spacing w:before="0" w:after="0"/>
        <w:ind w:left="0" w:right="0" w:firstLine="45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(b)Attestation Report of the Registered Public Accounting Firm</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To the Stockholders and the Board of Directors of Extra Space Storage Inc.</w:t>
      </w:r>
    </w:p>
    <w:p>
      <w:pPr>
        <w:pStyle w:val="TextBody"/>
        <w:spacing w:lineRule="auto" w:line="288" w:before="240" w:after="283"/>
        <w:rPr>
          <w:rFonts w:ascii="Times New Roman;sans-serif" w:hAnsi="Times New Roman;sans-serif"/>
          <w:b/>
          <w:color w:val="333333"/>
          <w:sz w:val="20"/>
        </w:rPr>
      </w:pPr>
      <w:r>
        <w:rPr>
          <w:rFonts w:ascii="Times New Roman;sans-serif" w:hAnsi="Times New Roman;sans-serif"/>
          <w:b/>
          <w:color w:val="333333"/>
          <w:sz w:val="20"/>
        </w:rPr>
        <w:t>Opinion on Internal Control Over Financial Reporting</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We have audited Extra Space Storage Inc.’s internal control over financial reporting as of December 31, 2021, based on criteria established in Internal Control—Integrated Framework issued by the Committee of Sponsoring Organizations of the Treadway Commission (2013 framework) (the COSO criteria). In our opinion, Extra Space Storage Inc. (the Company) maintained, in all material respects, effective internal control over financial reporting as of December 31, 2021, based on the COSO criteria.</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 xml:space="preserve">We also have audited, in accordance with the standards of the Public Company Accounting Oversight Board (United States) (PCAOB), the consolidated balance sheets of the Company as of December 31, 2021 and 2020, the related consolidated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333333"/>
          <w:sz w:val="20"/>
        </w:rPr>
      </w:pPr>
      <w:r>
        <w:rPr>
          <w:rFonts w:ascii="Times New Roman;sans-serif" w:hAnsi="Times New Roman;sans-serif"/>
          <w:b w:val="false"/>
          <w:color w:val="333333"/>
          <w:sz w:val="20"/>
        </w:rPr>
        <w:t>statements of operations, comprehensive income, stockholders' equity and cash flows for each of the three years in the period ended December 31, 2021, and the related notes and financial statement schedule listed in the Index at Item 8 and our report dated February 28, 2022 expressed an unqualified opinion thereon.</w:t>
      </w:r>
    </w:p>
    <w:p>
      <w:pPr>
        <w:pStyle w:val="TextBody"/>
        <w:spacing w:lineRule="auto" w:line="288" w:before="240" w:after="283"/>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240" w:after="283"/>
        <w:rPr>
          <w:rFonts w:ascii="Times New Roman;sans-serif" w:hAnsi="Times New Roman;sans-serif"/>
          <w:b/>
          <w:color w:val="333333"/>
          <w:sz w:val="20"/>
        </w:rPr>
      </w:pPr>
      <w:r>
        <w:rPr>
          <w:rFonts w:ascii="Times New Roman;sans-serif" w:hAnsi="Times New Roman;sans-serif"/>
          <w:b/>
          <w:color w:val="333333"/>
          <w:sz w:val="20"/>
        </w:rPr>
        <w:t>Definition and Limitations of Internal Control Over Financial Reporting</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240" w:after="283"/>
        <w:ind w:left="0" w:right="0" w:firstLine="450"/>
        <w:rPr>
          <w:rFonts w:ascii="Times New Roman;sans-serif" w:hAnsi="Times New Roman;sans-serif"/>
          <w:b w:val="false"/>
          <w:color w:val="333333"/>
          <w:sz w:val="20"/>
        </w:rPr>
      </w:pPr>
      <w:r>
        <w:rPr>
          <w:rFonts w:ascii="Times New Roman;sans-serif" w:hAnsi="Times New Roman;sans-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120" w:after="283"/>
        <w:rPr/>
      </w:pPr>
      <w:r>
        <w:rPr/>
      </w:r>
    </w:p>
    <w:p>
      <w:pPr>
        <w:pStyle w:val="TextBody"/>
        <w:spacing w:lineRule="auto" w:line="288" w:before="120" w:after="283"/>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spacing w:before="120" w:after="283"/>
        <w:rPr/>
      </w:pPr>
      <w:r>
        <w:rPr/>
      </w:r>
    </w:p>
    <w:p>
      <w:pPr>
        <w:pStyle w:val="TextBody"/>
        <w:spacing w:lineRule="auto" w:line="288" w:before="120" w:after="283"/>
        <w:rPr>
          <w:rFonts w:ascii="Times New Roman;sans-serif" w:hAnsi="Times New Roman;sans-serif"/>
          <w:b w:val="false"/>
          <w:color w:val="333333"/>
          <w:sz w:val="20"/>
        </w:rPr>
      </w:pPr>
      <w:r>
        <w:rPr>
          <w:rFonts w:ascii="Times New Roman;sans-serif" w:hAnsi="Times New Roman;sans-serif"/>
          <w:b w:val="false"/>
          <w:color w:val="333333"/>
          <w:sz w:val="20"/>
        </w:rPr>
        <w:t>Salt Lake City, Utah</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(c)Changes in Internal Control over Financial Reporting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information set forth under the captions “Information about our Executive Officers,” and “Information About the Board of Directors and its Committees” in our definitive Proxy Statement to be filed with the Securities and Exchange Commission pursuant to Regulation 14A within 120 days after December 31, 2021.</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300, Salt Lake City, Utah 84121, Attn: Jeff Norman or by telephoning (801) 365-4600.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certain relationships and related transactions is incorporated by reference to the information set forth under the captions “Information about the Board of Directors and its Committees” and “Certain Relationships and Related Transactions” in our Proxy Statement to be filed with the Securities and Exchange Commission pursuant to Regulation 14A within 120 days after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principal accounting fees and services is incorporated by reference to the information set forth under the caption “Ratification of Appointment of Independent Registered Public Accounting Firm” in our Proxy Statement to be filed with the Securities and Exchange Commission pursuant to Regulation 14A within 120 days after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(a)Documents filed as part of this report:</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(1) and (2). All Financial Statements and Financial Statement Schedules filed as part of this Annual Report on 10-K are included in Item 8—“Financial Statements and Supplementary Data” of this Annual Report on 10-K and reference is made thereto.</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(3) The following documents are filed or incorporated by references as exhibits to this report:</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861"/>
        <w:gridCol w:w="2602"/>
        <w:gridCol w:w="3709"/>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602" w:type="dxa"/>
            <w:tcBorders/>
            <w:shd w:fill="auto" w:val="clear"/>
            <w:vAlign w:val="center"/>
          </w:tcPr>
          <w:p>
            <w:pPr>
              <w:pStyle w:val="TableContents"/>
              <w:spacing w:before="0" w:after="283"/>
              <w:rPr>
                <w:sz w:val="4"/>
                <w:szCs w:val="4"/>
              </w:rPr>
            </w:pPr>
            <w:r>
              <w:rPr>
                <w:sz w:val="4"/>
                <w:szCs w:val="4"/>
              </w:rPr>
            </w:r>
          </w:p>
        </w:tc>
        <w:tc>
          <w:tcPr>
            <w:tcW w:w="3709"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
              <w:r>
                <w:rPr>
                  <w:rStyle w:val="InternetLink"/>
                  <w:rFonts w:ascii="Times New Roman;sans-serif" w:hAnsi="Times New Roman;sans-serif"/>
                  <w:b w:val="false"/>
                  <w:color w:val="0000FF"/>
                  <w:sz w:val="20"/>
                  <w:u w:val="single"/>
                </w:rPr>
                <w:t>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Sale Agreement, dated May 5, 2005 by and among Security Capital Self Storage Incorporated, as seller and Extra Space Storage LLC, PRISA Self Storage LLC, PRISA II Self Storage LLC, PRISA III Self Storage LLC, VRS Self Storage LLC, WCOT Self Storage LLC and Extra Space Storage LP, as purchaser parties and The Prudential Insurance Company of America (incorporated by reference to Exhibit 2.1 of Form 8-K filed on May 11, 2005).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
              <w:r>
                <w:rPr>
                  <w:rStyle w:val="InternetLink"/>
                  <w:rFonts w:ascii="Times New Roman;sans-serif" w:hAnsi="Times New Roman;sans-serif"/>
                  <w:b w:val="false"/>
                  <w:color w:val="0000FF"/>
                  <w:sz w:val="20"/>
                  <w:u w:val="single"/>
                </w:rPr>
                <w:t>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June 15, 2015, among Extra Space Storage Inc., Extra Space Storage LP, Edgewater REIT Acquisition (MD) LLC, Edgewater Partnership Acquisition (DE) LLC, SmartStop Self Storage, Inc. and SmartStop Self Storage Operating Partnership, L.P. (incorporated by reference to Exhibit 2.1 of Form 8-K filed on June 15, 2015).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
              <w:r>
                <w:rPr>
                  <w:rStyle w:val="InternetLink"/>
                  <w:rFonts w:ascii="Times New Roman;sans-serif" w:hAnsi="Times New Roman;sans-serif"/>
                  <w:b w:val="false"/>
                  <w:color w:val="0000FF"/>
                  <w:sz w:val="20"/>
                  <w:u w:val="single"/>
                </w:rPr>
                <w:t>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Agreement and Plan of Merger, dated as of July 16, 2015, among Extra Space Storage Inc., Extra Space Storage LP, Edgewater REIT Acquisition (MD) LLC, Edgewater Partnership Acquisition (DE) LLC, SmartStop Self Storage, Inc. and SmartStop Self Storage Operating Partnership, L.P. (incorporated by reference to Exhibit 2.1 of Form 8-K filed on July 16, 2015).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Amended and Restated Articles of Incorporation of Extra Space Storage Inc.</w:t>
            </w:r>
            <w:r>
              <w:rPr>
                <w:rFonts w:ascii="Times New Roman;sans-serif" w:hAnsi="Times New Roman;sans-serif"/>
                <w:b w:val="false"/>
                <w:color w:val="000000"/>
                <w:sz w:val="13"/>
              </w:rPr>
              <w:t>(1)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Articles of Amendment of Extra Space Storage Inc., dated September 28, 2007 (incorporated by reference to Exhibit 3.1 of Form 8-K filed on October 3, 2007).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
              <w:r>
                <w:rPr>
                  <w:rStyle w:val="InternetLink"/>
                  <w:rFonts w:ascii="Times New Roman;sans-serif" w:hAnsi="Times New Roman;sans-serif"/>
                  <w:b w:val="false"/>
                  <w:color w:val="0000FF"/>
                  <w:sz w:val="20"/>
                  <w:u w:val="single"/>
                </w:rPr>
                <w:t>3.3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Articles of Amendment of Extra Space Storage Inc., dated August 29, 2013 (incorporated by reference to Exhibit 3.1 of Form 8-K filed on August 29, 2013).</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
              <w:r>
                <w:rPr>
                  <w:rStyle w:val="InternetLink"/>
                  <w:rFonts w:ascii="Times New Roman;sans-serif" w:hAnsi="Times New Roman;sans-serif"/>
                  <w:b w:val="false"/>
                  <w:color w:val="0000FF"/>
                  <w:sz w:val="20"/>
                  <w:u w:val="single"/>
                </w:rPr>
                <w:t>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Articles of Amendment of Extra Space Storage Inc., dated May 21, 2014 (incorporated by reference to Exhibit 3.1 of Form 8-K filed on May 28, 2014).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1">
              <w:r>
                <w:rPr>
                  <w:rStyle w:val="InternetLink"/>
                  <w:rFonts w:ascii="Times New Roman;sans-serif" w:hAnsi="Times New Roman;sans-serif"/>
                  <w:b w:val="false"/>
                  <w:color w:val="0000FF"/>
                  <w:sz w:val="20"/>
                  <w:u w:val="single"/>
                </w:rPr>
                <w:t>3.5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Extra Space Storage Inc.(incorporated by reference to Exhibit 3.1 of Form 8-K filed on January 17, 2018)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2">
              <w:r>
                <w:rPr>
                  <w:rStyle w:val="InternetLink"/>
                  <w:rFonts w:ascii="Times New Roman;sans-serif" w:hAnsi="Times New Roman;sans-serif"/>
                  <w:b w:val="false"/>
                  <w:color w:val="0000FF"/>
                  <w:sz w:val="20"/>
                  <w:u w:val="single"/>
                </w:rPr>
                <w:t>3.6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Agreement of Limited Partnership of Extra Space Storage LP (incorporated by reference to Exhibit 10.1 of Form 8-K filed on December 6, 2013).</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3">
              <w:r>
                <w:rPr>
                  <w:rStyle w:val="InternetLink"/>
                  <w:rFonts w:ascii="Times New Roman;sans-serif" w:hAnsi="Times New Roman;sans-serif"/>
                  <w:b w:val="false"/>
                  <w:color w:val="0000FF"/>
                  <w:sz w:val="20"/>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Note (incorporated by reference to Exhibit 4.3 of Form 10-K filed on February 26, 2010)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(Incorporated by reference to Exhibit 4.6 of Form 10-K filed on February 25,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5">
              <w:r>
                <w:rPr>
                  <w:rStyle w:val="InternetLink"/>
                  <w:rFonts w:ascii="Times New Roman;sans-serif" w:hAnsi="Times New Roman;sans-serif"/>
                  <w:b w:val="false"/>
                  <w:color w:val="0000FF"/>
                  <w:sz w:val="20"/>
                  <w:u w:val="single"/>
                </w:rPr>
                <w:t>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11, 2021, among Extra Space Storage LP, as issuer, Extra Space Storage Inc., ESS Holdings Business Trust I and ESS Holdings Business Trust II, as guarantors, and Wells Fargo Bank, National Association, as trustee (incorporated by reference to Exhibit 4.1 to the Current Report on Form 8-K filed by Extra Space Storage Inc. on May 11,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6">
              <w:r>
                <w:rPr>
                  <w:rStyle w:val="InternetLink"/>
                  <w:rFonts w:ascii="Times New Roman;sans-serif" w:hAnsi="Times New Roman;sans-serif"/>
                  <w:b w:val="false"/>
                  <w:color w:val="0000FF"/>
                  <w:sz w:val="20"/>
                  <w:u w:val="single"/>
                </w:rPr>
                <w:t>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as of May 11, 2021, among Extra Space Storage LP, as issuer, Extra Space Storage Inc., ESS Holdings Business Trust I and ESS Holdings Business Trust II, as guarantors, and Wells Fargo Bank, National Association, as trustee, including the form of the Notes and the Guarantee (incorporated by reference to Exhibit 4.2 to the Current Report on Form 8-K filed by Extra Space Storage Inc. on May 11,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7">
              <w:r>
                <w:rPr>
                  <w:rStyle w:val="InternetLink"/>
                  <w:rFonts w:ascii="Times New Roman;sans-serif" w:hAnsi="Times New Roman;sans-serif"/>
                  <w:b w:val="false"/>
                  <w:color w:val="0000FF"/>
                  <w:sz w:val="20"/>
                  <w:u w:val="single"/>
                </w:rPr>
                <w:t>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September 22, 2021, among Extra Space Storage LP, as issuer, Extra Space Storage Inc., ESS Holdings Business Trust I and ESS Holdings Business Trust II, as guarantors, and Wells Fargo Bank, National Association, as trustee, including the form of the Notes and the Guarantee (incorporated by reference to Exhibit 4.2 of Form 8-K filed on September 22,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8">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Registration Rights Agreement, by and among Extra Space Storage Inc. and the parties listed on Schedule I thereto.</w:t>
            </w:r>
            <w:r>
              <w:rPr>
                <w:rFonts w:ascii="Times New Roman;sans-serif" w:hAnsi="Times New Roman;sans-serif"/>
                <w:b w:val="false"/>
                <w:color w:val="000000"/>
                <w:sz w:val="13"/>
              </w:rPr>
              <w:t>(1)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9">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Joint Venture Agreement, dated June 1, 2004, by and between Extra Space Storage LLC and Prudential Financial, Inc.</w:t>
            </w:r>
            <w:r>
              <w:rPr>
                <w:rFonts w:ascii="Times New Roman;sans-serif" w:hAnsi="Times New Roman;sans-serif"/>
                <w:b w:val="false"/>
                <w:color w:val="000000"/>
                <w:sz w:val="13"/>
              </w:rPr>
              <w:t>(1)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0">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June 20, 2005, among Extra Space Storage Inc. and the investors named therein (incorporated by reference to Exhibit 10.2 of Form 8-K filed on June 24, 2005).</w:t>
            </w:r>
          </w:p>
        </w:tc>
      </w:tr>
    </w:tbl>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837"/>
        <w:gridCol w:w="2604"/>
        <w:gridCol w:w="3731"/>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7" w:type="dxa"/>
            <w:tcBorders/>
            <w:shd w:fill="auto" w:val="clear"/>
            <w:vAlign w:val="center"/>
          </w:tcPr>
          <w:p>
            <w:pPr>
              <w:pStyle w:val="TableContents"/>
              <w:spacing w:before="0" w:after="283"/>
              <w:rPr>
                <w:sz w:val="4"/>
                <w:szCs w:val="4"/>
              </w:rPr>
            </w:pPr>
            <w:r>
              <w:rPr>
                <w:sz w:val="4"/>
                <w:szCs w:val="4"/>
              </w:rPr>
            </w:r>
          </w:p>
        </w:tc>
        <w:tc>
          <w:tcPr>
            <w:tcW w:w="2604" w:type="dxa"/>
            <w:tcBorders/>
            <w:shd w:fill="auto" w:val="clear"/>
            <w:vAlign w:val="center"/>
          </w:tcPr>
          <w:p>
            <w:pPr>
              <w:pStyle w:val="TableContents"/>
              <w:spacing w:before="0" w:after="283"/>
              <w:rPr>
                <w:sz w:val="4"/>
                <w:szCs w:val="4"/>
              </w:rPr>
            </w:pPr>
            <w:r>
              <w:rPr>
                <w:sz w:val="4"/>
                <w:szCs w:val="4"/>
              </w:rPr>
            </w:r>
          </w:p>
        </w:tc>
        <w:tc>
          <w:tcPr>
            <w:tcW w:w="3731"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1">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as of July 27, 2005, among Extra Space Storage LP, ESS Statutory Trust III and the Purchaser named therein (incorporated by reference to Exhibit 10.1 of Form 8-K filed on August 2, 2005).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2">
              <w:r>
                <w:rPr>
                  <w:rStyle w:val="InternetLink"/>
                  <w:rFonts w:ascii="Times New Roman;sans-serif" w:hAnsi="Times New Roman;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dated June 25, 2007, among Extra Space Storage LP, H. James Knuppe and Barbara Knuppe (incorporated by reference to Exhibit 10.2 of Form 8-K filed on June 26, 2007).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3">
              <w:r>
                <w:rPr>
                  <w:rStyle w:val="InternetLink"/>
                  <w:rFonts w:ascii="Times New Roman;sans-serif" w:hAnsi="Times New Roman;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Pledge Agreement, dated June 25, 2007, among Extra Space Storage LP, H. James Knuppe and Barbara Knuppe (incorporated by reference to Exhibit 10.3 of Form 8-K filed on June 26, 2007).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4">
              <w:r>
                <w:rPr>
                  <w:rStyle w:val="InternetLink"/>
                  <w:rFonts w:ascii="Times New Roman;sans-serif" w:hAnsi="Times New Roman;sans-serif"/>
                  <w:b w:val="false"/>
                  <w:color w:val="0000FF"/>
                  <w:sz w:val="20"/>
                  <w:u w:val="single"/>
                </w:rPr>
                <w:t>10.7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among Extra Space Storage LP, H. James Knuppe and Barbara Knuppe. (incorporated by reference to Exhibit 10.26 of Form 10-K filed on February 26, 2010).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5">
              <w:r>
                <w:rPr>
                  <w:rStyle w:val="InternetLink"/>
                  <w:rFonts w:ascii="Times New Roman;sans-serif" w:hAnsi="Times New Roman;sans-serif"/>
                  <w:b w:val="false"/>
                  <w:color w:val="0000FF"/>
                  <w:sz w:val="20"/>
                  <w:u w:val="single"/>
                </w:rPr>
                <w:t>10.8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Membership Interest Purchase Agreement, dated as of April 13, 2012, between Extra Space Properties Sixty Three LLC and PRISA III Co-Investment LLC (incorporated by reference to Exhibit 10.1 of Form 8-K filed on April 16, 2012).</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6">
              <w:r>
                <w:rPr>
                  <w:rStyle w:val="InternetLink"/>
                  <w:rFonts w:ascii="Times New Roman;sans-serif" w:hAnsi="Times New Roman;sans-serif"/>
                  <w:b w:val="false"/>
                  <w:color w:val="0000FF"/>
                  <w:sz w:val="20"/>
                  <w:u w:val="single"/>
                </w:rPr>
                <w:t>10.9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 Executive Change in Control Plan (incorporated by reference to Exhibit 10.1 of Form 8-K filed on August 31, 2010).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7">
              <w:r>
                <w:rPr>
                  <w:rStyle w:val="InternetLink"/>
                  <w:rFonts w:ascii="Times New Roman;sans-serif" w:hAnsi="Times New Roman;sans-serif"/>
                  <w:b w:val="false"/>
                  <w:color w:val="0000FF"/>
                  <w:sz w:val="20"/>
                  <w:u w:val="single"/>
                </w:rPr>
                <w:t>10.10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November 22, 2013, amending the Contribution Agreement, dated June 15, 2007, among Extra Space Storage LP and various limited partnerships affiliated with AAAAA Rent-A-Space, and the Promissory Note, dated June 25, 2007, among Extra Space Storage LP, H. James Knuppe and Barbara Knuppe (incorporated by reference to Exhibit 10.1 of Form 10-Q filed on May 8, 2014).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8">
              <w:r>
                <w:rPr>
                  <w:rStyle w:val="InternetLink"/>
                  <w:rFonts w:ascii="Times New Roman;sans-serif" w:hAnsi="Times New Roman;sans-serif"/>
                  <w:b w:val="false"/>
                  <w:color w:val="0000FF"/>
                  <w:sz w:val="20"/>
                  <w:u w:val="single"/>
                </w:rPr>
                <w:t>10.11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April 18, 2017, amending the Promissory Note and Waiving a Portion of the Series A Preferred Priority Return, among Extra Space Storage LP, ESS Holdings Business Trust I, H. James Knuppe and Barbara Knuppe (incorporated by reference to Exhibit 10.1 of Form 10-Q filed on May 5, 2017).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9">
              <w:r>
                <w:rPr>
                  <w:rStyle w:val="InternetLink"/>
                  <w:rFonts w:ascii="Times New Roman;sans-serif" w:hAnsi="Times New Roman;sans-serif"/>
                  <w:b w:val="false"/>
                  <w:color w:val="0000FF"/>
                  <w:sz w:val="20"/>
                  <w:u w:val="single"/>
                </w:rPr>
                <w:t>10.12*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2015 Incentive Award Plan (incorporated by reference to the Definitive Proxy Statement on Schedule 14A filed on April 14, 2015)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0">
              <w:r>
                <w:rPr>
                  <w:rStyle w:val="InternetLink"/>
                  <w:rFonts w:ascii="Times New Roman;sans-serif" w:hAnsi="Times New Roman;sans-serif"/>
                  <w:b w:val="false"/>
                  <w:color w:val="0000FF"/>
                  <w:sz w:val="20"/>
                  <w:u w:val="single"/>
                </w:rPr>
                <w:t>10.13*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2015 Incentive Award Plan Performance Stock Award Agreement (incorporated by reference to Exhibit 10.13 of Form 10-K filed on February 26,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1">
              <w:r>
                <w:rPr>
                  <w:rStyle w:val="InternetLink"/>
                  <w:rFonts w:ascii="Times New Roman;sans-serif" w:hAnsi="Times New Roman;sans-serif"/>
                  <w:b w:val="false"/>
                  <w:color w:val="0000FF"/>
                  <w:sz w:val="20"/>
                  <w:u w:val="single"/>
                </w:rPr>
                <w:t>10.15*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2004 Long-Term Compensation Incentive Plan as amended and restated effective March 25, 2008 (incorporated by reference to the Definitive Proxy Statement on Schedule 14A filed on April 14, 2008)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2">
              <w:r>
                <w:rPr>
                  <w:rStyle w:val="InternetLink"/>
                  <w:rFonts w:ascii="Times New Roman;sans-serif" w:hAnsi="Times New Roman;sans-serif"/>
                  <w:b w:val="false"/>
                  <w:color w:val="0000FF"/>
                  <w:sz w:val="20"/>
                  <w:u w:val="single"/>
                </w:rPr>
                <w:t>10.16*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Form of 2004 Long Term Incentive Compensation Plan Option Award Agreement for Employees with employment agreements. (incorporated by reference to Exhibit 10.11 of Form 10-K filed on February 26, 2010).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3">
              <w:r>
                <w:rPr>
                  <w:rStyle w:val="InternetLink"/>
                  <w:rFonts w:ascii="Times New Roman;sans-serif" w:hAnsi="Times New Roman;sans-serif"/>
                  <w:b w:val="false"/>
                  <w:color w:val="0000FF"/>
                  <w:sz w:val="20"/>
                  <w:u w:val="single"/>
                </w:rPr>
                <w:t>10.17*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Form of 2004 Long Term Incentive Compensation Plan Option Award Agreement for employees without employment agreements. (incorporated by reference to Exhibit 10.12 of Form 10-K filed on February 26, 2010).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4">
              <w:r>
                <w:rPr>
                  <w:rStyle w:val="InternetLink"/>
                  <w:rFonts w:ascii="Times New Roman;sans-serif" w:hAnsi="Times New Roman;sans-serif"/>
                  <w:b w:val="false"/>
                  <w:color w:val="0000FF"/>
                  <w:sz w:val="20"/>
                  <w:u w:val="single"/>
                </w:rPr>
                <w:t>10.18*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Form of 2004 Non-Employee Directors Share Plan Option Award Agreement for Directors. (incorporated by reference to Exhibit 10.13 of Form 10-K filed on February 26, 2010).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5">
              <w:r>
                <w:rPr>
                  <w:rStyle w:val="InternetLink"/>
                  <w:rFonts w:ascii="Times New Roman;sans-serif" w:hAnsi="Times New Roman;sans-serif"/>
                  <w:b w:val="false"/>
                  <w:color w:val="0000FF"/>
                  <w:sz w:val="20"/>
                  <w:u w:val="single"/>
                </w:rPr>
                <w:t>10.19*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2004 Long Term Incentive Compensation Plan Restricted Stock Award Agreement (incorporated by reference to Exhibit 10.2 of Form 10-Q filed on November 7, 2007).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6">
              <w:r>
                <w:rPr>
                  <w:rStyle w:val="InternetLink"/>
                  <w:rFonts w:ascii="Times New Roman;sans-serif" w:hAnsi="Times New Roman;sans-serif"/>
                  <w:b w:val="false"/>
                  <w:color w:val="0000FF"/>
                  <w:sz w:val="20"/>
                  <w:u w:val="single"/>
                </w:rPr>
                <w:t>10.20*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Extra Space Storage Inc. 2004 Non-Employee Directors’ Share Plan (incorporated by reference to Exhibit 10.4 of Form 10-Q filed on November 7, 2007).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7">
              <w:r>
                <w:rPr>
                  <w:rStyle w:val="InternetLink"/>
                  <w:rFonts w:ascii="Times New Roman;sans-serif" w:hAnsi="Times New Roman;sans-serif"/>
                  <w:b w:val="false"/>
                  <w:color w:val="0000FF"/>
                  <w:sz w:val="20"/>
                  <w:u w:val="single"/>
                </w:rPr>
                <w:t>10.21*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2004 Non-Employee Directors’ Share Plan (incorporated by reference to Exhibit 10.22 of Form 10-K/A filed on March 20, 2007).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8">
              <w:r>
                <w:rPr>
                  <w:rStyle w:val="InternetLink"/>
                  <w:rFonts w:ascii="Times New Roman;sans-serif" w:hAnsi="Times New Roman;sans-serif"/>
                  <w:b w:val="false"/>
                  <w:color w:val="0000FF"/>
                  <w:sz w:val="20"/>
                  <w:u w:val="single"/>
                </w:rPr>
                <w:t>10.22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Credit Agreement, dated as of June 22, 2021, by and among Extra Space Storage Inc., Extra Space Storage LP, U.S. Bank National Association, as administrative agent, certain other financial institutions acting as syndication agents, documentation agents and lead arrangers and books runners, and certain lenders party thereto (incorporated by reference to Exhibit 10.1 of Form 8-K filed on June 25,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q4202110kex211.htm">
              <w:r>
                <w:rPr>
                  <w:rStyle w:val="InternetLink"/>
                  <w:rFonts w:ascii="Times New Roman;sans-serif" w:hAnsi="Times New Roman;sans-serif"/>
                  <w:b w:val="false"/>
                  <w:color w:val="0000FF"/>
                  <w:sz w:val="20"/>
                  <w:u w:val="single"/>
                </w:rPr>
                <w:t>21.1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Subsidiaries of the Company</w:t>
            </w:r>
            <w:r>
              <w:rPr>
                <w:rFonts w:ascii="Times New Roman;sans-serif" w:hAnsi="Times New Roman;sans-serif"/>
                <w:b w:val="false"/>
                <w:color w:val="000000"/>
                <w:sz w:val="13"/>
              </w:rPr>
              <w:t>(2)</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q4202110kex221.htm">
              <w:r>
                <w:rPr>
                  <w:rStyle w:val="InternetLink"/>
                  <w:rFonts w:ascii="Times New Roman;sans-serif" w:hAnsi="Times New Roman;sans-serif"/>
                  <w:b w:val="false"/>
                  <w:color w:val="0000FF"/>
                  <w:sz w:val="20"/>
                  <w:u w:val="single"/>
                </w:rPr>
                <w:t>22.1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Issuer and Guarantors of Guaranteed Securities</w:t>
            </w:r>
            <w:r>
              <w:rPr>
                <w:rFonts w:ascii="Times New Roman;sans-serif" w:hAnsi="Times New Roman;sans-serif"/>
                <w:b w:val="false"/>
                <w:color w:val="000000"/>
                <w:sz w:val="13"/>
              </w:rPr>
              <w:t>(2)</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q4202110kex231.htm">
              <w:r>
                <w:rPr>
                  <w:rStyle w:val="InternetLink"/>
                  <w:rFonts w:ascii="Times New Roman;sans-serif" w:hAnsi="Times New Roman;sans-serif"/>
                  <w:b w:val="false"/>
                  <w:color w:val="0000FF"/>
                  <w:sz w:val="20"/>
                  <w:u w:val="single"/>
                </w:rPr>
                <w:t>23.1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Consent of Ernst &amp; Young LLP</w:t>
            </w:r>
            <w:r>
              <w:rPr>
                <w:rFonts w:ascii="Times New Roman;sans-serif" w:hAnsi="Times New Roman;sans-serif"/>
                <w:b w:val="false"/>
                <w:color w:val="000000"/>
                <w:sz w:val="13"/>
              </w:rPr>
              <w:t>(2)</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q4202110kex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Certification of Chief Executive Officer pursuant to Section 302 of the Sarbanes-Oxley Act of 2002.</w:t>
            </w:r>
            <w:r>
              <w:rPr>
                <w:rFonts w:ascii="Times New Roman;sans-serif" w:hAnsi="Times New Roman;sans-serif"/>
                <w:b w:val="false"/>
                <w:color w:val="000000"/>
                <w:sz w:val="13"/>
              </w:rPr>
              <w:t>(2)</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q4202110kex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Certification of Chief Financial Officer pursuant to Section 302 of the Sarbanes-Oxley Act of 2002.</w:t>
            </w:r>
            <w:r>
              <w:rPr>
                <w:rFonts w:ascii="Times New Roman;sans-serif" w:hAnsi="Times New Roman;sans-serif"/>
                <w:b w:val="false"/>
                <w:color w:val="000000"/>
                <w:sz w:val="13"/>
              </w:rPr>
              <w:t>(2)</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q4202110kex321.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Certifications of the Chief Executive Officer and Chief Financial Officer pursuant to 18 U.S.C. Section 1350, as adopted pursuant to Section 906 of the Sarbanes-Oxley Act of 2002.</w:t>
            </w:r>
            <w:r>
              <w:rPr>
                <w:rFonts w:ascii="Times New Roman;sans-serif" w:hAnsi="Times New Roman;sans-serif"/>
                <w:b w:val="false"/>
                <w:color w:val="000000"/>
                <w:sz w:val="13"/>
              </w:rPr>
              <w:t>(2)</w:t>
            </w:r>
          </w:p>
        </w:tc>
      </w:tr>
    </w:tbl>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674"/>
        <w:gridCol w:w="2674"/>
        <w:gridCol w:w="3824"/>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c>
          <w:tcPr>
            <w:tcW w:w="3824"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The following financial information from Registrant’s Annual Report on Form 10-K for the period ended December 31, 2021, formatted in Extensible Business Reporting Language (XBRL): (i) Consolidated Balance Sheets as of December 31, 2021 and 2020; (ii) Consolidated Statements of Operations for the years ended December 31, 2021, 2020 and 2019; (iii) Consolidated Statements of Comprehensive Income for the years ended December 31, 2021, 2020 and 2019; (iv) Consolidated Statements of Stockholders’ Equity for the years ended December 31, 2021, 2020 and 2019; (v) Consolidated Statements of Cash Flows for the years ended December 31, 2021, 2020 and 2019; and (vi) Notes to Consolidated Financial Statements</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ind w:left="0" w:right="0" w:firstLine="99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pStyle w:val="TextBody"/>
        <w:spacing w:lineRule="auto" w:line="288" w:before="0" w:after="0"/>
        <w:rPr/>
      </w:pPr>
      <w:r>
        <w:rPr>
          <w:rFonts w:ascii="Times New Roman;sans-serif" w:hAnsi="Times New Roman;sans-serif"/>
          <w:b w:val="false"/>
          <w:color w:val="000000"/>
          <w:sz w:val="20"/>
        </w:rPr>
        <w:t>(1)</w:t>
      </w:r>
      <w:r>
        <w:rPr>
          <w:rFonts w:ascii="Times New Roman;sans-serif" w:hAnsi="Times New Roman;sans-serif"/>
          <w:b w:val="false"/>
          <w:color w:val="000000"/>
          <w:sz w:val="20"/>
        </w:rPr>
        <w:t>Incorporated by reference to Registration Statement on Form S-11 (File No. 333-115436 dated August 11, 2004).</w:t>
      </w:r>
    </w:p>
    <w:p>
      <w:pPr>
        <w:pStyle w:val="TextBody"/>
        <w:spacing w:lineRule="auto" w:line="288" w:before="0" w:after="0"/>
        <w:rPr/>
      </w:pPr>
      <w:r>
        <w:rPr>
          <w:rFonts w:ascii="Times New Roman;sans-serif" w:hAnsi="Times New Roman;sans-serif"/>
          <w:b w:val="false"/>
          <w:color w:val="000000"/>
          <w:sz w:val="20"/>
        </w:rPr>
        <w:t>(2)</w:t>
      </w:r>
      <w:r>
        <w:rPr>
          <w:rFonts w:ascii="Times New Roman;sans-serif" w:hAnsi="Times New Roman;sans-serif"/>
          <w:b w:val="false"/>
          <w:color w:val="000000"/>
          <w:sz w:val="20"/>
        </w:rPr>
        <w:t>Filed herewith.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rPr/>
      </w:pPr>
      <w:r>
        <w:rPr/>
      </w:r>
    </w:p>
    <w:p>
      <w:pPr>
        <w:pStyle w:val="TextBody"/>
        <w:spacing w:lineRule="auto" w:line="288" w:before="0" w:after="0"/>
        <w:ind w:left="0" w:right="0" w:firstLine="63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522" w:type="dxa"/>
        <w:jc w:val="left"/>
        <w:tblInd w:w="0" w:type="dxa"/>
        <w:tblCellMar>
          <w:top w:w="28" w:type="dxa"/>
          <w:left w:w="28" w:type="dxa"/>
          <w:bottom w:w="28" w:type="dxa"/>
          <w:right w:w="28" w:type="dxa"/>
        </w:tblCellMar>
      </w:tblPr>
      <w:tblGrid>
        <w:gridCol w:w="754"/>
        <w:gridCol w:w="664"/>
        <w:gridCol w:w="667"/>
        <w:gridCol w:w="109"/>
        <w:gridCol w:w="109"/>
        <w:gridCol w:w="109"/>
        <w:gridCol w:w="295"/>
        <w:gridCol w:w="295"/>
        <w:gridCol w:w="295"/>
        <w:gridCol w:w="295"/>
        <w:gridCol w:w="295"/>
        <w:gridCol w:w="295"/>
        <w:gridCol w:w="676"/>
        <w:gridCol w:w="676"/>
        <w:gridCol w:w="988"/>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687" w:type="dxa"/>
        <w:jc w:val="center"/>
        <w:tblInd w:w="0" w:type="dxa"/>
        <w:tblCellMar>
          <w:top w:w="28" w:type="dxa"/>
          <w:left w:w="28" w:type="dxa"/>
          <w:bottom w:w="28" w:type="dxa"/>
          <w:right w:w="28" w:type="dxa"/>
        </w:tblCellMar>
      </w:tblPr>
      <w:tblGrid>
        <w:gridCol w:w="754"/>
        <w:gridCol w:w="664"/>
        <w:gridCol w:w="667"/>
        <w:gridCol w:w="109"/>
        <w:gridCol w:w="109"/>
        <w:gridCol w:w="109"/>
        <w:gridCol w:w="134"/>
        <w:gridCol w:w="134"/>
        <w:gridCol w:w="136"/>
        <w:gridCol w:w="109"/>
        <w:gridCol w:w="109"/>
        <w:gridCol w:w="109"/>
        <w:gridCol w:w="1328"/>
        <w:gridCol w:w="1328"/>
        <w:gridCol w:w="1888"/>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 Scott Stubbs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Executive Vice President and Chief Financial Officer </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GRACE KUNDE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Grace Kunde</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Accounting and Finance</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M. WOOLLEY</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Kenneth M. Woolley</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J. BONNER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J. Bonner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GARY CRITTENDEN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Gary Crittenden</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SPENCER F. KIRK</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Spencer F. Kirk </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DENNIS LETHAM</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Dennis Letham</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DIANE OLMSTEAD</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Diane Olmstead</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ROGER B. PORTER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Roger B. Porter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JULIA VANDER PLOEG</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Julia Vander Ploeg</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88" w:before="0" w:after="0"/>
        <w:rPr>
          <w:color w:val="000000"/>
        </w:rPr>
      </w:pPr>
      <w:r>
        <w:rPr>
          <w:color w:val="000000"/>
        </w:rPr>
        <w:t> </w:t>
      </w:r>
    </w:p>
    <w:tbl>
      <w:tblPr>
        <w:tblW w:w="5426" w:type="dxa"/>
        <w:jc w:val="left"/>
        <w:tblInd w:w="0" w:type="dxa"/>
        <w:tblCellMar>
          <w:top w:w="28" w:type="dxa"/>
          <w:left w:w="28" w:type="dxa"/>
          <w:bottom w:w="28" w:type="dxa"/>
          <w:right w:w="28" w:type="dxa"/>
        </w:tblCellMar>
      </w:tblPr>
      <w:tblGrid>
        <w:gridCol w:w="727"/>
        <w:gridCol w:w="637"/>
        <w:gridCol w:w="645"/>
        <w:gridCol w:w="109"/>
        <w:gridCol w:w="109"/>
        <w:gridCol w:w="109"/>
        <w:gridCol w:w="904"/>
        <w:gridCol w:w="904"/>
        <w:gridCol w:w="1282"/>
      </w:tblGrid>
      <w:tr>
        <w:trPr/>
        <w:tc>
          <w:tcPr>
            <w:tcW w:w="72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Formation/Incorporation</w:t>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LP</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2021. A total of 410 subsidiaries have been excluded, each of which operates in the United States [other than one subsidiary which operates in Bermuda].</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Issuer and Guarantors of Guaranteed Securities </w:t>
      </w:r>
    </w:p>
    <w:p>
      <w:pPr>
        <w:pStyle w:val="TextBody"/>
        <w:spacing w:before="0" w:after="0"/>
        <w:jc w:val="center"/>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entities are included in the Obligated Group, as defined in the Annual Report on Form 10-K of Extra Space Storage Inc. to which this document is being filed as an exhibit, for the 2.550% Senior Notes due 2031 and the 2.350% Senior Notes due 2032 (collectively, the "Notes"). The guarantors have fully and unconditionally guaranteed the Notes on a joint and several basis. </w:t>
      </w:r>
    </w:p>
    <w:tbl>
      <w:tblPr>
        <w:tblW w:w="8144" w:type="dxa"/>
        <w:jc w:val="left"/>
        <w:tblInd w:w="0" w:type="dxa"/>
        <w:tblCellMar>
          <w:top w:w="28" w:type="dxa"/>
          <w:left w:w="28" w:type="dxa"/>
          <w:bottom w:w="28" w:type="dxa"/>
          <w:right w:w="28" w:type="dxa"/>
        </w:tblCellMar>
      </w:tblPr>
      <w:tblGrid>
        <w:gridCol w:w="956"/>
        <w:gridCol w:w="839"/>
        <w:gridCol w:w="844"/>
        <w:gridCol w:w="829"/>
        <w:gridCol w:w="829"/>
        <w:gridCol w:w="832"/>
        <w:gridCol w:w="883"/>
        <w:gridCol w:w="883"/>
        <w:gridCol w:w="1249"/>
      </w:tblGrid>
      <w:tr>
        <w:trPr/>
        <w:tc>
          <w:tcPr>
            <w:tcW w:w="9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Issuer or Guarantor</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 Issuer or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 or Organization</w:t>
            </w:r>
          </w:p>
        </w:tc>
      </w:tr>
      <w:tr>
        <w:trPr/>
        <w:tc>
          <w:tcPr>
            <w:tcW w:w="2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LP</w:t>
            </w:r>
          </w:p>
        </w:tc>
        <w:tc>
          <w:tcPr>
            <w:tcW w:w="2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3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II</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bl>
    <w:p>
      <w:pPr>
        <w:pStyle w:val="TextBody"/>
        <w:spacing w:before="24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240" w:after="283"/>
        <w:jc w:val="center"/>
        <w:rPr/>
      </w:pPr>
      <w:r>
        <w:rPr/>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before="120" w:after="283"/>
        <w:ind w:left="0" w:right="0" w:firstLine="45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S-3 No. 333-254236)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333-204010) pertaining to the 2015 Incentive Award Plan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3)Registration Statement (Form S-3 No. 333-198215)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4)Registration Statement (Form S-3 No. 333-190928)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5)Registration Statement (Form S-3 No. 333-176296)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6)Registration Statement (Form S-3 No. 333-176277)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7)Registration Statement (Form S-8 No. 333-157559) pertaining to the 401 (k) Plan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8)Registration Statement (Form S-3 No. 333-153082)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9)Registration Statement (Form S-3 No. 333-133407)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10)Registration Statement (Form S-3 No. 333-128988) of Extra Space Storage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11)Registration Statement (Form S-3 No. 333-128504) of Extra Space Storage Inc.,</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28, 2022 with respect to the consolidated financial statements and schedule of Extra Space Storage Inc., and the effectiveness of internal control over financial reporting of Extra Space Storage Inc., included in this Annual Report (Form 10-K) of Extra Space Storage Inc. for the year ended December 31, 2021.</w:t>
      </w:r>
    </w:p>
    <w:p>
      <w:pPr>
        <w:pStyle w:val="TextBody"/>
        <w:spacing w:before="240" w:after="283"/>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Salt Lake City, Utah</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Joseph D. Margolis, certify that:</w:t>
      </w:r>
    </w:p>
    <w:p>
      <w:pPr>
        <w:pStyle w:val="TextBody"/>
        <w:spacing w:lineRule="auto" w:line="288" w:before="0" w:after="0"/>
        <w:rPr>
          <w:color w:val="000000"/>
        </w:rPr>
      </w:pPr>
      <w:r>
        <w:rPr>
          <w:color w:val="000000"/>
        </w:rPr>
        <w:t> </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Extra Space Storage Inc.;</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6"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bl>
      <w:tblPr>
        <w:tblW w:w="3476" w:type="dxa"/>
        <w:jc w:val="left"/>
        <w:tblInd w:w="0" w:type="dxa"/>
        <w:tblCellMar>
          <w:top w:w="28" w:type="dxa"/>
          <w:left w:w="28" w:type="dxa"/>
          <w:bottom w:w="28" w:type="dxa"/>
          <w:right w:w="28" w:type="dxa"/>
        </w:tblCellMar>
      </w:tblPr>
      <w:tblGrid>
        <w:gridCol w:w="216"/>
        <w:gridCol w:w="191"/>
        <w:gridCol w:w="193"/>
        <w:gridCol w:w="109"/>
        <w:gridCol w:w="109"/>
        <w:gridCol w:w="109"/>
        <w:gridCol w:w="745"/>
        <w:gridCol w:w="745"/>
        <w:gridCol w:w="1059"/>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r>
      <w:tr>
        <w:trPr/>
        <w:tc>
          <w:tcPr>
            <w:tcW w:w="6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Joseph D. Margolis</w:t>
            </w:r>
          </w:p>
        </w:tc>
      </w:tr>
      <w:tr>
        <w:trPr/>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Title: </w:t>
            </w:r>
            <w:r>
              <w:rPr>
                <w:rFonts w:ascii="Times New Roman;sans-serif" w:hAnsi="Times New Roman;sans-serif"/>
                <w:b w:val="false"/>
                <w:i/>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P. Scott Stubbs, certify that:</w:t>
      </w:r>
    </w:p>
    <w:p>
      <w:pPr>
        <w:pStyle w:val="TextBody"/>
        <w:spacing w:lineRule="auto" w:line="288" w:before="0" w:after="0"/>
        <w:rPr>
          <w:color w:val="000000"/>
        </w:rPr>
      </w:pPr>
      <w:r>
        <w:rPr>
          <w:color w:val="000000"/>
        </w:rPr>
        <w:t> </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Extra Space Storage Inc.;</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6"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bl>
      <w:tblPr>
        <w:tblW w:w="5653" w:type="dxa"/>
        <w:jc w:val="left"/>
        <w:tblInd w:w="0" w:type="dxa"/>
        <w:tblCellMar>
          <w:top w:w="28" w:type="dxa"/>
          <w:left w:w="28" w:type="dxa"/>
          <w:bottom w:w="28" w:type="dxa"/>
          <w:right w:w="28" w:type="dxa"/>
        </w:tblCellMar>
      </w:tblPr>
      <w:tblGrid>
        <w:gridCol w:w="297"/>
        <w:gridCol w:w="262"/>
        <w:gridCol w:w="266"/>
        <w:gridCol w:w="109"/>
        <w:gridCol w:w="109"/>
        <w:gridCol w:w="109"/>
        <w:gridCol w:w="1315"/>
        <w:gridCol w:w="1315"/>
        <w:gridCol w:w="1871"/>
      </w:tblGrid>
      <w:tr>
        <w:trPr/>
        <w:tc>
          <w:tcPr>
            <w:tcW w:w="29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Joseph D. Margolis,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2021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5562" w:type="dxa"/>
        <w:jc w:val="left"/>
        <w:tblInd w:w="0" w:type="dxa"/>
        <w:tblCellMar>
          <w:top w:w="28" w:type="dxa"/>
          <w:left w:w="28" w:type="dxa"/>
          <w:bottom w:w="28" w:type="dxa"/>
          <w:right w:w="28" w:type="dxa"/>
        </w:tblCellMar>
      </w:tblPr>
      <w:tblGrid>
        <w:gridCol w:w="754"/>
        <w:gridCol w:w="664"/>
        <w:gridCol w:w="667"/>
        <w:gridCol w:w="268"/>
        <w:gridCol w:w="268"/>
        <w:gridCol w:w="274"/>
        <w:gridCol w:w="109"/>
        <w:gridCol w:w="109"/>
        <w:gridCol w:w="109"/>
        <w:gridCol w:w="684"/>
        <w:gridCol w:w="684"/>
        <w:gridCol w:w="972"/>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2021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7722" w:type="dxa"/>
        <w:jc w:val="left"/>
        <w:tblInd w:w="0" w:type="dxa"/>
        <w:tblCellMar>
          <w:top w:w="28" w:type="dxa"/>
          <w:left w:w="28" w:type="dxa"/>
          <w:bottom w:w="28" w:type="dxa"/>
          <w:right w:w="28" w:type="dxa"/>
        </w:tblCellMar>
      </w:tblPr>
      <w:tblGrid>
        <w:gridCol w:w="754"/>
        <w:gridCol w:w="664"/>
        <w:gridCol w:w="667"/>
        <w:gridCol w:w="268"/>
        <w:gridCol w:w="268"/>
        <w:gridCol w:w="274"/>
        <w:gridCol w:w="109"/>
        <w:gridCol w:w="109"/>
        <w:gridCol w:w="109"/>
        <w:gridCol w:w="1316"/>
        <w:gridCol w:w="1316"/>
        <w:gridCol w:w="1868"/>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289490/000119312505103834/dex21.htm" TargetMode="External"/><Relationship Id="rId5" Type="http://schemas.openxmlformats.org/officeDocument/2006/relationships/hyperlink" Target="http://www.sec.gov/Archives/edgar/data/1289490/000119312515223310/d942655dex21.htm" TargetMode="External"/><Relationship Id="rId6" Type="http://schemas.openxmlformats.org/officeDocument/2006/relationships/hyperlink" Target="http://www.sec.gov/Archives/edgar/data/1289490/000119312515254920/d43417dex21.htm" TargetMode="External"/><Relationship Id="rId7" Type="http://schemas.openxmlformats.org/officeDocument/2006/relationships/hyperlink" Target="http://www.sec.gov/Archives/edgar/data/1289490/000119312504136936/dex31.htm" TargetMode="External"/><Relationship Id="rId8" Type="http://schemas.openxmlformats.org/officeDocument/2006/relationships/hyperlink" Target="http://www.sec.gov/Archives/edgar/data/1289490/000110465907072983/a07-25208_1ex3d1.htm" TargetMode="External"/><Relationship Id="rId9" Type="http://schemas.openxmlformats.org/officeDocument/2006/relationships/hyperlink" Target="http://www.sec.gov/Archives/edgar/data/1289490/000110465913067080/a13-19441_1ex3d1.htm" TargetMode="External"/><Relationship Id="rId10" Type="http://schemas.openxmlformats.org/officeDocument/2006/relationships/hyperlink" Target="http://www.sec.gov/Archives/edgar/data/1289490/000110465914042025/a14-13799_18k.htm" TargetMode="External"/><Relationship Id="rId11" Type="http://schemas.openxmlformats.org/officeDocument/2006/relationships/hyperlink" Target="http://www.sec.gov/Archives/edgar/data/1289490/000162828018000388/exr-form8xkxproxyaccessand.htm" TargetMode="External"/><Relationship Id="rId12" Type="http://schemas.openxmlformats.org/officeDocument/2006/relationships/hyperlink" Target="http://www.sec.gov/Archives/edgar/data/1289490/000110465913088877/a13-25830_1ex10d1.htm" TargetMode="External"/><Relationship Id="rId13" Type="http://schemas.openxmlformats.org/officeDocument/2006/relationships/hyperlink" Target="http://www.sec.gov/Archives/edgar/data/1289490/000104746910001564/a2196671zex-4_3.htm" TargetMode="External"/><Relationship Id="rId14" Type="http://schemas.openxmlformats.org/officeDocument/2006/relationships/hyperlink" Target="http://www.sec.gov/Archives/edgar/data/1289490/000162828020002202/ex46descriptionofsecur.htm" TargetMode="External"/><Relationship Id="rId15" Type="http://schemas.openxmlformats.org/officeDocument/2006/relationships/hyperlink" Target="https://www.sec.gov/Archives/edgar/data/1289490/000119312521157616/d469365dex41.htm" TargetMode="External"/><Relationship Id="rId16" Type="http://schemas.openxmlformats.org/officeDocument/2006/relationships/hyperlink" Target="https://www.sec.gov/Archives/edgar/data/1289490/000119312521157616/d469365dex42.htm" TargetMode="External"/><Relationship Id="rId17" Type="http://schemas.openxmlformats.org/officeDocument/2006/relationships/hyperlink" Target="https://www.sec.gov/Archives/edgar/data/1289490/000119312521279380/d192404dex42.htm" TargetMode="External"/><Relationship Id="rId18" Type="http://schemas.openxmlformats.org/officeDocument/2006/relationships/hyperlink" Target="http://www.sec.gov/Archives/edgar/data/1289490/000119312504136936/dex101.htm" TargetMode="External"/><Relationship Id="rId19" Type="http://schemas.openxmlformats.org/officeDocument/2006/relationships/hyperlink" Target="http://www.sec.gov/Archives/edgar/data/1289490/000119312504124199/dex1014.htm" TargetMode="External"/><Relationship Id="rId20" Type="http://schemas.openxmlformats.org/officeDocument/2006/relationships/hyperlink" Target="http://www.sec.gov/Archives/edgar/data/1289490/000119312505131046/dex102.htm" TargetMode="External"/><Relationship Id="rId21" Type="http://schemas.openxmlformats.org/officeDocument/2006/relationships/hyperlink" Target="http://www.sec.gov/Archives/edgar/data/1289490/000119312505155041/dex101.htm" TargetMode="External"/><Relationship Id="rId22" Type="http://schemas.openxmlformats.org/officeDocument/2006/relationships/hyperlink" Target="http://www.sec.gov/Archives/edgar/data/1289490/000110465907050085/a07-17493_1ex10d2.htm" TargetMode="External"/><Relationship Id="rId23" Type="http://schemas.openxmlformats.org/officeDocument/2006/relationships/hyperlink" Target="http://www.sec.gov/Archives/edgar/data/1289490/000110465907050085/a07-17493_1ex10d3.htm" TargetMode="External"/><Relationship Id="rId24" Type="http://schemas.openxmlformats.org/officeDocument/2006/relationships/hyperlink" Target="http://www.sec.gov/Archives/edgar/data/1289490/000104746910001564/a2196671zex-10_26.htm" TargetMode="External"/><Relationship Id="rId25" Type="http://schemas.openxmlformats.org/officeDocument/2006/relationships/hyperlink" Target="http://www.sec.gov/Archives/edgar/data/1289490/000110465912025625/a12-9636_1ex10d1.htm" TargetMode="External"/><Relationship Id="rId26" Type="http://schemas.openxmlformats.org/officeDocument/2006/relationships/hyperlink" Target="http://www.sec.gov/Archives/edgar/data/1289490/000110465910046708/a10-16596_1ex10d1.htm" TargetMode="External"/><Relationship Id="rId27" Type="http://schemas.openxmlformats.org/officeDocument/2006/relationships/hyperlink" Target="http://www.sec.gov/Archives/edgar/data/1289490/000110465914036162/a14-9641_1ex10d1.htm" TargetMode="External"/><Relationship Id="rId28" Type="http://schemas.openxmlformats.org/officeDocument/2006/relationships/hyperlink" Target="http://www.sec.gov/Archives/edgar/data/1289490/000162828017005050/exr-03312017x10qxex101.htm" TargetMode="External"/><Relationship Id="rId29" Type="http://schemas.openxmlformats.org/officeDocument/2006/relationships/hyperlink" Target="http://www.sec.gov/Archives/edgar/data/1289490/000119312515128269/d899582ddef14a.htm" TargetMode="External"/><Relationship Id="rId30" Type="http://schemas.openxmlformats.org/officeDocument/2006/relationships/hyperlink" Target="http://www.sec.gov/Archives/edgar/data/1289490/000119312515128269/d899582ddef14a.htm" TargetMode="External"/><Relationship Id="rId31" Type="http://schemas.openxmlformats.org/officeDocument/2006/relationships/hyperlink" Target="http://www.sec.gov/Archives/edgar/data/1289490/000104746908004593/a2184280zdef14a.htm" TargetMode="External"/><Relationship Id="rId32" Type="http://schemas.openxmlformats.org/officeDocument/2006/relationships/hyperlink" Target="http://www.sec.gov/Archives/edgar/data/1289490/000104746910001564/a2196671zex-10_11.htm" TargetMode="External"/><Relationship Id="rId33" Type="http://schemas.openxmlformats.org/officeDocument/2006/relationships/hyperlink" Target="http://www.sec.gov/Archives/edgar/data/1289490/000104746910001564/a2196671zex-10_12.htm" TargetMode="External"/><Relationship Id="rId34" Type="http://schemas.openxmlformats.org/officeDocument/2006/relationships/hyperlink" Target="http://www.sec.gov/Archives/edgar/data/1289490/000104746910001564/a2196671zex-10_13.htm" TargetMode="External"/><Relationship Id="rId35" Type="http://schemas.openxmlformats.org/officeDocument/2006/relationships/hyperlink" Target="http://www.sec.gov/Archives/edgar/data/1289490/000110465907080664/a07-25777_1ex10d2.htm" TargetMode="External"/><Relationship Id="rId36" Type="http://schemas.openxmlformats.org/officeDocument/2006/relationships/hyperlink" Target="http://www.sec.gov/Archives/edgar/data/1289490/000110465907080664/a07-25777_1ex10d4.htm" TargetMode="External"/><Relationship Id="rId37" Type="http://schemas.openxmlformats.org/officeDocument/2006/relationships/hyperlink" Target="http://www.sec.gov/Archives/edgar/data/1289490/000110465907020726/a07-6564_1ex10d22.htm" TargetMode="External"/><Relationship Id="rId38" Type="http://schemas.openxmlformats.org/officeDocument/2006/relationships/hyperlink" Target="https://www.sec.gov/Archives/edgar/data/1289490/000162828021012952/ex101secondamendedandresta.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47887</Words>
  <CharactersWithSpaces>308690</CharactersWithSpaces>
  <Paragraphs>5275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