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Arial;sans-serif" w:hAnsi="Arial;sans-serif"/>
          <w:b/>
          <w:color w:val="000000"/>
          <w:sz w:val="36"/>
        </w:rPr>
      </w:pPr>
      <w:r>
        <w:rPr>
          <w:rFonts w:ascii="Arial;sans-serif" w:hAnsi="Arial;sans-serif"/>
          <w:b/>
          <w:color w:val="000000"/>
          <w:sz w:val="36"/>
        </w:rPr>
        <w:t xml:space="preserve">UNITED STATES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SECURITIES AND EXCHANGE COMMISSION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20549 WASHINGTON, D.C.</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11-K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ANNUAL REPORT PURSUANT TO SECTION 15(d) OF THE SECURITIES EXCHANGE ACT OF 1934</w:t>
            </w:r>
          </w:p>
        </w:tc>
      </w:tr>
    </w:tbl>
    <w:p>
      <w:pPr>
        <w:pStyle w:val="TextBody"/>
        <w:bidi w:val="0"/>
        <w:spacing w:lineRule="auto" w:line="288" w:before="80" w:after="283"/>
        <w:ind w:left="0" w:right="0" w:firstLine="490"/>
        <w:jc w:val="left"/>
        <w:rPr>
          <w:rFonts w:ascii="Arial;sans-serif" w:hAnsi="Arial;sans-serif"/>
          <w:b/>
          <w:color w:val="000000"/>
          <w:sz w:val="20"/>
        </w:rPr>
      </w:pPr>
      <w:r>
        <w:rPr>
          <w:rFonts w:ascii="Arial;sans-serif" w:hAnsi="Arial;sans-serif"/>
          <w:b/>
          <w:color w:val="000000"/>
          <w:sz w:val="20"/>
        </w:rPr>
        <w:t>For the fiscal year ended December 31, 2025</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TRANSITION REPORT PURSUANT TO SECTION 15(d) OF THE SECURITIES EXCHANGE ACT OF 1934</w:t>
            </w:r>
          </w:p>
        </w:tc>
      </w:tr>
    </w:tbl>
    <w:p>
      <w:pPr>
        <w:pStyle w:val="TextBody"/>
        <w:bidi w:val="0"/>
        <w:spacing w:lineRule="auto" w:line="288" w:before="80" w:after="283"/>
        <w:ind w:left="0" w:right="0" w:firstLine="490"/>
        <w:jc w:val="left"/>
        <w:rPr/>
      </w:pPr>
      <w:r>
        <w:rPr>
          <w:rFonts w:ascii="Arial;sans-serif" w:hAnsi="Arial;sans-serif"/>
          <w:b/>
          <w:color w:val="000000"/>
          <w:sz w:val="20"/>
        </w:rPr>
        <w:t xml:space="preserve">For the Transition Period From </w:t>
      </w:r>
      <w:r>
        <w:rPr>
          <w:color w:val="000000"/>
          <w:u w:val="single"/>
        </w:rPr>
        <w:t>            </w:t>
      </w:r>
      <w:r>
        <w:rPr>
          <w:color w:val="000000"/>
        </w:rPr>
        <w:t xml:space="preserve"> </w:t>
      </w:r>
      <w:r>
        <w:rPr>
          <w:rFonts w:ascii="Arial;sans-serif" w:hAnsi="Arial;sans-serif"/>
          <w:b/>
          <w:color w:val="000000"/>
          <w:sz w:val="20"/>
        </w:rPr>
        <w:t xml:space="preserve">to </w:t>
      </w:r>
      <w:r>
        <w:rPr>
          <w:color w:val="000000"/>
          <w:u w:val="single"/>
        </w:rPr>
        <w:t>            </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 File No. 001-32269</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1"/>
              </w:rPr>
            </w:pPr>
            <w:r>
              <w:rPr>
                <w:rFonts w:ascii="Arial;sans-serif" w:hAnsi="Arial;sans-serif"/>
                <w:b/>
                <w:color w:val="000000"/>
                <w:sz w:val="21"/>
              </w:rPr>
              <w:t>A.</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1"/>
              </w:rPr>
            </w:pPr>
            <w:r>
              <w:rPr>
                <w:rFonts w:ascii="Arial;sans-serif" w:hAnsi="Arial;sans-serif"/>
                <w:b/>
                <w:color w:val="000000"/>
                <w:sz w:val="21"/>
              </w:rPr>
              <w:t>Full title of the plan and the address of the plan, if different from that of the issuer named below:</w:t>
            </w:r>
          </w:p>
        </w:tc>
      </w:tr>
    </w:tbl>
    <w:p>
      <w:pPr>
        <w:pStyle w:val="TextBody"/>
        <w:bidi w:val="0"/>
        <w:spacing w:lineRule="auto" w:line="288" w:before="80" w:after="283"/>
        <w:jc w:val="center"/>
        <w:rPr>
          <w:rFonts w:ascii="Arial;sans-serif" w:hAnsi="Arial;sans-serif"/>
          <w:b/>
          <w:color w:val="000000"/>
          <w:sz w:val="24"/>
        </w:rPr>
      </w:pPr>
      <w:r>
        <w:rPr>
          <w:rFonts w:ascii="Arial;sans-serif" w:hAnsi="Arial;sans-serif"/>
          <w:b/>
          <w:color w:val="000000"/>
          <w:sz w:val="24"/>
        </w:rPr>
        <w:t>Extra Space Management, Inc. 401(k) Plan</w:t>
      </w:r>
    </w:p>
    <w:p>
      <w:pPr>
        <w:pStyle w:val="TextBody"/>
        <w:bidi w:val="0"/>
        <w:spacing w:before="180" w:after="283"/>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1"/>
              </w:rPr>
            </w:pPr>
            <w:r>
              <w:rPr>
                <w:rFonts w:ascii="Arial;sans-serif" w:hAnsi="Arial;sans-serif"/>
                <w:b/>
                <w:color w:val="000000"/>
                <w:sz w:val="21"/>
              </w:rPr>
              <w:t>B.</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1"/>
              </w:rPr>
            </w:pPr>
            <w:r>
              <w:rPr>
                <w:rFonts w:ascii="Arial;sans-serif" w:hAnsi="Arial;sans-serif"/>
                <w:b/>
                <w:color w:val="000000"/>
                <w:sz w:val="21"/>
              </w:rPr>
              <w:t>Name of issuer of the securities held pursuant to the plan and the address of its principal executive office: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Extra Space Storage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2795 East Cottonwood Parkway, Suite 300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Salt Lake City, Utah 84121</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Extra Space Management, Inc. 401(k) Plan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Financial Statements and Supplemental Schedules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of December 31, 2025 and 2024 and for the Year Ended December 31, 2025</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before="0" w:after="0"/>
        <w:jc w:val="center"/>
        <w:rPr/>
      </w:pPr>
      <w:r>
        <w:rPr/>
      </w:r>
    </w:p>
    <w:p>
      <w:pPr>
        <w:pStyle w:val="TextBody"/>
        <w:bidi w:val="0"/>
        <w:spacing w:before="0" w:after="0"/>
        <w:jc w:val="center"/>
        <w:rPr/>
      </w:pPr>
      <w:r>
        <w:rPr/>
      </w:r>
    </w:p>
    <w:tbl>
      <w:tblPr>
        <w:tblW w:w="7197" w:type="dxa"/>
        <w:jc w:val="center"/>
        <w:tblInd w:w="0" w:type="dxa"/>
        <w:tblLayout w:type="fixed"/>
        <w:tblCellMar>
          <w:top w:w="28" w:type="dxa"/>
          <w:left w:w="28" w:type="dxa"/>
          <w:bottom w:w="28" w:type="dxa"/>
          <w:right w:w="28" w:type="dxa"/>
        </w:tblCellMar>
      </w:tblPr>
      <w:tblGrid>
        <w:gridCol w:w="2471"/>
        <w:gridCol w:w="2172"/>
        <w:gridCol w:w="2182"/>
        <w:gridCol w:w="109"/>
        <w:gridCol w:w="109"/>
        <w:gridCol w:w="154"/>
      </w:tblGrid>
      <w:tr>
        <w:trPr/>
        <w:tc>
          <w:tcPr>
            <w:tcW w:w="2471"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Report of Independent Registered Public Accounting Firm</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5034bd3b03a423088735093ba4d69dd_7">
              <w:r>
                <w:rPr>
                  <w:rStyle w:val="InternetLink"/>
                  <w:rFonts w:ascii="Arial;sans-serif" w:hAnsi="Arial;sans-serif"/>
                  <w:b/>
                  <w:color w:val="0000FF"/>
                  <w:sz w:val="20"/>
                  <w:u w:val="single"/>
                </w:rPr>
                <w:t>3</w:t>
              </w:r>
            </w:hyperlink>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Audited Financial Statements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Statements of Assets Available for Benefits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5034bd3b03a423088735093ba4d69dd_10">
              <w:r>
                <w:rPr>
                  <w:rStyle w:val="InternetLink"/>
                  <w:rFonts w:ascii="Arial;sans-serif" w:hAnsi="Arial;sans-serif"/>
                  <w:b/>
                  <w:color w:val="0000FF"/>
                  <w:sz w:val="20"/>
                  <w:u w:val="single"/>
                </w:rPr>
                <w:t>4</w:t>
              </w:r>
            </w:hyperlink>
          </w:p>
        </w:tc>
      </w:tr>
      <w:tr>
        <w:trPr/>
        <w:tc>
          <w:tcPr>
            <w:tcW w:w="6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Statement of Changes in Assets Available for Benefits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5034bd3b03a423088735093ba4d69dd_13">
              <w:r>
                <w:rPr>
                  <w:rStyle w:val="InternetLink"/>
                  <w:rFonts w:ascii="Arial;sans-serif" w:hAnsi="Arial;sans-serif"/>
                  <w:b/>
                  <w:color w:val="0000FF"/>
                  <w:sz w:val="20"/>
                  <w:u w:val="single"/>
                </w:rPr>
                <w:t>5</w:t>
              </w:r>
            </w:hyperlink>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Notes to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5034bd3b03a423088735093ba4d69dd_16">
              <w:r>
                <w:rPr>
                  <w:rStyle w:val="InternetLink"/>
                  <w:rFonts w:ascii="Arial;sans-serif" w:hAnsi="Arial;sans-serif"/>
                  <w:b/>
                  <w:color w:val="0000FF"/>
                  <w:sz w:val="20"/>
                  <w:u w:val="single"/>
                </w:rPr>
                <w:t>6</w:t>
              </w:r>
            </w:hyperlink>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Supplemental Schedule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Schedule H, Line 4i - Schedule of Assets (Held at End of Year)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5034bd3b03a423088735093ba4d69dd_22">
              <w:r>
                <w:rPr>
                  <w:rStyle w:val="InternetLink"/>
                  <w:rFonts w:ascii="Arial;sans-serif" w:hAnsi="Arial;sans-serif"/>
                  <w:b/>
                  <w:color w:val="0000FF"/>
                  <w:sz w:val="20"/>
                  <w:u w:val="single"/>
                </w:rPr>
                <w:t>11</w:t>
              </w:r>
            </w:hyperlink>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Signatures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5034bd3b03a423088735093ba4d69dd_25">
              <w:r>
                <w:rPr>
                  <w:rStyle w:val="InternetLink"/>
                  <w:rFonts w:ascii="Arial;sans-serif" w:hAnsi="Arial;sans-serif"/>
                  <w:b/>
                  <w:color w:val="0000FF"/>
                  <w:sz w:val="20"/>
                  <w:u w:val="single"/>
                </w:rPr>
                <w:t>12</w:t>
              </w:r>
            </w:hyperlink>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form11k2025exhibit231.htm">
              <w:r>
                <w:rPr>
                  <w:rStyle w:val="InternetLink"/>
                  <w:rFonts w:ascii="Arial;sans-serif" w:hAnsi="Arial;sans-serif"/>
                  <w:b/>
                  <w:color w:val="0000FF"/>
                  <w:sz w:val="20"/>
                  <w:u w:val="single"/>
                </w:rPr>
                <w:t>Exhibit 23.1 Consent of Independent Registered Public Accounting Firm</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Plan Administrators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Extra Space Management, Inc. 401(k)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audited the accompanying statements of assets available for benefits of the Extra Space Management, Inc. 401(k) Plan (the Plan) as of December 31, 2025 and 2024, the related statement of changes in assets available for benefits for the year ended December 31, 2025, and the related notes to financial statements (collectively referred to as the financial statements). In our opinion, the financial statements present fairly, in all material respects, the assets available for benefits of the Plan as of December 31, 2025 and 2024, and the changes in assets available for benefits for the year ended December 31, 2025, in conformity with accounting principles generally accepted in the United States of America.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Supplemental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supplemental information contained in the Schedule of Assets (Held at End of Year)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as amended. In our opinion, the supplemental information is fairly stated, in all material respects, in relation to the financial statements as a whole.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served as the Plan’s auditor since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Tanner LLP</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Salt Lake City, Utah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June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 xml:space="preserve">Extra Space Management, Inc. 401(k) Plan </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Statements of Assets Available for Benefits</w:t>
      </w:r>
    </w:p>
    <w:p>
      <w:pPr>
        <w:pStyle w:val="TextBody"/>
        <w:bidi w:val="0"/>
        <w:spacing w:before="0" w:after="0"/>
        <w:jc w:val="center"/>
        <w:rPr/>
      </w:pPr>
      <w:r>
        <w:rPr/>
      </w:r>
    </w:p>
    <w:tbl>
      <w:tblPr>
        <w:tblW w:w="7148" w:type="dxa"/>
        <w:jc w:val="center"/>
        <w:tblInd w:w="0" w:type="dxa"/>
        <w:tblLayout w:type="fixed"/>
        <w:tblCellMar>
          <w:top w:w="28" w:type="dxa"/>
          <w:left w:w="28" w:type="dxa"/>
          <w:bottom w:w="28" w:type="dxa"/>
          <w:right w:w="28" w:type="dxa"/>
        </w:tblCellMar>
      </w:tblPr>
      <w:tblGrid>
        <w:gridCol w:w="1326"/>
        <w:gridCol w:w="1165"/>
        <w:gridCol w:w="1183"/>
        <w:gridCol w:w="211"/>
        <w:gridCol w:w="1231"/>
        <w:gridCol w:w="109"/>
        <w:gridCol w:w="109"/>
        <w:gridCol w:w="109"/>
        <w:gridCol w:w="109"/>
        <w:gridCol w:w="211"/>
        <w:gridCol w:w="1231"/>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Assets</w:t>
            </w:r>
          </w:p>
        </w:tc>
        <w:tc>
          <w:tcPr>
            <w:tcW w:w="1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Investments, at fair value:</w:t>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collective trusts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7,173,057 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6,793,853 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Mutual funds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190,613,652 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148,833,883 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Brokerage account holdings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1,483,376 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Extra Space Storage Inc. common stock</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7,405,810 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investments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206,247,213 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164,516,922 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Receivables:</w:t>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Notes receivable from participants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4,819,519 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3,895,505 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receivables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4,819,519 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3,895,505 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 available for benefits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211,066,732 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168,412,427 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 xml:space="preserve">Extra Space Management, Inc. 401(k) Plan </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 xml:space="preserve">Statement of Changes in </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Assets Available for Benefits</w:t>
      </w:r>
    </w:p>
    <w:p>
      <w:pPr>
        <w:pStyle w:val="TextBody"/>
        <w:bidi w:val="0"/>
        <w:spacing w:before="0" w:after="0"/>
        <w:jc w:val="center"/>
        <w:rPr/>
      </w:pPr>
      <w:r>
        <w:rPr/>
      </w:r>
    </w:p>
    <w:tbl>
      <w:tblPr>
        <w:tblW w:w="7195" w:type="dxa"/>
        <w:jc w:val="left"/>
        <w:tblInd w:w="0" w:type="dxa"/>
        <w:tblLayout w:type="fixed"/>
        <w:tblCellMar>
          <w:top w:w="28" w:type="dxa"/>
          <w:left w:w="28" w:type="dxa"/>
          <w:bottom w:w="28" w:type="dxa"/>
          <w:right w:w="28" w:type="dxa"/>
        </w:tblCellMar>
      </w:tblPr>
      <w:tblGrid>
        <w:gridCol w:w="1781"/>
        <w:gridCol w:w="1562"/>
        <w:gridCol w:w="1576"/>
        <w:gridCol w:w="109"/>
        <w:gridCol w:w="109"/>
        <w:gridCol w:w="109"/>
        <w:gridCol w:w="257"/>
        <w:gridCol w:w="1504"/>
        <w:gridCol w:w="188"/>
      </w:tblGrid>
      <w:tr>
        <w:trPr/>
        <w:tc>
          <w:tcPr>
            <w:tcW w:w="178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For the Year Ended</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appreciation in fair value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19,430,900 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and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7,309,636 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investment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26,740,536 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 from 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354,964 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Participants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19,660,848 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Sponsor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8,975,093 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Rollover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3,948,319 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32,584,260 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59,679,760 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Benefits paid to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16,586,631 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438,824 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17,025,455 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Increase in assets available for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42,654,305 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Assets available for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168,412,427 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211,066,732 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20"/>
        </w:rPr>
        <w:t>See accompanying notes to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Extra Space Management, Inc. 401(k) Plan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Financial Statements</w:t>
      </w:r>
    </w:p>
    <w:p>
      <w:pPr>
        <w:pStyle w:val="TextBody"/>
        <w:bidi w:val="0"/>
        <w:spacing w:before="0" w:after="0"/>
        <w:jc w:val="center"/>
        <w:rPr/>
      </w:pPr>
      <w:r>
        <w:rPr/>
      </w:r>
    </w:p>
    <w:p>
      <w:pPr>
        <w:pStyle w:val="TextBody"/>
        <w:bidi w:val="0"/>
        <w:spacing w:lineRule="auto" w:line="288" w:before="0" w:after="0"/>
        <w:ind w:left="0" w:right="0" w:hanging="720"/>
        <w:jc w:val="left"/>
        <w:rPr>
          <w:rFonts w:ascii="Arial;sans-serif" w:hAnsi="Arial;sans-serif"/>
          <w:b/>
          <w:color w:val="000000"/>
          <w:sz w:val="20"/>
        </w:rPr>
      </w:pPr>
      <w:r>
        <w:rPr>
          <w:rFonts w:ascii="Arial;sans-serif" w:hAnsi="Arial;sans-serif"/>
          <w:b/>
          <w:color w:val="000000"/>
          <w:sz w:val="20"/>
        </w:rPr>
        <w:t>1.DESCRIPTION OF PLAN</w:t>
      </w:r>
    </w:p>
    <w:p>
      <w:pPr>
        <w:pStyle w:val="TextBody"/>
        <w:bidi w:val="0"/>
        <w:spacing w:before="0" w:after="0"/>
        <w:ind w:left="0" w:right="0" w:hanging="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description of the Extra Space Management, Inc. 401(k) Plan (the “Plan”) provides only general information. Participants should refer to the Plan document, adoption agreement, and summary plan description for a more complete description of the Plan's provisions.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General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Plan is a qualified 401(k) defined contribution plan, covering all employees of Extra Space Management, Inc. (“Sponsor”) who have reached age 18. Employees are eligible after 3 months of service. The Plan is subject to the provisions of the Employee Retirement Income Security Act of 1974, as amended (“ERISA”).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Extra Space Storage Inc. (the “Company”) appoints a committee to administer the Plan (the “Plan Administrative Committee”). As of December 31, 2025, the Plan Administrative Committee was comprised of three members of management, with Fidelity Management Trust Company (“Fidelity” or “Trustee”) acting as Trustee.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Contributions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Contributions are made to the Plan by both employees and the Sponsor. Employee contributions to the Plan are deferrals of the employee’s compensation made through a direct reduction of compensation in each payroll period. Participating employees may contribute a percentage of their annual compensation up to 75% of eligible compensation, subject to the limitations of the Internal Revenue Code (IRC). Participants can elect to make Regular 401(k) contributions, which are excluded from the participant’s taxable income for federal income tax purposes until received as a withdrawal or distribution from the Plan or Roth 401(k) contributions, which are not excluded from the participant’s taxable income for federal income tax purposes, but withdrawals of contributions and earnings thereon at retirement are tax free. The Plan also provides participants who are age 50 or older by the end of the calendar year, and who are making deferral contributions to the Plan, the option to make catch-up contributions, subject to the limitations of the IRC. The Sponsor matches 100% of the first 3% of the participant’s eligible contribution and 50% of the next 2%. The Sponsor, at its discretion, may make an additional matching contribution, not to exceed 4% of the employee’s compensation. Participants direct the investment of their contributions and the Sponsor’s match into various investment options offered by the Plan.</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Participants may also contribute to the Plan amounts representing distributions from other qualified plans.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Participant Accounts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participant's account is adjusted for the participant’s contributions, the Sponsor’s matching contributions, expenses, and earnings and losses specifically identified with the participant’s investment account. The benefit to which a participant is entitled is the benefit that can be provided from the participant's vested account.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Vesting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Participants are immediately vested in their contributions and the Sponsor’s matching contributions.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Notes Receivable from Participants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Participants may borrow from their Plan accounts a minimum of $1,000 and up to a maximum of the lesser of $50,000 or 50% of their account balance. These loans are subject to a repayment period of no more than 5 years, unless the loan is withdrawn for the purchase of a participant’s primary residence, in which case the repayment period may not extend beyond 10 years. Certain loans exceed the 10-year repayment period for participants who came over to the Plan as part of an acquisition, which allowed loans with a longer repayment period. All loans are secured by the balance in the participant’s account, and principal and interest payments are paid ratably by the participant through payroll deductions. </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Extra Space Management, Inc. 401(k) Plan </w:t>
      </w:r>
    </w:p>
    <w:p>
      <w:pPr>
        <w:pStyle w:val="TextBody"/>
        <w:bidi w:val="0"/>
        <w:spacing w:lineRule="auto" w:line="288" w:before="0" w:after="0"/>
        <w:jc w:val="center"/>
        <w:rPr/>
      </w:pPr>
      <w:r>
        <w:rPr>
          <w:rFonts w:ascii="Arial;sans-serif" w:hAnsi="Arial;sans-serif"/>
          <w:b/>
          <w:color w:val="000000"/>
          <w:sz w:val="20"/>
        </w:rPr>
        <w:t xml:space="preserve">Notes to Financial Statements - </w:t>
      </w:r>
      <w:r>
        <w:rPr>
          <w:rFonts w:ascii="Arial;sans-serif" w:hAnsi="Arial;sans-serif"/>
          <w:b/>
          <w:i/>
          <w:color w:val="000000"/>
          <w:sz w:val="16"/>
        </w:rPr>
        <w:t>Continued</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20"/>
        </w:rPr>
        <w:t xml:space="preserve">1.    DESCRIPTION OF PLAN - </w:t>
      </w:r>
      <w:r>
        <w:rPr>
          <w:rFonts w:ascii="Arial;sans-serif" w:hAnsi="Arial;sans-serif"/>
          <w:b/>
          <w:i/>
          <w:color w:val="000000"/>
          <w:sz w:val="16"/>
        </w:rPr>
        <w:t>Continued</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Plan Termination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it has not expressed any intent to do so, the Sponsor has the right under the Plan to terminate the Plan, subject to the provisions of ERISA. In the event the Plan is terminated, all participant accounts would be distributed among the participants in accordance with the terms set forth in the Plan.</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Payment of Benefits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Upon termination of service due to death, disability, or retirement, a participant may receive a lump-sum amount equal to the vested benefits in his or her account. Under certain circumstances, including financial hardship, participants may withdraw their contributions prior to the occurrence of these events. Vested accounts for terminated employees which do not exceed $7,000 but are greater than $1,000 are automatically rolled over into an individual retirement account. Accounts which are less than $1,000 are automatically distributed in a lump sum.</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Forfeitures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As of December 31, 2025 and 2024, there was a balance in the forfeiture account related to unallocated amounts of excess employer contributions totalin</w:t>
      </w:r>
      <w:r>
        <w:rPr>
          <w:rFonts w:ascii="Arial;sans-serif" w:hAnsi="Arial;sans-serif"/>
          <w:b w:val="false"/>
          <w:color w:val="000000"/>
          <w:sz w:val="20"/>
          <w:shd w:fill="FFFFFF" w:val="clear"/>
        </w:rPr>
        <w:t xml:space="preserve">g </w:t>
      </w:r>
      <w:r>
        <w:rPr>
          <w:rFonts w:ascii="Arial;sans-serif" w:hAnsi="Arial;sans-serif"/>
          <w:b w:val="false"/>
          <w:color w:val="000000"/>
          <w:sz w:val="20"/>
        </w:rPr>
        <w:t>$4,676</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$20,410, respectively. These amounts will be used to reduce employer contributions or pay administrative expenses of the Plan. During the year ended December 31, 2025, excess contribution</w:t>
      </w:r>
      <w:r>
        <w:rPr>
          <w:rFonts w:ascii="Arial;sans-serif" w:hAnsi="Arial;sans-serif"/>
          <w:b w:val="false"/>
          <w:color w:val="000000"/>
          <w:sz w:val="20"/>
          <w:shd w:fill="FFFFFF" w:val="clear"/>
        </w:rPr>
        <w:t xml:space="preserve">s totaled </w:t>
      </w:r>
      <w:r>
        <w:rPr>
          <w:rFonts w:ascii="Arial;sans-serif" w:hAnsi="Arial;sans-serif"/>
          <w:b w:val="false"/>
          <w:color w:val="000000"/>
          <w:sz w:val="20"/>
        </w:rPr>
        <w:t xml:space="preserve">$14,898, </w:t>
      </w:r>
      <w:r>
        <w:rPr>
          <w:rFonts w:ascii="Arial;sans-serif" w:hAnsi="Arial;sans-serif"/>
          <w:b w:val="false"/>
          <w:color w:val="000000"/>
          <w:sz w:val="20"/>
          <w:shd w:fill="FFFFFF" w:val="clear"/>
        </w:rPr>
        <w:t>and the remaining undistributed participant contribution amounts as of December 31, 2025 will be distributed to the participants in 2026.</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Administrative Expenses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Sponsor pays all administrative expenses of the Plan, except for loan processing fees, record keeping fees and the fees associated with additional participant services provided by Global Retirement Partners, LLC (“Advisor”). The fees associated with loan processing, record keeping and additional services by the Advisor are paid by the participant’s account. Total administrative fees paid by the Plan were $438,824 for the year ended December 31, 2025.</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Legislation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December 2022, Securing a Strong Retirement Act (SECURE 2.0) was passed into law. This package of laws builds on the Setting Every Community Up for Retirement Enhancement (SECURE) Act of 2019. SECURE Act 2.0 covers numerous changes to retirement provisions designed to increase retirement savings, facilitate access to retirement savings, encourage employees to save for retirement, and lower employers’ cost of offering and funding retirement savings plans. The provisions include both required and optional elements and the Plan Administrator will determine the optional provisions to elect. The United States Department of the Treasury and the Internal Revenue Service continue to issue guidance and regulations implementing provisions of SECURE 2.0. The deadline for amending plan documents has been extended to December 31,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year ended December 31, 2024, the Plan adopted voluntary provisions to increase the account balance threshold to $7,000 for automatic rollover for terminated participants and permitting self-certifications by the participant for financial hardship distributions.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720"/>
        <w:jc w:val="both"/>
        <w:rPr>
          <w:rFonts w:ascii="Arial;sans-serif" w:hAnsi="Arial;sans-serif"/>
          <w:b/>
          <w:color w:val="000000"/>
          <w:sz w:val="20"/>
        </w:rPr>
      </w:pPr>
      <w:r>
        <w:rPr>
          <w:rFonts w:ascii="Arial;sans-serif" w:hAnsi="Arial;sans-serif"/>
          <w:b/>
          <w:color w:val="000000"/>
          <w:sz w:val="20"/>
        </w:rPr>
        <w:t>2.    SUMMARY OF SIGNIFICANT ACCOUNTING POLICIES</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Investment Options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Plan’s assets are invested in various investment options offered by the Trustee and in stock of the Sponsor, as directed by Participants. Participants may change their investment options at will. </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Basis of Accounting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financial statements of the Plan are prepared using the accrual method of accounting in accordance with U.S. generally accepted accounting principles (“U.S. GAAP”).</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Estimates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U.S. GAAP requires the plan administrators to make estimates and assumptions that affect certain reported amounts and disclosures. Accordingly, actual results may differ from those estimates.</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Investment Valuation and Income Recognition</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20"/>
        </w:rPr>
        <w:t>Common collective trusts:</w:t>
      </w:r>
      <w:r>
        <w:rPr>
          <w:color w:val="000000"/>
        </w:rPr>
        <w:t xml:space="preserve"> </w:t>
      </w:r>
      <w:r>
        <w:rPr>
          <w:rFonts w:ascii="Arial;sans-serif" w:hAnsi="Arial;sans-serif"/>
          <w:b w:val="false"/>
          <w:color w:val="000000"/>
          <w:sz w:val="20"/>
        </w:rPr>
        <w:t>The Great Gray Collective Investment Trust and the Great Gray Collective Investment Trust II (collectively, the “Great Gray Trusts”) are common collective trusts maintained by Great Gray Trust Company LLC (“Great Gray”), the trustee. Great Gray generally determines the fair value of the Great Gray Trusts’ units each day the New York Stock Exchange is open for trading. The NAV per unit is computed based on the fair value of the underlying assets owned by the fund, minus its liabilities, divided by the number of units outstanding at the time of such computation. The Trusts have (1) no unfunded commitments, (2) a daily redemption frequency, and (3) no redemption notice period as of December 31, 2025 and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Mutual funds:</w:t>
      </w:r>
      <w:r>
        <w:rPr>
          <w:color w:val="000000"/>
        </w:rPr>
        <w:t xml:space="preserve"> </w:t>
      </w:r>
      <w:r>
        <w:rPr>
          <w:rFonts w:ascii="Arial;sans-serif" w:hAnsi="Arial;sans-serif"/>
          <w:b w:val="false"/>
          <w:color w:val="000000"/>
          <w:sz w:val="20"/>
        </w:rPr>
        <w:t>Valued at the quoted net asset value ("NAV") of shares held by the Plan at year-end or the last reported sales on an active market prior to close of the Plan year. The mutual funds held by the Plan are deemed to be actively traded.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Common stocks:</w:t>
      </w:r>
      <w:r>
        <w:rPr>
          <w:color w:val="000000"/>
        </w:rPr>
        <w:t xml:space="preserve"> </w:t>
      </w:r>
      <w:r>
        <w:rPr>
          <w:rFonts w:ascii="Arial;sans-serif" w:hAnsi="Arial;sans-serif"/>
          <w:b w:val="false"/>
          <w:color w:val="000000"/>
          <w:sz w:val="20"/>
        </w:rPr>
        <w:t>The Plan’s valuation methodology used to measure the fair value of common stocks was derived from quoted market prices as all of these instruments have active markets.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Brokerage account holdings:</w:t>
      </w:r>
      <w:r>
        <w:rPr>
          <w:color w:val="000000"/>
        </w:rPr>
        <w:t xml:space="preserve"> </w:t>
      </w:r>
      <w:r>
        <w:rPr>
          <w:rFonts w:ascii="Arial;sans-serif" w:hAnsi="Arial;sans-serif"/>
          <w:b w:val="false"/>
          <w:color w:val="000000"/>
          <w:sz w:val="20"/>
        </w:rPr>
        <w:t xml:space="preserve">These are composed of money market funds, mutual funds, and common stocks. The valuation for these is consistent with the above mentioned items.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appreciation in the fair value of investments includes realized and unrealized gains (losses) on investments, and is recognized in income currently. Net unrealized gains (losses) represent the difference between the book value (which represents the prior year ending fair value, or cost if the investment was purchased during the year) and the fair value of investments held at year-end. Purchases and sales of securities are recorded on a trade-date basis. Interest income is recorded on the accrual basis. Dividends are recorded on the ex-dividend date. Dividends and interest are reinvested as earned.</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Payment of Benefits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Benefits are recorded when paid by the Plan.</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Notes Receivable from Participants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Notes receivable from participants are recorded at their unpaid principal balance plus any accrued but unpaid interest. Interest income is recognized over the terms of the notes at the rate specified in the loan documents. As of December 31, 2025, outstanding loans totaled $4,819,519 with interest rates ranging from 4.25%</w:t>
      </w:r>
      <w:r>
        <w:rPr>
          <w:color w:val="000000"/>
          <w:shd w:fill="FFFFFF" w:val="clear"/>
        </w:rPr>
        <w:t xml:space="preserve"> </w:t>
      </w:r>
      <w:r>
        <w:rPr>
          <w:rFonts w:ascii="Arial;sans-serif" w:hAnsi="Arial;sans-serif"/>
          <w:b w:val="false"/>
          <w:color w:val="000000"/>
          <w:sz w:val="20"/>
          <w:shd w:fill="FFFFFF" w:val="clear"/>
        </w:rPr>
        <w:t xml:space="preserve">to </w:t>
      </w:r>
      <w:r>
        <w:rPr>
          <w:rFonts w:ascii="Arial;sans-serif" w:hAnsi="Arial;sans-serif"/>
          <w:b w:val="false"/>
          <w:color w:val="000000"/>
          <w:sz w:val="20"/>
        </w:rPr>
        <w:t>10.25%</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color w:val="000000"/>
          <w:sz w:val="20"/>
        </w:rPr>
        <w:t xml:space="preserve">2.    SUMMARY OF SIGNIFICANT ACCOUNTING POLICIES - </w:t>
      </w:r>
      <w:r>
        <w:rPr>
          <w:rFonts w:ascii="Arial;sans-serif" w:hAnsi="Arial;sans-serif"/>
          <w:b/>
          <w:i/>
          <w:color w:val="000000"/>
          <w:sz w:val="16"/>
        </w:rPr>
        <w:t>Continued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a</w:t>
      </w:r>
      <w:r>
        <w:rPr>
          <w:rFonts w:ascii="Arial;sans-serif" w:hAnsi="Arial;sans-serif"/>
          <w:b w:val="false"/>
          <w:color w:val="000000"/>
          <w:sz w:val="20"/>
        </w:rPr>
        <w:t>nd maturity dates ranging f</w:t>
      </w:r>
      <w:r>
        <w:rPr>
          <w:rFonts w:ascii="Arial;sans-serif" w:hAnsi="Arial;sans-serif"/>
          <w:b w:val="false"/>
          <w:color w:val="000000"/>
          <w:sz w:val="20"/>
          <w:shd w:fill="FFFFFF" w:val="clear"/>
        </w:rPr>
        <w:t xml:space="preserve">rom </w:t>
      </w:r>
      <w:r>
        <w:rPr>
          <w:rFonts w:ascii="Arial;sans-serif" w:hAnsi="Arial;sans-serif"/>
          <w:b w:val="false"/>
          <w:color w:val="000000"/>
          <w:sz w:val="20"/>
        </w:rPr>
        <w:t>January 2026</w:t>
      </w:r>
      <w:r>
        <w:rPr>
          <w:color w:val="000000"/>
          <w:shd w:fill="FFFFFF" w:val="clear"/>
        </w:rPr>
        <w:t xml:space="preserve"> </w:t>
      </w:r>
      <w:r>
        <w:rPr>
          <w:rFonts w:ascii="Arial;sans-serif" w:hAnsi="Arial;sans-serif"/>
          <w:b w:val="false"/>
          <w:color w:val="000000"/>
          <w:sz w:val="20"/>
          <w:shd w:fill="FFFFFF" w:val="clear"/>
        </w:rPr>
        <w:t xml:space="preserve">to </w:t>
      </w:r>
      <w:r>
        <w:rPr>
          <w:rFonts w:ascii="Arial;sans-serif" w:hAnsi="Arial;sans-serif"/>
          <w:b w:val="false"/>
          <w:color w:val="000000"/>
          <w:sz w:val="20"/>
        </w:rPr>
        <w:t>June 2052</w:t>
      </w:r>
      <w:r>
        <w:rPr>
          <w:rFonts w:ascii="Arial;sans-serif" w:hAnsi="Arial;sans-serif"/>
          <w:b w:val="false"/>
          <w:color w:val="000000"/>
          <w:sz w:val="20"/>
          <w:shd w:fill="FFFFFF" w:val="clear"/>
        </w:rPr>
        <w:t>. Fees related to notes receivable from participants are recorded as administrative expenses when incu</w:t>
      </w:r>
      <w:r>
        <w:rPr>
          <w:rFonts w:ascii="Arial;sans-serif" w:hAnsi="Arial;sans-serif"/>
          <w:b w:val="false"/>
          <w:color w:val="000000"/>
          <w:sz w:val="20"/>
        </w:rPr>
        <w:t>rred. If a participant defaults, the carrying amount of the note receivable from the participant is eliminated and a benefit payment is recorded at the time the participant has a distributable event. Notes receivable from participants are considered delinquent when payments are not made in accordance with the terms of the note and are evaluated to determine if they are in default.</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Fair Value Measurements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Plan reports investments in accordance with established authoritative guidance, which requires a three-level valuation hierarchy for disclosure of fair value measurements. The valuation hierarchy is based upon the transparency of inputs to the valuation of an asset or liability as of the measurement date.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three levels are defined as follows: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Level 1 inputs are unadjusted quoted market prices in active markets for identical assets or liabilities that are accessible at the measurement date.</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Level 2 inputs are from other than quoted market prices included in Level 1 that are observable for the asset or liability, either directly or indirectly, such as quoted prices for similar assets or liabilities in active markets, quoted prices in markets that are not active, or other inputs that are observable or can be corroborated by observable market date. </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Level 3 inputs are unobservable and significant to the valuation methodology.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tables classify the investment assets measured at fair value by level within the fair value hierarchy as of December 31, 2025 and 2024: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55"/>
        <w:gridCol w:w="761"/>
        <w:gridCol w:w="762"/>
        <w:gridCol w:w="109"/>
        <w:gridCol w:w="109"/>
        <w:gridCol w:w="109"/>
        <w:gridCol w:w="638"/>
        <w:gridCol w:w="593"/>
        <w:gridCol w:w="227"/>
        <w:gridCol w:w="227"/>
        <w:gridCol w:w="227"/>
        <w:gridCol w:w="227"/>
        <w:gridCol w:w="255"/>
        <w:gridCol w:w="251"/>
        <w:gridCol w:w="227"/>
        <w:gridCol w:w="227"/>
        <w:gridCol w:w="227"/>
        <w:gridCol w:w="227"/>
        <w:gridCol w:w="255"/>
        <w:gridCol w:w="251"/>
        <w:gridCol w:w="227"/>
        <w:gridCol w:w="962"/>
        <w:gridCol w:w="886"/>
        <w:gridCol w:w="1266"/>
      </w:tblGrid>
      <w:tr>
        <w:trPr/>
        <w:tc>
          <w:tcPr>
            <w:tcW w:w="95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0" w:type="dxa"/>
            <w:gridSpan w:val="18"/>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Fair Value Measurement as of December 31, 2025</w:t>
            </w:r>
          </w:p>
        </w:tc>
      </w:tr>
      <w:tr>
        <w:trPr/>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Level 1</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Level 2</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Level 3</w:t>
            </w:r>
          </w:p>
        </w:tc>
        <w:tc>
          <w:tcPr>
            <w:tcW w:w="3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Fair Value as of December 31, 2025</w:t>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190,613,652 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190,613,652 </w:t>
            </w:r>
          </w:p>
        </w:tc>
        <w:tc>
          <w:tcPr>
            <w:tcW w:w="1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of the Sponsor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6,529,194 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6,529,194 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Brokerage account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1,931,310 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1,931,310 </w:t>
            </w:r>
          </w:p>
        </w:tc>
        <w:tc>
          <w:tcPr>
            <w:tcW w:w="1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Investments at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7,173,057 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206,247,213 </w:t>
            </w:r>
          </w:p>
        </w:tc>
        <w:tc>
          <w:tcPr>
            <w:tcW w:w="1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71"/>
        <w:gridCol w:w="815"/>
        <w:gridCol w:w="818"/>
        <w:gridCol w:w="109"/>
        <w:gridCol w:w="109"/>
        <w:gridCol w:w="109"/>
        <w:gridCol w:w="638"/>
        <w:gridCol w:w="593"/>
        <w:gridCol w:w="216"/>
        <w:gridCol w:w="216"/>
        <w:gridCol w:w="216"/>
        <w:gridCol w:w="216"/>
        <w:gridCol w:w="255"/>
        <w:gridCol w:w="250"/>
        <w:gridCol w:w="216"/>
        <w:gridCol w:w="216"/>
        <w:gridCol w:w="216"/>
        <w:gridCol w:w="216"/>
        <w:gridCol w:w="255"/>
        <w:gridCol w:w="250"/>
        <w:gridCol w:w="216"/>
        <w:gridCol w:w="948"/>
        <w:gridCol w:w="841"/>
        <w:gridCol w:w="1200"/>
      </w:tblGrid>
      <w:tr>
        <w:trPr/>
        <w:tc>
          <w:tcPr>
            <w:tcW w:w="107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2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4" w:type="dxa"/>
            <w:gridSpan w:val="18"/>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Fair Value Measurement as of December 31, 2024</w:t>
            </w:r>
          </w:p>
        </w:tc>
      </w:tr>
      <w:tr>
        <w:trPr/>
        <w:tc>
          <w:tcPr>
            <w:tcW w:w="2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Level 1</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Level 2</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Level 3</w:t>
            </w:r>
          </w:p>
        </w:tc>
        <w:tc>
          <w:tcPr>
            <w:tcW w:w="2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Fair Value as of December 31, 2024</w:t>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148,833,883 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148,833,883 </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of the Plan Sponsor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7,405,810 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7,405,810 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Brokerage account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1,483,376 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1,483,376 </w:t>
            </w:r>
          </w:p>
        </w:tc>
        <w:tc>
          <w:tcPr>
            <w:tcW w:w="1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Investments, at 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6,793,853 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164,516,922 </w:t>
            </w:r>
          </w:p>
        </w:tc>
        <w:tc>
          <w:tcPr>
            <w:tcW w:w="1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6"/>
        </w:rPr>
      </w:pPr>
      <w:r>
        <w:rPr>
          <w:rFonts w:ascii="Arial;sans-serif" w:hAnsi="Arial;sans-serif"/>
          <w:b w:val="false"/>
          <w:i/>
          <w:color w:val="000000"/>
          <w:sz w:val="16"/>
        </w:rPr>
        <w:t>* The investment in common collective trusts are measured at fair value using the net asset value per share (or its equivalent) practical expedient and has not been categorized in the fair value hierarchy. The fair value amounts presented in this table are intended to permit reconciliation of the fair value hierarchy to the amounts presented in the statements of assets available for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color w:val="000000"/>
          <w:sz w:val="20"/>
        </w:rPr>
        <w:t xml:space="preserve">2.    SUMMARY OF SIGNIFICANT ACCOUNTING POLICIES - </w:t>
      </w:r>
      <w:r>
        <w:rPr>
          <w:rFonts w:ascii="Arial;sans-serif" w:hAnsi="Arial;sans-serif"/>
          <w:b/>
          <w:i/>
          <w:color w:val="000000"/>
          <w:sz w:val="16"/>
        </w:rPr>
        <w:t>Continued</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Subsequent Events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plan administrator has evaluated subsequent events through June 18, 2026, the date the financial statements were available to be issued. No subsequent events were noted during this evaluation that require recognition or disclosure in these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3. EXEMPT PARTY-IN-INTEREST TRANSACTIONS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December 31, 2025, the Plan’s assets consisted of mutual funds issued by the Trustee and participant loans extended to participants. The Trustee is considered a party-in-interest because it manages the Plan’s assets. Participants are also considered parties-in-interest. Both of these transactions are considered exempt party-in-interest transactions.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Transactions associated with the shares of common stock of the Sponsor are also considered exempt party-in-interest transactions. As of December 31, 2025, the Plan </w:t>
      </w:r>
      <w:r>
        <w:rPr>
          <w:rFonts w:ascii="Arial;sans-serif" w:hAnsi="Arial;sans-serif"/>
          <w:b w:val="false"/>
          <w:color w:val="000000"/>
          <w:sz w:val="20"/>
          <w:shd w:fill="FFFFFF" w:val="clear"/>
        </w:rPr>
        <w:t xml:space="preserve">held </w:t>
      </w:r>
      <w:r>
        <w:rPr>
          <w:rFonts w:ascii="Arial;sans-serif" w:hAnsi="Arial;sans-serif"/>
          <w:b w:val="false"/>
          <w:color w:val="000000"/>
          <w:sz w:val="20"/>
        </w:rPr>
        <w:t>50,853</w:t>
      </w:r>
      <w:r>
        <w:rPr>
          <w:color w:val="000000"/>
          <w:shd w:fill="FFFFFF" w:val="clear"/>
        </w:rPr>
        <w:t xml:space="preserve"> </w:t>
      </w:r>
      <w:r>
        <w:rPr>
          <w:rFonts w:ascii="Arial;sans-serif" w:hAnsi="Arial;sans-serif"/>
          <w:b w:val="false"/>
          <w:color w:val="000000"/>
          <w:sz w:val="20"/>
          <w:shd w:fill="FFFFFF" w:val="clear"/>
        </w:rPr>
        <w:t>share</w:t>
      </w:r>
      <w:r>
        <w:rPr>
          <w:rFonts w:ascii="Arial;sans-serif" w:hAnsi="Arial;sans-serif"/>
          <w:b w:val="false"/>
          <w:color w:val="000000"/>
          <w:sz w:val="20"/>
        </w:rPr>
        <w:t>s of the Sponsor’s common stock. Total outstanding number of shares of common stock of the Sponsor as of December 31, 2025 was 211,155,322 shares.</w:t>
      </w:r>
    </w:p>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0"/>
        <w:jc w:val="left"/>
        <w:rPr>
          <w:rFonts w:ascii="Arial;sans-serif" w:hAnsi="Arial;sans-serif"/>
          <w:b/>
          <w:color w:val="000000"/>
          <w:sz w:val="20"/>
        </w:rPr>
      </w:pPr>
      <w:r>
        <w:rPr>
          <w:rFonts w:ascii="Arial;sans-serif" w:hAnsi="Arial;sans-serif"/>
          <w:b/>
          <w:color w:val="000000"/>
          <w:sz w:val="20"/>
        </w:rPr>
        <w:t>4. RISKS AND UNCERTAINTIES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Plan provides for investment in various investment securities. In general, these securities are exposed to various risks, such as interest rate, market, and credit in addition to changes in economic conditions. Due to the level of risk associated with certain investment securities, it is reasonably possible that changes in the values of investment securities will occur in the near term and that such change could materially affect the amounts reported in the accompanying statements of assets available for benefits.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5. INCOME TAX STATUS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Plan has adopted a non-standardized prototype plan for which the Internal Revenue Service has issued an opinion letter dated June 30, 2020, covering the qualification of the Plan under the appropriate sections of the Internal Revenue Code. The plan administrators believe that the Plan continues to operate in accordance with the requirements to qualify for tax-exempt status. Accordingly, no provision for income taxes is included in the accompanying financial statements.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Management evaluates tax positions taken by the Plan and recognizes a tax liability (or asset) if the Plan has taken an uncertain position that more likely than not would be sustained upon examination by taxing authorities. Plan management has concluded that as of December 31, 2025, there are no uncertain tax positions that require either recognition or disclosure in the financial statements. The Plan is subject to routine audits by taxing authorities for tax years for which the applicable statutes of limitations have not expired. To the plan administrator’s knowledge there are currently no audits for any tax periods in progress.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Extra Space Management, Inc. 401(k) Plan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Schedule H, Line 4i</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Schedule of Assets (Held at End of Year)</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December 31, 2025</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Employer Identification Number: 87-0405300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Plan Number: 001</w:t>
      </w:r>
    </w:p>
    <w:tbl>
      <w:tblPr>
        <w:tblW w:w="10205" w:type="dxa"/>
        <w:jc w:val="center"/>
        <w:tblInd w:w="0" w:type="dxa"/>
        <w:tblLayout w:type="fixed"/>
        <w:tblCellMar>
          <w:top w:w="28" w:type="dxa"/>
          <w:left w:w="28" w:type="dxa"/>
          <w:bottom w:w="28" w:type="dxa"/>
          <w:right w:w="28" w:type="dxa"/>
        </w:tblCellMar>
      </w:tblPr>
      <w:tblGrid>
        <w:gridCol w:w="429"/>
        <w:gridCol w:w="376"/>
        <w:gridCol w:w="384"/>
        <w:gridCol w:w="165"/>
        <w:gridCol w:w="165"/>
        <w:gridCol w:w="165"/>
        <w:gridCol w:w="1208"/>
        <w:gridCol w:w="1141"/>
        <w:gridCol w:w="946"/>
        <w:gridCol w:w="165"/>
        <w:gridCol w:w="165"/>
        <w:gridCol w:w="165"/>
        <w:gridCol w:w="947"/>
        <w:gridCol w:w="947"/>
        <w:gridCol w:w="951"/>
        <w:gridCol w:w="109"/>
        <w:gridCol w:w="109"/>
        <w:gridCol w:w="109"/>
        <w:gridCol w:w="211"/>
        <w:gridCol w:w="1186"/>
        <w:gridCol w:w="162"/>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w:t>
            </w:r>
          </w:p>
        </w:tc>
      </w:tr>
      <w:tr>
        <w:trPr/>
        <w:tc>
          <w:tcPr>
            <w:tcW w:w="1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Party in</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Interest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Identity of Issue</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of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Current Value</w:t>
            </w:r>
          </w:p>
        </w:tc>
      </w:tr>
      <w:tr>
        <w:trPr/>
        <w:tc>
          <w:tcPr>
            <w:tcW w:w="1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500 INDEX</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26,647,592 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FDM IDX 2050 PRM</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18,181,936 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FDM IDX 2045 PRM</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18,147,172 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FDM IDX 2040 PRM</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17,569,213 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JPM LG CAP GROWTH R6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14,542,318 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FDM IDX 2055 PRM</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13,826,516 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FDM IDX 2035 PRM</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13,199,580 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FDM IDX 2030 PRM</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12,235,619 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FDM IDX 2060 PRM</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7,751,360 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EXTRA SPACE STOCK</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6,529,194 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 H ENTERPRISE N</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6,125,930 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BALANCED</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5,716,728 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FDM IDX 2025 PRM</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5,606,565 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AF EUPAC FUND R6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5,274,493 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PGIM TOT RET BOND U</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Collective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4,114,625 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JPM EQUITY INCOME R6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3,962,390 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FDM IDX 2065 PRM</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3,233,316 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SM CAP IDX</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3,173,137 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GG G RETIRE INC F35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Collective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3,058,433 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VICTORY S EST VAL R6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3,010,708 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CONESTOGA SM CAP IS</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2,314,587 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INTL INDEX</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2,030,134 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BROKERAGELINK</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1,931,310 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FDM IDX 2020 PRM</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1,721,756 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MID CAP IDX</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1,299,278 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FDM IDX 2015 PRM</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966,342 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PGIM ST CORP BOND R6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949,646 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UM BEHAVIORAL VAL R6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905,370 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AF NEW WORLD R6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568,929 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FRDM IDX RET PRM</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553,456 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PIM COM REAL RET I</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453,842 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PIMCO INCOME INST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261,624 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FDM IDX 2010 PRM</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257,049 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FDM IDX 2070 PRM</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126,533 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FID GOVT MMKT K6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Outstanding Loan Balance ^</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4,819,519 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211,066,732 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9"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Denotes a party-in-interest as defined by ERISA.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9" w:type="dxa"/>
            <w:gridSpan w:val="15"/>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Note: Column (d), cost, has been omitted as all investments are participant directed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9"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Loans to participants, at cost, which approximates fair value, at interest rates of 4.25% to 10.25% and maturities ranging from January 2026 to June 2052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SIGNATURES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trustees (or other persons who administer the employee benefit plan) have duly caused this report to be signed on its behalf by the undersigned thereunto duly authorized.</w:t>
      </w:r>
    </w:p>
    <w:p>
      <w:pPr>
        <w:pStyle w:val="TextBody"/>
        <w:bidi w:val="0"/>
        <w:spacing w:before="0" w:after="0"/>
        <w:jc w:val="center"/>
        <w:rPr/>
      </w:pPr>
      <w:r>
        <w:rPr/>
      </w:r>
    </w:p>
    <w:tbl>
      <w:tblPr>
        <w:tblW w:w="6926" w:type="dxa"/>
        <w:jc w:val="center"/>
        <w:tblInd w:w="0" w:type="dxa"/>
        <w:tblLayout w:type="fixed"/>
        <w:tblCellMar>
          <w:top w:w="28" w:type="dxa"/>
          <w:left w:w="28" w:type="dxa"/>
          <w:bottom w:w="28" w:type="dxa"/>
          <w:right w:w="28" w:type="dxa"/>
        </w:tblCellMar>
      </w:tblPr>
      <w:tblGrid>
        <w:gridCol w:w="678"/>
        <w:gridCol w:w="595"/>
        <w:gridCol w:w="601"/>
        <w:gridCol w:w="109"/>
        <w:gridCol w:w="109"/>
        <w:gridCol w:w="109"/>
        <w:gridCol w:w="1383"/>
        <w:gridCol w:w="1383"/>
        <w:gridCol w:w="1959"/>
      </w:tblGrid>
      <w:tr>
        <w:trPr/>
        <w:tc>
          <w:tcPr>
            <w:tcW w:w="67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Extra Space Management, Inc. 401(k) Plan</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Jeff Norman</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Jeff Norman</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Executive Vice President and Chief Financial Officer</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lineRule="auto" w:line="288" w:before="2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Consent of Independent Registered Public Accounting Firm</w: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Extra Space Management, Inc. 401(k) Plan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Salt Lake City, Utah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 of Extra Space Storage Inc. on Form S-8 (No. 333-157559) of our report dated June 18, 2026, on our audit of the financial statements of the Extra Space Management, Inc. 401(k) Plan as of December 31, 2025 and 2024, and for the year ended December 31, 2025, and of the supplemental schedule of the Extra Space Management, Inc. 401(k) Plan as of December 31, 2025, which report is included in the Annual Report on Form 11-K to be filed on or about June 18, 2026.</w: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 Tanner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Salt Lake City, Utah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June 18, 2026</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4010</Words>
  <Characters>22095</Characters>
  <CharactersWithSpaces>25860</CharactersWithSpaces>
  <Paragraphs>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