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81915</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74295</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5" w:lineRule="exact"/>
        <w:rPr>
          <w:sz w:val="24"/>
          <w:szCs w:val="24"/>
          <w:color w:val="auto"/>
        </w:rPr>
      </w:pPr>
    </w:p>
    <w:p>
      <w:pPr>
        <w:ind w:left="680" w:right="380" w:hanging="658"/>
        <w:spacing w:after="0" w:line="239" w:lineRule="auto"/>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7" w:lineRule="exact"/>
        <w:rPr>
          <w:sz w:val="24"/>
          <w:szCs w:val="24"/>
          <w:color w:val="auto"/>
        </w:rPr>
      </w:pPr>
    </w:p>
    <w:p>
      <w:pPr>
        <w:ind w:left="700" w:right="340" w:hanging="665"/>
        <w:spacing w:after="0" w:line="239" w:lineRule="auto"/>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2880" w:type="dxa"/>
        <w:tblCellMar>
          <w:top w:w="0" w:type="dxa"/>
          <w:left w:w="0" w:type="dxa"/>
          <w:bottom w:w="0" w:type="dxa"/>
          <w:right w:w="0" w:type="dxa"/>
        </w:tblCellMar>
      </w:tblPr>
      <w:tr>
        <w:trPr>
          <w:trHeight w:val="195"/>
        </w:trPr>
        <w:tc>
          <w:tcPr>
            <w:tcW w:w="2880" w:type="dxa"/>
            <w:vAlign w:val="bottom"/>
          </w:tcPr>
          <w:p>
            <w:pPr>
              <w:ind w:left="580"/>
              <w:spacing w:after="0"/>
              <w:rPr>
                <w:sz w:val="20"/>
                <w:szCs w:val="20"/>
                <w:color w:val="auto"/>
              </w:rPr>
            </w:pPr>
            <w:r>
              <w:rPr>
                <w:rFonts w:ascii="Arial" w:cs="Arial" w:eastAsia="Arial" w:hAnsi="Arial"/>
                <w:sz w:val="17"/>
                <w:szCs w:val="17"/>
                <w:b w:val="1"/>
                <w:bCs w:val="1"/>
                <w:color w:val="auto"/>
                <w:w w:val="95"/>
              </w:rPr>
              <w:t>For the transition period from</w:t>
            </w:r>
          </w:p>
        </w:tc>
        <w:tc>
          <w:tcPr>
            <w:tcW w:w="8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7"/>
                <w:szCs w:val="17"/>
                <w:b w:val="1"/>
                <w:bCs w:val="1"/>
                <w:color w:val="auto"/>
                <w:w w:val="99"/>
              </w:rPr>
              <w:t>to</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20" w:type="dxa"/>
            <w:vAlign w:val="bottom"/>
          </w:tcPr>
          <w:p>
            <w:pPr>
              <w:jc w:val="right"/>
              <w:ind w:right="531"/>
              <w:spacing w:after="0"/>
              <w:rPr>
                <w:sz w:val="20"/>
                <w:szCs w:val="20"/>
                <w:color w:val="auto"/>
              </w:rPr>
            </w:pPr>
            <w:r>
              <w:rPr>
                <w:rFonts w:ascii="Arial" w:cs="Arial" w:eastAsia="Arial" w:hAnsi="Arial"/>
                <w:sz w:val="10"/>
                <w:szCs w:val="10"/>
                <w:b w:val="1"/>
                <w:bCs w:val="1"/>
                <w:color w:val="auto"/>
                <w:w w:val="70"/>
              </w:rPr>
              <w:t>.</w:t>
            </w:r>
          </w:p>
        </w:tc>
      </w:tr>
      <w:tr>
        <w:trPr>
          <w:trHeight w:val="229"/>
        </w:trPr>
        <w:tc>
          <w:tcPr>
            <w:tcW w:w="4500" w:type="dxa"/>
            <w:vAlign w:val="bottom"/>
            <w:gridSpan w:val="4"/>
          </w:tcPr>
          <w:p>
            <w:pPr>
              <w:ind w:left="1360"/>
              <w:spacing w:after="0"/>
              <w:rPr>
                <w:sz w:val="20"/>
                <w:szCs w:val="20"/>
                <w:color w:val="auto"/>
              </w:rPr>
            </w:pPr>
            <w:r>
              <w:rPr>
                <w:rFonts w:ascii="Arial" w:cs="Arial" w:eastAsia="Arial" w:hAnsi="Arial"/>
                <w:sz w:val="17"/>
                <w:szCs w:val="17"/>
                <w:b w:val="1"/>
                <w:bCs w:val="1"/>
                <w:color w:val="auto"/>
              </w:rPr>
              <w:t>Commission File Number: 001-32269</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79"/>
        </w:trPr>
        <w:tc>
          <w:tcPr>
            <w:tcW w:w="2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bl>
    <w:p>
      <w:pPr>
        <w:spacing w:after="0" w:line="299"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EXTRA SPACE STORAGE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57785</wp:posOffset>
            </wp:positionV>
            <wp:extent cx="3472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p>
      <w:pPr>
        <w:spacing w:after="0" w:line="204"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20-1076777</w:t>
      </w:r>
    </w:p>
    <w:p>
      <w:pPr>
        <w:spacing w:after="0" w:line="32" w:lineRule="exact"/>
        <w:rPr>
          <w:sz w:val="24"/>
          <w:szCs w:val="24"/>
          <w:color w:val="auto"/>
        </w:rPr>
      </w:pPr>
    </w:p>
    <w:p>
      <w:pPr>
        <w:sectPr>
          <w:pgSz w:w="11900" w:h="16838" w:orient="portrait"/>
          <w:cols w:equalWidth="0" w:num="2">
            <w:col w:w="7400" w:space="720"/>
            <w:col w:w="3120"/>
          </w:cols>
          <w:pgMar w:left="320" w:top="531" w:right="339" w:bottom="1440" w:gutter="0" w:footer="0" w:header="0"/>
          <w:type w:val="continuous"/>
        </w:sectPr>
      </w:pPr>
    </w:p>
    <w:p>
      <w:pPr>
        <w:spacing w:after="0" w:line="12"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(State or other jurisdiction of</w:t>
      </w:r>
    </w:p>
    <w:p>
      <w:pPr>
        <w:ind w:left="18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531" w:right="339" w:bottom="1440" w:gutter="0" w:footer="0" w:header="0"/>
          <w:type w:val="continuous"/>
        </w:sectPr>
      </w:pP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2795 East Cottonwood Parkway, Suite 300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Salt Lake City, Utah 84121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240"/>
          </w:cols>
          <w:pgMar w:left="320" w:top="531" w:right="339" w:bottom="1440" w:gutter="0" w:footer="0" w:header="0"/>
          <w:type w:val="continuous"/>
        </w:sect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(801) 365-4600</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Securities Exchange Act of 1934</w:t>
      </w:r>
    </w:p>
    <w:p>
      <w:pPr>
        <w:spacing w:after="0" w:line="47" w:lineRule="exact"/>
        <w:rPr>
          <w:sz w:val="24"/>
          <w:szCs w:val="24"/>
          <w:color w:val="auto"/>
        </w:rPr>
      </w:pPr>
    </w:p>
    <w:tbl>
      <w:tblPr>
        <w:tblLayout w:type="fixed"/>
        <w:tblInd w:w="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7"/>
                <w:szCs w:val="17"/>
                <w:b w:val="1"/>
                <w:bCs w:val="1"/>
                <w:color w:val="auto"/>
                <w:w w:val="93"/>
              </w:rPr>
              <w:t>Trading symbol</w:t>
            </w:r>
          </w:p>
        </w:tc>
        <w:tc>
          <w:tcPr>
            <w:tcW w:w="4040" w:type="dxa"/>
            <w:vAlign w:val="bottom"/>
            <w:gridSpan w:val="2"/>
          </w:tcPr>
          <w:p>
            <w:pPr>
              <w:jc w:val="center"/>
              <w:ind w:left="713"/>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504"/>
        </w:trPr>
        <w:tc>
          <w:tcPr>
            <w:tcW w:w="3060" w:type="dxa"/>
            <w:vAlign w:val="bottom"/>
            <w:gridSpan w:val="3"/>
          </w:tcPr>
          <w:p>
            <w:pPr>
              <w:jc w:val="center"/>
              <w:ind w:right="800"/>
              <w:spacing w:after="0"/>
              <w:rPr>
                <w:sz w:val="20"/>
                <w:szCs w:val="20"/>
                <w:color w:val="auto"/>
              </w:rPr>
            </w:pPr>
            <w:r>
              <w:rPr>
                <w:rFonts w:ascii="Arial" w:cs="Arial" w:eastAsia="Arial" w:hAnsi="Arial"/>
                <w:sz w:val="17"/>
                <w:szCs w:val="17"/>
                <w:color w:val="auto"/>
                <w:w w:val="93"/>
              </w:rPr>
              <w:t>Common Stock, $0.01 par value</w:t>
            </w:r>
          </w:p>
        </w:tc>
        <w:tc>
          <w:tcPr>
            <w:tcW w:w="780" w:type="dxa"/>
            <w:vAlign w:val="bottom"/>
          </w:tcPr>
          <w:p>
            <w:pPr>
              <w:spacing w:after="0"/>
              <w:rPr>
                <w:sz w:val="24"/>
                <w:szCs w:val="24"/>
                <w:color w:val="auto"/>
              </w:rPr>
            </w:pPr>
          </w:p>
        </w:tc>
        <w:tc>
          <w:tcPr>
            <w:tcW w:w="2000" w:type="dxa"/>
            <w:vAlign w:val="bottom"/>
            <w:gridSpan w:val="2"/>
          </w:tcPr>
          <w:p>
            <w:pPr>
              <w:jc w:val="center"/>
              <w:ind w:right="820"/>
              <w:spacing w:after="0"/>
              <w:rPr>
                <w:sz w:val="20"/>
                <w:szCs w:val="20"/>
                <w:color w:val="auto"/>
              </w:rPr>
            </w:pPr>
            <w:r>
              <w:rPr>
                <w:rFonts w:ascii="Arial" w:cs="Arial" w:eastAsia="Arial" w:hAnsi="Arial"/>
                <w:sz w:val="17"/>
                <w:szCs w:val="17"/>
                <w:color w:val="auto"/>
                <w:w w:val="97"/>
              </w:rPr>
              <w:t>EXR</w:t>
            </w:r>
          </w:p>
        </w:tc>
        <w:tc>
          <w:tcPr>
            <w:tcW w:w="8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200" w:lineRule="exact"/>
        <w:rPr>
          <w:sz w:val="24"/>
          <w:szCs w:val="24"/>
          <w:color w:val="auto"/>
        </w:rPr>
      </w:pPr>
    </w:p>
    <w:p>
      <w:pPr>
        <w:spacing w:after="0" w:line="326" w:lineRule="exact"/>
        <w:rPr>
          <w:sz w:val="24"/>
          <w:szCs w:val="24"/>
          <w:color w:val="auto"/>
        </w:rPr>
      </w:pPr>
    </w:p>
    <w:p>
      <w:pPr>
        <w:jc w:val="both"/>
        <w:ind w:right="8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6" w:lineRule="exact"/>
        <w:rPr>
          <w:sz w:val="24"/>
          <w:szCs w:val="24"/>
          <w:color w:val="auto"/>
        </w:rPr>
      </w:pPr>
    </w:p>
    <w:p>
      <w:pPr>
        <w:ind w:right="68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6" w:lineRule="exact"/>
        <w:rPr>
          <w:sz w:val="24"/>
          <w:szCs w:val="24"/>
          <w:color w:val="auto"/>
        </w:rPr>
      </w:pPr>
    </w:p>
    <w:p>
      <w:pPr>
        <w:ind w:right="60"/>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00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Arial" w:cs="Arial" w:eastAsia="Arial" w:hAnsi="Arial"/>
                <w:sz w:val="17"/>
                <w:szCs w:val="17"/>
                <w:color w:val="auto"/>
              </w:rPr>
              <w:t>Accelerated filer</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23"/>
        </w:trPr>
        <w:tc>
          <w:tcPr>
            <w:tcW w:w="200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Arial" w:cs="Arial" w:eastAsia="Arial" w:hAnsi="Arial"/>
                <w:sz w:val="17"/>
                <w:szCs w:val="17"/>
                <w:color w:val="auto"/>
              </w:rPr>
              <w:t>Smaller reporting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0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6380" w:type="dxa"/>
            <w:vAlign w:val="bottom"/>
          </w:tcPr>
          <w:p>
            <w:pPr>
              <w:ind w:left="3980"/>
              <w:spacing w:after="0"/>
              <w:rPr>
                <w:sz w:val="20"/>
                <w:szCs w:val="20"/>
                <w:color w:val="auto"/>
              </w:rPr>
            </w:pPr>
            <w:r>
              <w:rPr>
                <w:rFonts w:ascii="Arial" w:cs="Arial" w:eastAsia="Arial" w:hAnsi="Arial"/>
                <w:sz w:val="17"/>
                <w:szCs w:val="17"/>
                <w:color w:val="auto"/>
              </w:rPr>
              <w:t>Emerging growth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609"/>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jc w:val="right"/>
              <w:ind w:right="4693"/>
              <w:spacing w:after="0"/>
              <w:rPr>
                <w:sz w:val="20"/>
                <w:szCs w:val="20"/>
                <w:color w:val="auto"/>
              </w:rPr>
            </w:pPr>
            <w:r>
              <w:rPr>
                <w:rFonts w:ascii="Arial" w:cs="Arial" w:eastAsia="Arial" w:hAnsi="Arial"/>
                <w:sz w:val="17"/>
                <w:szCs w:val="17"/>
                <w:color w:val="auto"/>
              </w:rPr>
              <w:t>1</w:t>
            </w:r>
          </w:p>
        </w:tc>
        <w:tc>
          <w:tcPr>
            <w:tcW w:w="800" w:type="dxa"/>
            <w:vAlign w:val="bottom"/>
          </w:tcPr>
          <w:p>
            <w:pPr>
              <w:spacing w:after="0"/>
              <w:rPr>
                <w:sz w:val="24"/>
                <w:szCs w:val="24"/>
                <w:color w:val="auto"/>
              </w:rPr>
            </w:pPr>
          </w:p>
        </w:tc>
      </w:tr>
      <w:tr>
        <w:trPr>
          <w:trHeight w:val="112"/>
        </w:trPr>
        <w:tc>
          <w:tcPr>
            <w:tcW w:w="20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type w:val="continuous"/>
        </w:sectPr>
      </w:pPr>
    </w:p>
    <w:bookmarkStart w:id="1" w:name="page2"/>
    <w:bookmarkEnd w:id="1"/>
    <w:p>
      <w:pPr>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0"/>
          <w:szCs w:val="20"/>
          <w:color w:val="auto"/>
        </w:rPr>
      </w:pPr>
    </w:p>
    <w:p>
      <w:pPr>
        <w:spacing w:after="0" w:line="196" w:lineRule="exact"/>
        <w:tabs>
          <w:tab w:leader="none" w:pos="8100" w:val="left"/>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par value $0.01 per share, as of May 2, 2022, was 134,279,862.</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442"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20" w:type="dxa"/>
            <w:vAlign w:val="bottom"/>
            <w:gridSpan w:val="21"/>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Table of Contents</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6"/>
          </w:tcPr>
          <w:p>
            <w:pPr>
              <w:jc w:val="center"/>
              <w:ind w:right="4060"/>
              <w:spacing w:after="0"/>
              <w:rPr>
                <w:sz w:val="20"/>
                <w:szCs w:val="20"/>
                <w:color w:val="auto"/>
              </w:rPr>
            </w:pPr>
            <w:r>
              <w:rPr>
                <w:rFonts w:ascii="Arial" w:cs="Arial" w:eastAsia="Arial" w:hAnsi="Arial"/>
                <w:sz w:val="17"/>
                <w:szCs w:val="17"/>
                <w:b w:val="1"/>
                <w:bCs w:val="1"/>
                <w:color w:val="auto"/>
              </w:rPr>
              <w:t>EXTRA SPACE STORAGE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5"/>
          </w:tcPr>
          <w:p>
            <w:pPr>
              <w:jc w:val="center"/>
              <w:ind w:right="4360"/>
              <w:spacing w:after="0"/>
              <w:rPr>
                <w:sz w:val="20"/>
                <w:szCs w:val="20"/>
                <w:color w:val="auto"/>
              </w:rPr>
            </w:pPr>
            <w:r>
              <w:rPr>
                <w:rFonts w:ascii="Arial" w:cs="Arial" w:eastAsia="Arial" w:hAnsi="Arial"/>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0" w:type="dxa"/>
            <w:vAlign w:val="bottom"/>
            <w:gridSpan w:val="20"/>
          </w:tcPr>
          <w:p>
            <w:pPr>
              <w:spacing w:after="0"/>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STATEMENT ON FORWARD-LOOKING INFORMATION</w:t>
              </w:r>
            </w:hyperlink>
          </w:p>
        </w:tc>
        <w:tc>
          <w:tcPr>
            <w:tcW w:w="160" w:type="dxa"/>
            <w:vAlign w:val="bottom"/>
            <w:gridSpan w:val="2"/>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gridSpan w:val="10"/>
          </w:tcPr>
          <w:p>
            <w:pPr>
              <w:spacing w:after="0"/>
              <w:rPr>
                <w:rFonts w:ascii="Arial" w:cs="Arial" w:eastAsia="Arial" w:hAnsi="Arial"/>
                <w:sz w:val="17"/>
                <w:szCs w:val="17"/>
                <w:b w:val="1"/>
                <w:bCs w:val="1"/>
                <w:color w:val="0000FF"/>
              </w:rPr>
            </w:pPr>
            <w:hyperlink w:anchor="page5">
              <w:r>
                <w:rPr>
                  <w:rFonts w:ascii="Arial" w:cs="Arial" w:eastAsia="Arial" w:hAnsi="Arial"/>
                  <w:sz w:val="17"/>
                  <w:szCs w:val="17"/>
                  <w:b w:val="1"/>
                  <w:bCs w:val="1"/>
                  <w:color w:val="0000FF"/>
                </w:rPr>
                <w:t>PART I. FINANCIAL INFORMATION</w:t>
              </w:r>
            </w:hyperlink>
          </w:p>
        </w:tc>
        <w:tc>
          <w:tcPr>
            <w:tcW w:w="1580" w:type="dxa"/>
            <w:vAlign w:val="bottom"/>
            <w:gridSpan w:val="5"/>
          </w:tcPr>
          <w:p>
            <w:pPr>
              <w:spacing w:after="0"/>
              <w:rPr>
                <w:sz w:val="22"/>
                <w:szCs w:val="22"/>
                <w:color w:val="auto"/>
              </w:rPr>
            </w:pPr>
          </w:p>
        </w:tc>
        <w:tc>
          <w:tcPr>
            <w:tcW w:w="6440" w:type="dxa"/>
            <w:vAlign w:val="bottom"/>
            <w:gridSpan w:val="5"/>
          </w:tcPr>
          <w:p>
            <w:pPr>
              <w:spacing w:after="0"/>
              <w:rPr>
                <w:sz w:val="22"/>
                <w:szCs w:val="22"/>
                <w:color w:val="auto"/>
              </w:rPr>
            </w:pPr>
          </w:p>
        </w:tc>
        <w:tc>
          <w:tcPr>
            <w:tcW w:w="160" w:type="dxa"/>
            <w:vAlign w:val="bottom"/>
            <w:gridSpan w:val="2"/>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rFonts w:ascii="Arial" w:cs="Arial" w:eastAsia="Arial" w:hAnsi="Arial"/>
                <w:sz w:val="17"/>
                <w:szCs w:val="17"/>
                <w:b w:val="1"/>
                <w:bCs w:val="1"/>
                <w:color w:val="0000FF"/>
              </w:rPr>
            </w:pPr>
            <w:hyperlink w:anchor="page6">
              <w:r>
                <w:rPr>
                  <w:rFonts w:ascii="Arial" w:cs="Arial" w:eastAsia="Arial" w:hAnsi="Arial"/>
                  <w:sz w:val="17"/>
                  <w:szCs w:val="17"/>
                  <w:b w:val="1"/>
                  <w:bCs w:val="1"/>
                  <w:color w:val="0000FF"/>
                </w:rPr>
                <w:t>ITEM 1. FINANCIAL STATEMENTS (unaudited)</w:t>
              </w:r>
            </w:hyperlink>
          </w:p>
        </w:tc>
        <w:tc>
          <w:tcPr>
            <w:tcW w:w="160" w:type="dxa"/>
            <w:vAlign w:val="bottom"/>
            <w:gridSpan w:val="2"/>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80" w:type="dxa"/>
            <w:vAlign w:val="bottom"/>
            <w:gridSpan w:val="18"/>
          </w:tcPr>
          <w:p>
            <w:pPr>
              <w:spacing w:after="0"/>
              <w:rPr>
                <w:rFonts w:ascii="Arial" w:cs="Arial" w:eastAsia="Arial" w:hAnsi="Arial"/>
                <w:sz w:val="17"/>
                <w:szCs w:val="17"/>
                <w:b w:val="1"/>
                <w:bCs w:val="1"/>
                <w:color w:val="0000FF"/>
              </w:rPr>
            </w:pPr>
            <w:hyperlink w:anchor="page12">
              <w:r>
                <w:rPr>
                  <w:rFonts w:ascii="Arial" w:cs="Arial" w:eastAsia="Arial" w:hAnsi="Arial"/>
                  <w:sz w:val="17"/>
                  <w:szCs w:val="17"/>
                  <w:b w:val="1"/>
                  <w:bCs w:val="1"/>
                  <w:color w:val="0000FF"/>
                </w:rPr>
                <w:t>NOTES TO CONDENSED CONSOLIDATED FINANCIAL STATEMENTS</w:t>
              </w:r>
            </w:hyperlink>
          </w:p>
        </w:tc>
        <w:tc>
          <w:tcPr>
            <w:tcW w:w="160" w:type="dxa"/>
            <w:vAlign w:val="bottom"/>
            <w:gridSpan w:val="2"/>
          </w:tcPr>
          <w:p>
            <w:pPr>
              <w:jc w:val="right"/>
              <w:spacing w:after="0"/>
              <w:rPr>
                <w:rFonts w:ascii="Arial" w:cs="Arial" w:eastAsia="Arial" w:hAnsi="Arial"/>
                <w:sz w:val="17"/>
                <w:szCs w:val="17"/>
                <w:color w:val="0000FF"/>
                <w:w w:val="73"/>
              </w:rPr>
            </w:pPr>
            <w:hyperlink w:anchor="page12">
              <w:r>
                <w:rPr>
                  <w:rFonts w:ascii="Arial" w:cs="Arial" w:eastAsia="Arial" w:hAnsi="Arial"/>
                  <w:sz w:val="17"/>
                  <w:szCs w:val="17"/>
                  <w:color w:val="0000FF"/>
                  <w:w w:val="73"/>
                </w:rPr>
                <w:t>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19"/>
          </w:tcPr>
          <w:p>
            <w:pPr>
              <w:spacing w:after="0"/>
              <w:rPr>
                <w:rFonts w:ascii="Arial" w:cs="Arial" w:eastAsia="Arial" w:hAnsi="Arial"/>
                <w:sz w:val="17"/>
                <w:szCs w:val="17"/>
                <w:b w:val="1"/>
                <w:bCs w:val="1"/>
                <w:color w:val="0000FF"/>
              </w:rPr>
            </w:pPr>
            <w:hyperlink w:anchor="page28">
              <w:r>
                <w:rPr>
                  <w:rFonts w:ascii="Arial" w:cs="Arial" w:eastAsia="Arial" w:hAnsi="Arial"/>
                  <w:sz w:val="17"/>
                  <w:szCs w:val="17"/>
                  <w:b w:val="1"/>
                  <w:bCs w:val="1"/>
                  <w:color w:val="0000FF"/>
                </w:rPr>
                <w:t>ITEM 2. MANAGEMENT’S DISCUSSION AND ANALYSIS OF FINANCIAL CONDITION AND RESULTS OF</w:t>
              </w:r>
            </w:hyperlink>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76" w:lineRule="exact"/>
              <w:rPr>
                <w:rFonts w:ascii="Arial" w:cs="Arial" w:eastAsia="Arial" w:hAnsi="Arial"/>
                <w:sz w:val="17"/>
                <w:szCs w:val="17"/>
                <w:b w:val="1"/>
                <w:bCs w:val="1"/>
                <w:color w:val="0000FF"/>
                <w:w w:val="99"/>
              </w:rPr>
            </w:pPr>
            <w:hyperlink w:anchor="page28">
              <w:r>
                <w:rPr>
                  <w:rFonts w:ascii="Arial" w:cs="Arial" w:eastAsia="Arial" w:hAnsi="Arial"/>
                  <w:sz w:val="17"/>
                  <w:szCs w:val="17"/>
                  <w:b w:val="1"/>
                  <w:bCs w:val="1"/>
                  <w:color w:val="0000FF"/>
                  <w:w w:val="99"/>
                </w:rPr>
                <w:t>OPERATIONS</w:t>
              </w:r>
            </w:hyperlink>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40" w:type="dxa"/>
            <w:vAlign w:val="bottom"/>
            <w:tcBorders>
              <w:top w:val="single" w:sz="8" w:color="0000FF"/>
              <w:bottom w:val="single" w:sz="8" w:color="0000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2"/>
          </w:tcPr>
          <w:p>
            <w:pPr>
              <w:spacing w:after="0"/>
              <w:rPr>
                <w:sz w:val="16"/>
                <w:szCs w:val="16"/>
                <w:color w:val="auto"/>
              </w:rPr>
            </w:pPr>
          </w:p>
        </w:tc>
        <w:tc>
          <w:tcPr>
            <w:tcW w:w="2940" w:type="dxa"/>
            <w:vAlign w:val="bottom"/>
            <w:tcBorders>
              <w:top w:val="single" w:sz="8" w:color="0000FF"/>
              <w:bottom w:val="single" w:sz="8" w:color="0000FF"/>
            </w:tcBorders>
            <w:gridSpan w:val="3"/>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560" w:type="dxa"/>
            <w:vAlign w:val="bottom"/>
            <w:tcBorders>
              <w:top w:val="single" w:sz="8" w:color="0000FF"/>
              <w:bottom w:val="single" w:sz="8" w:color="0000FF"/>
            </w:tcBorders>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gridSpan w:val="2"/>
          </w:tcPr>
          <w:p>
            <w:pPr>
              <w:jc w:val="right"/>
              <w:spacing w:after="0" w:line="190" w:lineRule="exact"/>
              <w:rPr>
                <w:rFonts w:ascii="Arial" w:cs="Arial" w:eastAsia="Arial" w:hAnsi="Arial"/>
                <w:sz w:val="17"/>
                <w:szCs w:val="17"/>
                <w:color w:val="0000FF"/>
                <w:w w:val="73"/>
              </w:rPr>
            </w:pPr>
            <w:hyperlink w:anchor="page28">
              <w:r>
                <w:rPr>
                  <w:rFonts w:ascii="Arial" w:cs="Arial" w:eastAsia="Arial" w:hAnsi="Arial"/>
                  <w:sz w:val="17"/>
                  <w:szCs w:val="17"/>
                  <w:color w:val="0000FF"/>
                  <w:w w:val="73"/>
                </w:rPr>
                <w:t>28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17"/>
            <w:vMerge w:val="restart"/>
          </w:tcPr>
          <w:p>
            <w:pPr>
              <w:spacing w:after="0"/>
              <w:rPr>
                <w:rFonts w:ascii="Arial" w:cs="Arial" w:eastAsia="Arial" w:hAnsi="Arial"/>
                <w:sz w:val="17"/>
                <w:szCs w:val="17"/>
                <w:b w:val="1"/>
                <w:bCs w:val="1"/>
                <w:color w:val="0000FF"/>
              </w:rPr>
            </w:pPr>
            <w:hyperlink w:anchor="page38">
              <w:r>
                <w:rPr>
                  <w:rFonts w:ascii="Arial" w:cs="Arial" w:eastAsia="Arial" w:hAnsi="Arial"/>
                  <w:sz w:val="17"/>
                  <w:szCs w:val="17"/>
                  <w:b w:val="1"/>
                  <w:bCs w:val="1"/>
                  <w:color w:val="0000FF"/>
                </w:rPr>
                <w:t>ITEM 3. QUANTITATIVE AND QUALITATIVE DISCLOSURES ABOUT MARKET RISK</w:t>
              </w:r>
            </w:hyperlink>
          </w:p>
        </w:tc>
        <w:tc>
          <w:tcPr>
            <w:tcW w:w="372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60" w:type="dxa"/>
            <w:vAlign w:val="bottom"/>
            <w:tcBorders>
              <w:bottom w:val="single" w:sz="8" w:color="0000FF"/>
            </w:tcBorders>
            <w:gridSpan w:val="17"/>
            <w:vMerge w:val="continue"/>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rFonts w:ascii="Arial" w:cs="Arial" w:eastAsia="Arial" w:hAnsi="Arial"/>
                <w:sz w:val="17"/>
                <w:szCs w:val="17"/>
                <w:color w:val="0000FF"/>
                <w:w w:val="73"/>
              </w:rPr>
            </w:pPr>
            <w:hyperlink w:anchor="page38">
              <w:r>
                <w:rPr>
                  <w:rFonts w:ascii="Arial" w:cs="Arial" w:eastAsia="Arial" w:hAnsi="Arial"/>
                  <w:sz w:val="17"/>
                  <w:szCs w:val="17"/>
                  <w:color w:val="0000FF"/>
                  <w:w w:val="73"/>
                </w:rPr>
                <w:t>37</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ITEM 4. CONTROLS AND PROCEDURES</w:t>
              </w:r>
            </w:hyperlink>
          </w:p>
        </w:tc>
        <w:tc>
          <w:tcPr>
            <w:tcW w:w="7340" w:type="dxa"/>
            <w:vAlign w:val="bottom"/>
            <w:gridSpan w:val="8"/>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38</w:t>
              </w:r>
            </w:hyperlink>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20"/>
          </w:tcPr>
          <w:p>
            <w:pPr>
              <w:spacing w:after="0"/>
              <w:rPr>
                <w:rFonts w:ascii="Arial" w:cs="Arial" w:eastAsia="Arial" w:hAnsi="Arial"/>
                <w:sz w:val="17"/>
                <w:szCs w:val="17"/>
                <w:b w:val="1"/>
                <w:bCs w:val="1"/>
                <w:color w:val="0000FF"/>
              </w:rPr>
            </w:pPr>
            <w:hyperlink w:anchor="page39">
              <w:r>
                <w:rPr>
                  <w:rFonts w:ascii="Arial" w:cs="Arial" w:eastAsia="Arial" w:hAnsi="Arial"/>
                  <w:sz w:val="17"/>
                  <w:szCs w:val="17"/>
                  <w:b w:val="1"/>
                  <w:bCs w:val="1"/>
                  <w:color w:val="0000FF"/>
                </w:rPr>
                <w:t>PART II. OTHER INFORMATION</w:t>
              </w:r>
            </w:hyperlink>
          </w:p>
        </w:tc>
        <w:tc>
          <w:tcPr>
            <w:tcW w:w="160" w:type="dxa"/>
            <w:vAlign w:val="bottom"/>
            <w:gridSpan w:val="2"/>
          </w:tcPr>
          <w:p>
            <w:pPr>
              <w:jc w:val="right"/>
              <w:spacing w:after="0"/>
              <w:rPr>
                <w:rFonts w:ascii="Arial" w:cs="Arial" w:eastAsia="Arial" w:hAnsi="Arial"/>
                <w:sz w:val="17"/>
                <w:szCs w:val="17"/>
                <w:color w:val="0000FF"/>
                <w:w w:val="73"/>
              </w:rPr>
            </w:pPr>
            <w:hyperlink w:anchor="page39">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FF"/>
            </w:tcBorders>
            <w:gridSpan w:val="8"/>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1. LEGAL PROCEEDINGS</w:t>
              </w:r>
            </w:hyperlink>
          </w:p>
        </w:tc>
        <w:tc>
          <w:tcPr>
            <w:tcW w:w="8060" w:type="dxa"/>
            <w:vAlign w:val="bottom"/>
            <w:gridSpan w:val="11"/>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1A. RISK FACTORS</w:t>
              </w:r>
            </w:hyperlink>
          </w:p>
        </w:tc>
        <w:tc>
          <w:tcPr>
            <w:tcW w:w="8580" w:type="dxa"/>
            <w:vAlign w:val="bottom"/>
            <w:gridSpan w:val="13"/>
          </w:tcPr>
          <w:p>
            <w:pPr>
              <w:spacing w:after="0"/>
              <w:rPr>
                <w:sz w:val="17"/>
                <w:szCs w:val="17"/>
                <w:color w:val="auto"/>
              </w:rPr>
            </w:pPr>
          </w:p>
        </w:tc>
        <w:tc>
          <w:tcPr>
            <w:tcW w:w="160" w:type="dxa"/>
            <w:vAlign w:val="bottom"/>
            <w:tcBorders>
              <w:bottom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2. UNREGISTERED SALES OF EQUITY SECURITIES AND USE OF PROCEEDS</w:t>
              </w:r>
            </w:hyperlink>
          </w:p>
        </w:tc>
        <w:tc>
          <w:tcPr>
            <w:tcW w:w="160" w:type="dxa"/>
            <w:vAlign w:val="bottom"/>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16"/>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3. DEFAULTS UPON SENIOR SECURITIES</w:t>
              </w:r>
            </w:hyperlink>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top w:val="single" w:sz="8" w:color="0000FF"/>
            </w:tcBorders>
            <w:gridSpan w:val="13"/>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4. MINE SAFETY DISCLOSURES</w:t>
              </w:r>
            </w:hyperlink>
          </w:p>
        </w:tc>
        <w:tc>
          <w:tcPr>
            <w:tcW w:w="6740" w:type="dxa"/>
            <w:vAlign w:val="bottom"/>
            <w:gridSpan w:val="6"/>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top w:val="single" w:sz="8" w:color="0000FF"/>
            </w:tcBorders>
            <w:gridSpan w:val="10"/>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5. OTHER INFORMATION</w:t>
              </w:r>
            </w:hyperlink>
          </w:p>
        </w:tc>
        <w:tc>
          <w:tcPr>
            <w:tcW w:w="752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39</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top w:val="single" w:sz="8" w:color="0000FF"/>
            </w:tcBorders>
            <w:gridSpan w:val="9"/>
          </w:tcPr>
          <w:p>
            <w:pPr>
              <w:spacing w:after="0"/>
              <w:rPr>
                <w:rFonts w:ascii="Arial" w:cs="Arial" w:eastAsia="Arial" w:hAnsi="Arial"/>
                <w:sz w:val="17"/>
                <w:szCs w:val="17"/>
                <w:b w:val="1"/>
                <w:bCs w:val="1"/>
                <w:color w:val="0000FF"/>
              </w:rPr>
            </w:pPr>
            <w:hyperlink w:anchor="page40">
              <w:r>
                <w:rPr>
                  <w:rFonts w:ascii="Arial" w:cs="Arial" w:eastAsia="Arial" w:hAnsi="Arial"/>
                  <w:sz w:val="17"/>
                  <w:szCs w:val="17"/>
                  <w:b w:val="1"/>
                  <w:bCs w:val="1"/>
                  <w:color w:val="0000FF"/>
                </w:rPr>
                <w:t>ITEM 6. EXHIBITS</w:t>
              </w:r>
            </w:hyperlink>
          </w:p>
        </w:tc>
        <w:tc>
          <w:tcPr>
            <w:tcW w:w="802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40">
              <w:r>
                <w:rPr>
                  <w:rFonts w:ascii="Arial" w:cs="Arial" w:eastAsia="Arial" w:hAnsi="Arial"/>
                  <w:sz w:val="17"/>
                  <w:szCs w:val="17"/>
                  <w:color w:val="0000FF"/>
                  <w:w w:val="73"/>
                </w:rPr>
                <w:t>40</w:t>
              </w:r>
            </w:hyperlink>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tcBorders>
            <w:gridSpan w:val="4"/>
          </w:tcPr>
          <w:p>
            <w:pPr>
              <w:spacing w:after="0"/>
              <w:rPr>
                <w:rFonts w:ascii="Arial" w:cs="Arial" w:eastAsia="Arial" w:hAnsi="Arial"/>
                <w:sz w:val="17"/>
                <w:szCs w:val="17"/>
                <w:b w:val="1"/>
                <w:bCs w:val="1"/>
                <w:color w:val="0000FF"/>
              </w:rPr>
            </w:pPr>
            <w:hyperlink w:anchor="page41">
              <w:r>
                <w:rPr>
                  <w:rFonts w:ascii="Arial" w:cs="Arial" w:eastAsia="Arial" w:hAnsi="Arial"/>
                  <w:sz w:val="17"/>
                  <w:szCs w:val="17"/>
                  <w:b w:val="1"/>
                  <w:bCs w:val="1"/>
                  <w:color w:val="0000FF"/>
                </w:rPr>
                <w:t>SIGNATURES</w:t>
              </w:r>
            </w:hyperlink>
          </w:p>
        </w:tc>
        <w:tc>
          <w:tcPr>
            <w:tcW w:w="9160" w:type="dxa"/>
            <w:vAlign w:val="bottom"/>
            <w:gridSpan w:val="15"/>
          </w:tcPr>
          <w:p>
            <w:pPr>
              <w:spacing w:after="0"/>
              <w:rPr>
                <w:sz w:val="17"/>
                <w:szCs w:val="17"/>
                <w:color w:val="auto"/>
              </w:rPr>
            </w:pPr>
          </w:p>
        </w:tc>
        <w:tc>
          <w:tcPr>
            <w:tcW w:w="160" w:type="dxa"/>
            <w:vAlign w:val="bottom"/>
            <w:tcBorders>
              <w:top w:val="single" w:sz="8" w:color="0000FF"/>
            </w:tcBorders>
            <w:gridSpan w:val="2"/>
          </w:tcPr>
          <w:p>
            <w:pPr>
              <w:jc w:val="right"/>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STATEMENT ON FORWARD-LOOKING INFORMATION</w:t>
      </w:r>
    </w:p>
    <w:p>
      <w:pPr>
        <w:spacing w:after="0" w:line="256" w:lineRule="exact"/>
        <w:rPr>
          <w:sz w:val="20"/>
          <w:szCs w:val="20"/>
          <w:color w:val="auto"/>
        </w:rPr>
      </w:pPr>
    </w:p>
    <w:p>
      <w:pPr>
        <w:ind w:right="140" w:firstLine="433"/>
        <w:spacing w:after="0" w:line="283" w:lineRule="auto"/>
        <w:rPr>
          <w:sz w:val="20"/>
          <w:szCs w:val="20"/>
          <w:color w:val="auto"/>
        </w:rPr>
      </w:pPr>
      <w:r>
        <w:rPr>
          <w:rFonts w:ascii="Arial" w:cs="Arial" w:eastAsia="Arial" w:hAnsi="Arial"/>
          <w:sz w:val="16"/>
          <w:szCs w:val="16"/>
          <w:color w:val="auto"/>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93"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89" w:lineRule="exact"/>
        <w:rPr>
          <w:sz w:val="20"/>
          <w:szCs w:val="20"/>
          <w:color w:val="auto"/>
        </w:rPr>
      </w:pPr>
    </w:p>
    <w:p>
      <w:pPr>
        <w:ind w:right="80" w:firstLine="433"/>
        <w:spacing w:after="0" w:line="298" w:lineRule="auto"/>
        <w:rPr>
          <w:sz w:val="20"/>
          <w:szCs w:val="20"/>
          <w:color w:val="auto"/>
        </w:rPr>
      </w:pPr>
      <w:r>
        <w:rPr>
          <w:rFonts w:ascii="Arial" w:cs="Arial" w:eastAsia="Arial" w:hAnsi="Arial"/>
          <w:sz w:val="16"/>
          <w:szCs w:val="16"/>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154" w:lineRule="exact"/>
        <w:rPr>
          <w:sz w:val="20"/>
          <w:szCs w:val="20"/>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changes in general economic conditions, the real estate industry and the markets in which we operate;</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close pending acquisitions and developments on expected terms, or at all;</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competition from new and existing stores or other storage alternatives, which could cause rents and occupancy rates to decline;</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liability for uninsured losses and environmental contamination;</w:t>
      </w:r>
    </w:p>
    <w:p>
      <w:pPr>
        <w:spacing w:after="0" w:line="66" w:lineRule="exact"/>
        <w:rPr>
          <w:rFonts w:ascii="Arial" w:cs="Arial" w:eastAsia="Arial" w:hAnsi="Arial"/>
          <w:sz w:val="17"/>
          <w:szCs w:val="17"/>
          <w:color w:val="auto"/>
        </w:rPr>
      </w:pPr>
    </w:p>
    <w:p>
      <w:pPr>
        <w:ind w:left="560" w:right="320" w:hanging="319"/>
        <w:spacing w:after="0" w:line="307" w:lineRule="auto"/>
        <w:tabs>
          <w:tab w:leader="none" w:pos="55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Arial" w:cs="Arial" w:eastAsia="Arial" w:hAnsi="Arial"/>
          <w:sz w:val="16"/>
          <w:szCs w:val="16"/>
          <w:color w:val="auto"/>
        </w:rPr>
      </w:pPr>
    </w:p>
    <w:p>
      <w:pPr>
        <w:ind w:left="560" w:right="40" w:hanging="319"/>
        <w:spacing w:after="0" w:line="289"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disruptions in credit and financial markets and resulting difficulties in raising capital or obtaining credit at reasonable rates or at all, which could impede our ability to grow;</w:t>
      </w:r>
    </w:p>
    <w:p>
      <w:pPr>
        <w:spacing w:after="0" w:line="1" w:lineRule="exact"/>
        <w:rPr>
          <w:rFonts w:ascii="Arial" w:cs="Arial" w:eastAsia="Arial" w:hAnsi="Arial"/>
          <w:sz w:val="17"/>
          <w:szCs w:val="17"/>
          <w:color w:val="auto"/>
        </w:rPr>
      </w:pPr>
    </w:p>
    <w:p>
      <w:pPr>
        <w:ind w:left="560" w:right="220" w:hanging="319"/>
        <w:spacing w:after="0" w:line="273"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spacing w:after="0" w:line="14" w:lineRule="exact"/>
        <w:rPr>
          <w:rFonts w:ascii="Arial" w:cs="Arial" w:eastAsia="Arial" w:hAnsi="Arial"/>
          <w:sz w:val="17"/>
          <w:szCs w:val="17"/>
          <w:color w:val="auto"/>
        </w:rPr>
      </w:pPr>
    </w:p>
    <w:p>
      <w:pPr>
        <w:ind w:left="560" w:hanging="319"/>
        <w:spacing w:after="0" w:line="289" w:lineRule="auto"/>
        <w:tabs>
          <w:tab w:leader="none" w:pos="55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interest rates;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reductions in asset valuations and related impairment charges;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lack of sole decision-making authority with respect to our joint venture investments;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recent or future changes to U.S. tax laws;</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failure to maintain our REIT status for U.S. federal income tax purposes; and</w:t>
      </w:r>
    </w:p>
    <w:p>
      <w:pPr>
        <w:spacing w:after="0" w:line="66" w:lineRule="exact"/>
        <w:rPr>
          <w:rFonts w:ascii="Arial" w:cs="Arial" w:eastAsia="Arial" w:hAnsi="Arial"/>
          <w:sz w:val="17"/>
          <w:szCs w:val="17"/>
          <w:color w:val="auto"/>
        </w:rPr>
      </w:pPr>
    </w:p>
    <w:p>
      <w:pPr>
        <w:ind w:left="560" w:hanging="319"/>
        <w:spacing w:after="0"/>
        <w:tabs>
          <w:tab w:leader="none" w:pos="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economic uncertainty due to the impact of natural disasters, war or terrorism, which could adversely affect our business plan.</w:t>
      </w:r>
    </w:p>
    <w:p>
      <w:pPr>
        <w:spacing w:after="0" w:line="224" w:lineRule="exact"/>
        <w:rPr>
          <w:sz w:val="20"/>
          <w:szCs w:val="20"/>
          <w:color w:val="auto"/>
        </w:rPr>
      </w:pPr>
    </w:p>
    <w:p>
      <w:pPr>
        <w:ind w:firstLine="433"/>
        <w:spacing w:after="0" w:line="314" w:lineRule="auto"/>
        <w:rPr>
          <w:sz w:val="20"/>
          <w:szCs w:val="20"/>
          <w:color w:val="auto"/>
        </w:rPr>
      </w:pPr>
      <w:r>
        <w:rPr>
          <w:rFonts w:ascii="Arial" w:cs="Arial" w:eastAsia="Arial" w:hAnsi="Arial"/>
          <w:sz w:val="15"/>
          <w:szCs w:val="15"/>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ind w:firstLine="433"/>
        <w:spacing w:after="0" w:line="289" w:lineRule="auto"/>
        <w:rPr>
          <w:sz w:val="20"/>
          <w:szCs w:val="20"/>
          <w:color w:val="auto"/>
        </w:rPr>
      </w:pPr>
      <w:r>
        <w:rPr>
          <w:rFonts w:ascii="Arial" w:cs="Arial" w:eastAsia="Arial" w:hAnsi="Arial"/>
          <w:sz w:val="17"/>
          <w:szCs w:val="17"/>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875"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7"/>
                <w:szCs w:val="17"/>
                <w:b w:val="1"/>
                <w:bCs w:val="1"/>
                <w:color w:val="auto"/>
              </w:rPr>
              <w:t>PART I.</w:t>
            </w:r>
          </w:p>
        </w:tc>
        <w:tc>
          <w:tcPr>
            <w:tcW w:w="7120" w:type="dxa"/>
            <w:vAlign w:val="bottom"/>
          </w:tcPr>
          <w:p>
            <w:pPr>
              <w:ind w:left="100"/>
              <w:spacing w:after="0"/>
              <w:rPr>
                <w:sz w:val="20"/>
                <w:szCs w:val="20"/>
                <w:color w:val="auto"/>
              </w:rPr>
            </w:pPr>
            <w:r>
              <w:rPr>
                <w:rFonts w:ascii="Arial" w:cs="Arial" w:eastAsia="Arial" w:hAnsi="Arial"/>
                <w:sz w:val="17"/>
                <w:szCs w:val="17"/>
                <w:b w:val="1"/>
                <w:bCs w:val="1"/>
                <w:color w:val="auto"/>
              </w:rPr>
              <w:t>FINANCIAL INFORMATION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40" w:type="dxa"/>
            <w:vAlign w:val="bottom"/>
          </w:tcPr>
          <w:p>
            <w:pPr>
              <w:spacing w:after="0"/>
              <w:rPr>
                <w:sz w:val="20"/>
                <w:szCs w:val="20"/>
                <w:color w:val="auto"/>
              </w:rPr>
            </w:pPr>
            <w:r>
              <w:rPr>
                <w:rFonts w:ascii="Arial" w:cs="Arial" w:eastAsia="Arial" w:hAnsi="Arial"/>
                <w:sz w:val="17"/>
                <w:szCs w:val="17"/>
                <w:b w:val="1"/>
                <w:bCs w:val="1"/>
                <w:color w:val="auto"/>
              </w:rPr>
              <w:t>ITEM 1.</w:t>
            </w:r>
          </w:p>
        </w:tc>
        <w:tc>
          <w:tcPr>
            <w:tcW w:w="7120" w:type="dxa"/>
            <w:vAlign w:val="bottom"/>
          </w:tcPr>
          <w:p>
            <w:pPr>
              <w:ind w:left="80"/>
              <w:spacing w:after="0"/>
              <w:rPr>
                <w:sz w:val="20"/>
                <w:szCs w:val="20"/>
                <w:color w:val="auto"/>
              </w:rPr>
            </w:pPr>
            <w:r>
              <w:rPr>
                <w:rFonts w:ascii="Arial" w:cs="Arial" w:eastAsia="Arial" w:hAnsi="Arial"/>
                <w:sz w:val="17"/>
                <w:szCs w:val="17"/>
                <w:b w:val="1"/>
                <w:bCs w:val="1"/>
                <w:color w:val="auto"/>
              </w:rPr>
              <w:t>FINANCIAL STATEMENTS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740" w:type="dxa"/>
            <w:vAlign w:val="bottom"/>
          </w:tcPr>
          <w:p>
            <w:pPr>
              <w:spacing w:after="0"/>
              <w:rPr>
                <w:sz w:val="24"/>
                <w:szCs w:val="24"/>
                <w:color w:val="auto"/>
              </w:rPr>
            </w:pPr>
          </w:p>
        </w:tc>
        <w:tc>
          <w:tcPr>
            <w:tcW w:w="7120" w:type="dxa"/>
            <w:vAlign w:val="bottom"/>
          </w:tcPr>
          <w:p>
            <w:pPr>
              <w:jc w:val="center"/>
              <w:ind w:left="2573"/>
              <w:spacing w:after="0"/>
              <w:rPr>
                <w:sz w:val="20"/>
                <w:szCs w:val="20"/>
                <w:color w:val="auto"/>
              </w:rPr>
            </w:pPr>
            <w:r>
              <w:rPr>
                <w:rFonts w:ascii="Arial" w:cs="Arial" w:eastAsia="Arial" w:hAnsi="Arial"/>
                <w:sz w:val="17"/>
                <w:szCs w:val="17"/>
                <w:b w:val="1"/>
                <w:bCs w:val="1"/>
                <w:color w:val="auto"/>
                <w:w w:val="93"/>
              </w:rPr>
              <w:t>Extra Space Storage Inc.</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120" w:type="dxa"/>
            <w:vAlign w:val="bottom"/>
          </w:tcPr>
          <w:p>
            <w:pPr>
              <w:jc w:val="center"/>
              <w:ind w:left="2553"/>
              <w:spacing w:after="0"/>
              <w:rPr>
                <w:sz w:val="20"/>
                <w:szCs w:val="20"/>
                <w:color w:val="auto"/>
              </w:rPr>
            </w:pPr>
            <w:r>
              <w:rPr>
                <w:rFonts w:ascii="Arial" w:cs="Arial" w:eastAsia="Arial" w:hAnsi="Arial"/>
                <w:sz w:val="17"/>
                <w:szCs w:val="17"/>
                <w:b w:val="1"/>
                <w:bCs w:val="1"/>
                <w:color w:val="auto"/>
                <w:w w:val="89"/>
              </w:rPr>
              <w:t>Condensed Consolidated Balance Sheets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7120" w:type="dxa"/>
            <w:vAlign w:val="bottom"/>
          </w:tcPr>
          <w:p>
            <w:pPr>
              <w:jc w:val="center"/>
              <w:ind w:left="2553"/>
              <w:spacing w:after="0"/>
              <w:rPr>
                <w:sz w:val="20"/>
                <w:szCs w:val="20"/>
                <w:color w:val="auto"/>
              </w:rPr>
            </w:pPr>
            <w:r>
              <w:rPr>
                <w:rFonts w:ascii="Arial" w:cs="Arial" w:eastAsia="Arial" w:hAnsi="Arial"/>
                <w:sz w:val="17"/>
                <w:szCs w:val="17"/>
                <w:color w:val="auto"/>
                <w:w w:val="90"/>
              </w:rPr>
              <w:t>(amounts in thousands, except share data)</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December 31, 2021</w:t>
            </w:r>
          </w:p>
        </w:tc>
        <w:tc>
          <w:tcPr>
            <w:tcW w:w="0" w:type="dxa"/>
            <w:vAlign w:val="bottom"/>
          </w:tcPr>
          <w:p>
            <w:pPr>
              <w:spacing w:after="0"/>
              <w:rPr>
                <w:sz w:val="1"/>
                <w:szCs w:val="1"/>
                <w:color w:val="auto"/>
              </w:rPr>
            </w:pPr>
          </w:p>
        </w:tc>
      </w:tr>
      <w:tr>
        <w:trPr>
          <w:trHeight w:val="179"/>
        </w:trPr>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14"/>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7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Real estate assets, net</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8,940,724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8,834,649</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Real estate assets - operating lease right-of-use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227,949</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Investments in unconsolidated real estate entities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475,291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457,326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Investments in debt securities and notes receivable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719,187</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65,978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71,126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Restricted cash</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Other assets,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172,001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159,172</w:t>
            </w:r>
          </w:p>
        </w:tc>
        <w:tc>
          <w:tcPr>
            <w:tcW w:w="0" w:type="dxa"/>
            <w:vAlign w:val="bottom"/>
          </w:tcPr>
          <w:p>
            <w:pPr>
              <w:spacing w:after="0"/>
              <w:rPr>
                <w:sz w:val="1"/>
                <w:szCs w:val="1"/>
                <w:color w:val="auto"/>
              </w:rPr>
            </w:pP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10,591,750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10,474,477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Liabilities, Noncontrolling Interests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Notes payable, net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1,320,755</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Unsecured term loans,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1,742,459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1,741,926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Unsecured senior notes,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2,360,066</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Revolving lines of credit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535,000</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242,842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233,356</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Cash distributions in unconsolidated real estate ventures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64,506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63,582</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142,285</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256,716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291,531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6,713,586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6,688,501</w:t>
            </w:r>
          </w:p>
        </w:tc>
        <w:tc>
          <w:tcPr>
            <w:tcW w:w="0" w:type="dxa"/>
            <w:vAlign w:val="bottom"/>
          </w:tcPr>
          <w:p>
            <w:pPr>
              <w:spacing w:after="0"/>
              <w:rPr>
                <w:sz w:val="1"/>
                <w:szCs w:val="1"/>
                <w:color w:val="auto"/>
              </w:rPr>
            </w:pPr>
          </w:p>
        </w:tc>
      </w:tr>
      <w:tr>
        <w:trPr>
          <w:trHeight w:val="20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Noncontrolling Interests and Equity: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Extra Space Storage Inc. stockholders' equity:</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Preferred stock, $0.01 par value, 50,000,000 shares authorized, no shares issued or outstanding</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7860" w:type="dxa"/>
            <w:vAlign w:val="bottom"/>
            <w:gridSpan w:val="2"/>
          </w:tcPr>
          <w:p>
            <w:pPr>
              <w:ind w:left="500"/>
              <w:spacing w:after="0" w:line="172" w:lineRule="exact"/>
              <w:rPr>
                <w:sz w:val="20"/>
                <w:szCs w:val="20"/>
                <w:color w:val="auto"/>
              </w:rPr>
            </w:pPr>
            <w:r>
              <w:rPr>
                <w:rFonts w:ascii="Arial" w:cs="Arial" w:eastAsia="Arial" w:hAnsi="Arial"/>
                <w:sz w:val="17"/>
                <w:szCs w:val="17"/>
                <w:color w:val="auto"/>
                <w:w w:val="94"/>
              </w:rPr>
              <w:t>Common stock, $0.01 par value, 500,000,000 shares authorized, 134,251,076 and 133,922,305 shares</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1,343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1,339</w:t>
            </w:r>
          </w:p>
        </w:tc>
        <w:tc>
          <w:tcPr>
            <w:tcW w:w="0" w:type="dxa"/>
            <w:vAlign w:val="bottom"/>
          </w:tcPr>
          <w:p>
            <w:pPr>
              <w:spacing w:after="0"/>
              <w:rPr>
                <w:sz w:val="1"/>
                <w:szCs w:val="1"/>
                <w:color w:val="auto"/>
              </w:rPr>
            </w:pPr>
          </w:p>
        </w:tc>
      </w:tr>
      <w:tr>
        <w:trPr>
          <w:trHeight w:val="222"/>
        </w:trPr>
        <w:tc>
          <w:tcPr>
            <w:tcW w:w="7860" w:type="dxa"/>
            <w:vAlign w:val="bottom"/>
            <w:gridSpan w:val="2"/>
          </w:tcPr>
          <w:p>
            <w:pPr>
              <w:ind w:left="500"/>
              <w:spacing w:after="0"/>
              <w:rPr>
                <w:sz w:val="20"/>
                <w:szCs w:val="20"/>
                <w:color w:val="auto"/>
              </w:rPr>
            </w:pPr>
            <w:r>
              <w:rPr>
                <w:rFonts w:ascii="Arial" w:cs="Arial" w:eastAsia="Arial" w:hAnsi="Arial"/>
                <w:sz w:val="17"/>
                <w:szCs w:val="17"/>
                <w:color w:val="auto"/>
              </w:rPr>
              <w:t>issued and outstanding at March 31, 2022 and December 31, 2021, respectively</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3,285,948</w:t>
            </w:r>
          </w:p>
        </w:tc>
        <w:tc>
          <w:tcPr>
            <w:tcW w:w="0" w:type="dxa"/>
            <w:vAlign w:val="bottom"/>
          </w:tcPr>
          <w:p>
            <w:pPr>
              <w:spacing w:after="0"/>
              <w:rPr>
                <w:sz w:val="1"/>
                <w:szCs w:val="1"/>
                <w:color w:val="auto"/>
              </w:rPr>
            </w:pPr>
          </w:p>
        </w:tc>
      </w:tr>
      <w:tr>
        <w:trPr>
          <w:trHeight w:val="223"/>
        </w:trPr>
        <w:tc>
          <w:tcPr>
            <w:tcW w:w="7860" w:type="dxa"/>
            <w:vAlign w:val="bottom"/>
            <w:gridSpan w:val="2"/>
          </w:tcPr>
          <w:p>
            <w:pPr>
              <w:ind w:left="340"/>
              <w:spacing w:after="0"/>
              <w:rPr>
                <w:sz w:val="20"/>
                <w:szCs w:val="20"/>
                <w:color w:val="auto"/>
              </w:rPr>
            </w:pPr>
            <w:r>
              <w:rPr>
                <w:rFonts w:ascii="Arial" w:cs="Arial" w:eastAsia="Arial" w:hAnsi="Arial"/>
                <w:sz w:val="17"/>
                <w:szCs w:val="17"/>
                <w:color w:val="auto"/>
              </w:rPr>
              <w:t>Accumulated other comprehensive income (loss)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(42,546)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(128,245)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Arial" w:cs="Arial" w:eastAsia="Arial" w:hAnsi="Arial"/>
                <w:sz w:val="17"/>
                <w:szCs w:val="17"/>
                <w:color w:val="auto"/>
              </w:rPr>
              <w:t>Total Extra Space Storage Inc. stockholders' equity</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3,210,215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3,116,496</w:t>
            </w:r>
          </w:p>
        </w:tc>
        <w:tc>
          <w:tcPr>
            <w:tcW w:w="0" w:type="dxa"/>
            <w:vAlign w:val="bottom"/>
          </w:tcPr>
          <w:p>
            <w:pPr>
              <w:spacing w:after="0"/>
              <w:rPr>
                <w:sz w:val="1"/>
                <w:szCs w:val="1"/>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Noncontrolling interest represented by Preferred Operating Partnership units,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259,110</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Noncontrolling interests in Operating Partnership, net and other noncontrolling interests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411,898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410,370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noncontrolling interests and equity</w:t>
            </w: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3,878,164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3,785,976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Arial" w:cs="Arial" w:eastAsia="Arial" w:hAnsi="Arial"/>
                <w:sz w:val="17"/>
                <w:szCs w:val="17"/>
                <w:color w:val="auto"/>
              </w:rPr>
              <w:t>Total liabilities, noncontrolling interests and equity</w:t>
            </w: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10,591,750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10,474,477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For the Three Months Ended March 31,</w:t>
            </w:r>
          </w:p>
        </w:tc>
        <w:tc>
          <w:tcPr>
            <w:tcW w:w="0" w:type="dxa"/>
            <w:vAlign w:val="bottom"/>
          </w:tcPr>
          <w:p>
            <w:pPr>
              <w:spacing w:after="0"/>
              <w:rPr>
                <w:sz w:val="1"/>
                <w:szCs w:val="1"/>
                <w:color w:val="auto"/>
              </w:rPr>
            </w:pPr>
          </w:p>
        </w:tc>
      </w:tr>
      <w:tr>
        <w:trPr>
          <w:trHeight w:val="190"/>
        </w:trPr>
        <w:tc>
          <w:tcPr>
            <w:tcW w:w="8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780" w:type="dxa"/>
            <w:vAlign w:val="bottom"/>
          </w:tcPr>
          <w:p>
            <w:pPr>
              <w:ind w:left="340"/>
              <w:spacing w:after="0"/>
              <w:rPr>
                <w:sz w:val="20"/>
                <w:szCs w:val="20"/>
                <w:color w:val="auto"/>
              </w:rPr>
            </w:pPr>
            <w:r>
              <w:rPr>
                <w:rFonts w:ascii="Arial" w:cs="Arial" w:eastAsia="Arial" w:hAnsi="Arial"/>
                <w:sz w:val="16"/>
                <w:szCs w:val="16"/>
                <w:color w:val="auto"/>
              </w:rPr>
              <w:t>Property rental</w:t>
            </w:r>
          </w:p>
        </w:tc>
        <w:tc>
          <w:tcPr>
            <w:tcW w:w="200" w:type="dxa"/>
            <w:vAlign w:val="bottom"/>
          </w:tcPr>
          <w:p>
            <w:pPr>
              <w:jc w:val="right"/>
              <w:ind w:right="23"/>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379,808</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303,593</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Tenant reinsurance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39,619</w:t>
            </w:r>
          </w:p>
        </w:tc>
        <w:tc>
          <w:tcPr>
            <w:tcW w:w="0" w:type="dxa"/>
            <w:vAlign w:val="bottom"/>
          </w:tcPr>
          <w:p>
            <w:pPr>
              <w:spacing w:after="0"/>
              <w:rPr>
                <w:sz w:val="1"/>
                <w:szCs w:val="1"/>
                <w:color w:val="auto"/>
              </w:rPr>
            </w:pPr>
          </w:p>
        </w:tc>
      </w:tr>
      <w:tr>
        <w:trPr>
          <w:trHeight w:val="207"/>
        </w:trPr>
        <w:tc>
          <w:tcPr>
            <w:tcW w:w="87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Management fees and other income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15,645</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443,562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358,857</w:t>
            </w:r>
          </w:p>
        </w:tc>
        <w:tc>
          <w:tcPr>
            <w:tcW w:w="0" w:type="dxa"/>
            <w:vAlign w:val="bottom"/>
          </w:tcPr>
          <w:p>
            <w:pPr>
              <w:spacing w:after="0"/>
              <w:rPr>
                <w:sz w:val="1"/>
                <w:szCs w:val="1"/>
                <w:color w:val="auto"/>
              </w:rPr>
            </w:pPr>
          </w:p>
        </w:tc>
      </w:tr>
      <w:tr>
        <w:trPr>
          <w:trHeight w:val="187"/>
        </w:trPr>
        <w:tc>
          <w:tcPr>
            <w:tcW w:w="878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Property operations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92,367</w:t>
            </w:r>
          </w:p>
        </w:tc>
        <w:tc>
          <w:tcPr>
            <w:tcW w:w="0" w:type="dxa"/>
            <w:vAlign w:val="bottom"/>
          </w:tcPr>
          <w:p>
            <w:pPr>
              <w:spacing w:after="0"/>
              <w:rPr>
                <w:sz w:val="1"/>
                <w:szCs w:val="1"/>
                <w:color w:val="auto"/>
              </w:rPr>
            </w:pPr>
          </w:p>
        </w:tc>
      </w:tr>
      <w:tr>
        <w:trPr>
          <w:trHeight w:val="207"/>
        </w:trPr>
        <w:tc>
          <w:tcPr>
            <w:tcW w:w="8780" w:type="dxa"/>
            <w:vAlign w:val="bottom"/>
          </w:tcPr>
          <w:p>
            <w:pPr>
              <w:ind w:left="340"/>
              <w:spacing w:after="0"/>
              <w:rPr>
                <w:sz w:val="20"/>
                <w:szCs w:val="20"/>
                <w:color w:val="auto"/>
              </w:rPr>
            </w:pPr>
            <w:r>
              <w:rPr>
                <w:rFonts w:ascii="Arial" w:cs="Arial" w:eastAsia="Arial" w:hAnsi="Arial"/>
                <w:sz w:val="16"/>
                <w:szCs w:val="16"/>
                <w:color w:val="auto"/>
              </w:rPr>
              <w:t>Tenant reinsurance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7,161</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23,540</w:t>
            </w:r>
          </w:p>
        </w:tc>
        <w:tc>
          <w:tcPr>
            <w:tcW w:w="0" w:type="dxa"/>
            <w:vAlign w:val="bottom"/>
          </w:tcPr>
          <w:p>
            <w:pPr>
              <w:spacing w:after="0"/>
              <w:rPr>
                <w:sz w:val="1"/>
                <w:szCs w:val="1"/>
                <w:color w:val="auto"/>
              </w:rPr>
            </w:pPr>
          </w:p>
        </w:tc>
      </w:tr>
      <w:tr>
        <w:trPr>
          <w:trHeight w:val="207"/>
        </w:trPr>
        <w:tc>
          <w:tcPr>
            <w:tcW w:w="87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67,906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58,599</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expenses</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181,667</w:t>
            </w:r>
          </w:p>
        </w:tc>
        <w:tc>
          <w:tcPr>
            <w:tcW w:w="0" w:type="dxa"/>
            <w:vAlign w:val="bottom"/>
          </w:tcPr>
          <w:p>
            <w:pPr>
              <w:spacing w:after="0"/>
              <w:rPr>
                <w:sz w:val="1"/>
                <w:szCs w:val="1"/>
                <w:color w:val="auto"/>
              </w:rPr>
            </w:pPr>
          </w:p>
        </w:tc>
      </w:tr>
      <w:tr>
        <w:trPr>
          <w:trHeight w:val="207"/>
        </w:trPr>
        <w:tc>
          <w:tcPr>
            <w:tcW w:w="8780" w:type="dxa"/>
            <w:vAlign w:val="bottom"/>
          </w:tcPr>
          <w:p>
            <w:pPr>
              <w:ind w:left="20"/>
              <w:spacing w:after="0"/>
              <w:rPr>
                <w:sz w:val="20"/>
                <w:szCs w:val="20"/>
                <w:color w:val="auto"/>
              </w:rPr>
            </w:pPr>
            <w:r>
              <w:rPr>
                <w:rFonts w:ascii="Arial" w:cs="Arial" w:eastAsia="Arial" w:hAnsi="Arial"/>
                <w:sz w:val="16"/>
                <w:szCs w:val="16"/>
                <w:color w:val="auto"/>
              </w:rPr>
              <w:t>Gain on real estate transactions</w:t>
            </w: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63,883</w:t>
            </w:r>
          </w:p>
        </w:tc>
        <w:tc>
          <w:tcPr>
            <w:tcW w:w="0" w:type="dxa"/>
            <w:vAlign w:val="bottom"/>
          </w:tcPr>
          <w:p>
            <w:pPr>
              <w:spacing w:after="0"/>
              <w:rPr>
                <w:sz w:val="1"/>
                <w:szCs w:val="1"/>
                <w:color w:val="auto"/>
              </w:rPr>
            </w:pPr>
          </w:p>
        </w:tc>
      </w:tr>
      <w:tr>
        <w:trPr>
          <w:trHeight w:val="206"/>
        </w:trPr>
        <w:tc>
          <w:tcPr>
            <w:tcW w:w="8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235,310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241,073</w:t>
            </w:r>
          </w:p>
        </w:tc>
        <w:tc>
          <w:tcPr>
            <w:tcW w:w="0" w:type="dxa"/>
            <w:vAlign w:val="bottom"/>
          </w:tcPr>
          <w:p>
            <w:pPr>
              <w:spacing w:after="0"/>
              <w:rPr>
                <w:sz w:val="1"/>
                <w:szCs w:val="1"/>
                <w:color w:val="auto"/>
              </w:rPr>
            </w:pPr>
          </w:p>
        </w:tc>
      </w:tr>
      <w:tr>
        <w:trPr>
          <w:trHeight w:val="207"/>
        </w:trPr>
        <w:tc>
          <w:tcPr>
            <w:tcW w:w="8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(42,538)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(40,695)</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12,304</w:t>
            </w:r>
          </w:p>
        </w:tc>
        <w:tc>
          <w:tcPr>
            <w:tcW w:w="0" w:type="dxa"/>
            <w:vAlign w:val="bottom"/>
          </w:tcPr>
          <w:p>
            <w:pPr>
              <w:spacing w:after="0"/>
              <w:rPr>
                <w:sz w:val="1"/>
                <w:szCs w:val="1"/>
                <w:color w:val="auto"/>
              </w:rPr>
            </w:pPr>
          </w:p>
        </w:tc>
      </w:tr>
      <w:tr>
        <w:trPr>
          <w:trHeight w:val="200"/>
        </w:trPr>
        <w:tc>
          <w:tcPr>
            <w:tcW w:w="8780" w:type="dxa"/>
            <w:vAlign w:val="bottom"/>
          </w:tcPr>
          <w:p>
            <w:pPr>
              <w:ind w:left="20"/>
              <w:spacing w:after="0"/>
              <w:rPr>
                <w:sz w:val="20"/>
                <w:szCs w:val="20"/>
                <w:color w:val="auto"/>
              </w:rPr>
            </w:pPr>
            <w:r>
              <w:rPr>
                <w:rFonts w:ascii="Arial" w:cs="Arial" w:eastAsia="Arial" w:hAnsi="Arial"/>
                <w:sz w:val="16"/>
                <w:szCs w:val="16"/>
                <w:color w:val="auto"/>
              </w:rPr>
              <w:t>Income before equity in earnings and dividend income from unconsolidated real estate ventures and income tax expense</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211,761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212,682</w:t>
            </w: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207"/>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w:t>
            </w:r>
          </w:p>
        </w:tc>
        <w:tc>
          <w:tcPr>
            <w:tcW w:w="0" w:type="dxa"/>
            <w:vAlign w:val="bottom"/>
          </w:tcPr>
          <w:p>
            <w:pPr>
              <w:spacing w:after="0"/>
              <w:rPr>
                <w:sz w:val="1"/>
                <w:szCs w:val="1"/>
                <w:color w:val="auto"/>
              </w:rPr>
            </w:pPr>
          </w:p>
        </w:tc>
      </w:tr>
      <w:tr>
        <w:trPr>
          <w:trHeight w:val="206"/>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217,717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215,501</w:t>
            </w:r>
          </w:p>
        </w:tc>
        <w:tc>
          <w:tcPr>
            <w:tcW w:w="0" w:type="dxa"/>
            <w:vAlign w:val="bottom"/>
          </w:tcPr>
          <w:p>
            <w:pPr>
              <w:spacing w:after="0"/>
              <w:rPr>
                <w:sz w:val="1"/>
                <w:szCs w:val="1"/>
                <w:color w:val="auto"/>
              </w:rPr>
            </w:pPr>
          </w:p>
        </w:tc>
      </w:tr>
      <w:tr>
        <w:trPr>
          <w:trHeight w:val="207"/>
        </w:trPr>
        <w:tc>
          <w:tcPr>
            <w:tcW w:w="8780" w:type="dxa"/>
            <w:vAlign w:val="bottom"/>
          </w:tcPr>
          <w:p>
            <w:pPr>
              <w:ind w:left="20"/>
              <w:spacing w:after="0"/>
              <w:rPr>
                <w:sz w:val="20"/>
                <w:szCs w:val="20"/>
                <w:color w:val="auto"/>
              </w:rPr>
            </w:pPr>
            <w:r>
              <w:rPr>
                <w:rFonts w:ascii="Arial" w:cs="Arial" w:eastAsia="Arial" w:hAnsi="Arial"/>
                <w:sz w:val="16"/>
                <w:szCs w:val="16"/>
                <w:color w:val="auto"/>
              </w:rPr>
              <w:t>Net income allocated to Preferred Operating Partnership noncontrolling interests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(3,680)</w:t>
            </w: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allocated to Operating Partnership and other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(8,823)</w:t>
            </w:r>
          </w:p>
        </w:tc>
        <w:tc>
          <w:tcPr>
            <w:tcW w:w="0" w:type="dxa"/>
            <w:vAlign w:val="bottom"/>
          </w:tcPr>
          <w:p>
            <w:pPr>
              <w:spacing w:after="0"/>
              <w:rPr>
                <w:sz w:val="1"/>
                <w:szCs w:val="1"/>
                <w:color w:val="auto"/>
              </w:rPr>
            </w:pPr>
          </w:p>
        </w:tc>
      </w:tr>
      <w:tr>
        <w:trPr>
          <w:trHeight w:val="206"/>
        </w:trPr>
        <w:tc>
          <w:tcPr>
            <w:tcW w:w="878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203,579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202,998</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Earnings per common share</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780" w:type="dxa"/>
            <w:vAlign w:val="bottom"/>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780" w:type="dxa"/>
            <w:vAlign w:val="bottom"/>
            <w:tcBorders>
              <w:bottom w:val="single" w:sz="8" w:color="CCEEFF"/>
            </w:tcBorders>
            <w:shd w:val="clear" w:color="auto" w:fill="CCEEFF"/>
          </w:tcPr>
          <w:p>
            <w:pPr>
              <w:ind w:left="340"/>
              <w:spacing w:after="0" w:line="181" w:lineRule="exact"/>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number of shares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134,180,175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132,007,556</w:t>
            </w:r>
          </w:p>
        </w:tc>
        <w:tc>
          <w:tcPr>
            <w:tcW w:w="0" w:type="dxa"/>
            <w:vAlign w:val="bottom"/>
          </w:tcPr>
          <w:p>
            <w:pPr>
              <w:spacing w:after="0"/>
              <w:rPr>
                <w:sz w:val="1"/>
                <w:szCs w:val="1"/>
                <w:color w:val="auto"/>
              </w:rPr>
            </w:pPr>
          </w:p>
        </w:tc>
      </w:tr>
      <w:tr>
        <w:trPr>
          <w:trHeight w:val="207"/>
        </w:trPr>
        <w:tc>
          <w:tcPr>
            <w:tcW w:w="8780" w:type="dxa"/>
            <w:vAlign w:val="bottom"/>
          </w:tcPr>
          <w:p>
            <w:pPr>
              <w:ind w:left="34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141,581,862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139,676,548</w:t>
            </w:r>
          </w:p>
        </w:tc>
        <w:tc>
          <w:tcPr>
            <w:tcW w:w="0" w:type="dxa"/>
            <w:vAlign w:val="bottom"/>
          </w:tcPr>
          <w:p>
            <w:pPr>
              <w:spacing w:after="0"/>
              <w:rPr>
                <w:sz w:val="1"/>
                <w:szCs w:val="1"/>
                <w:color w:val="auto"/>
              </w:rPr>
            </w:pPr>
          </w:p>
        </w:tc>
      </w:tr>
      <w:tr>
        <w:trPr>
          <w:trHeight w:val="238"/>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dividends paid per common share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95"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For the Three Months Ended</w:t>
      </w:r>
    </w:p>
    <w:p>
      <w:pPr>
        <w:jc w:val="center"/>
        <w:ind w:left="9220"/>
        <w:spacing w:after="0"/>
        <w:rPr>
          <w:sz w:val="20"/>
          <w:szCs w:val="20"/>
          <w:color w:val="auto"/>
        </w:rPr>
      </w:pPr>
      <w:r>
        <w:rPr>
          <w:rFonts w:ascii="Arial" w:cs="Arial" w:eastAsia="Arial" w:hAnsi="Arial"/>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r>
      <w:tr>
        <w:trPr>
          <w:trHeight w:val="203"/>
        </w:trPr>
        <w:tc>
          <w:tcPr>
            <w:tcW w:w="9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217,717</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215,501</w:t>
            </w:r>
          </w:p>
        </w:tc>
      </w:tr>
      <w:tr>
        <w:trPr>
          <w:trHeight w:val="207"/>
        </w:trPr>
        <w:tc>
          <w:tcPr>
            <w:tcW w:w="924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3"/>
        </w:trPr>
        <w:tc>
          <w:tcPr>
            <w:tcW w:w="9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fair value of interest rate swaps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51,649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23,013</w:t>
            </w:r>
          </w:p>
        </w:tc>
      </w:tr>
      <w:tr>
        <w:trPr>
          <w:trHeight w:val="200"/>
        </w:trPr>
        <w:tc>
          <w:tcPr>
            <w:tcW w:w="924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2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rPr>
              <w:t>269,366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238,514</w:t>
            </w:r>
          </w:p>
        </w:tc>
      </w:tr>
      <w:tr>
        <w:trPr>
          <w:trHeight w:val="210"/>
        </w:trPr>
        <w:tc>
          <w:tcPr>
            <w:tcW w:w="9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16,784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13,603</w:t>
            </w:r>
          </w:p>
        </w:tc>
      </w:tr>
      <w:tr>
        <w:trPr>
          <w:trHeight w:val="206"/>
        </w:trPr>
        <w:tc>
          <w:tcPr>
            <w:tcW w:w="9240" w:type="dxa"/>
            <w:vAlign w:val="bottom"/>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252,582</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224,911</w:t>
            </w: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Noncontrolling Interests and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7"/>
          </w:tcPr>
          <w:p>
            <w:pPr>
              <w:ind w:left="180"/>
              <w:spacing w:after="0"/>
              <w:rPr>
                <w:sz w:val="20"/>
                <w:szCs w:val="20"/>
                <w:color w:val="auto"/>
              </w:rPr>
            </w:pPr>
            <w:r>
              <w:rPr>
                <w:rFonts w:ascii="Arial" w:cs="Arial" w:eastAsia="Arial" w:hAnsi="Arial"/>
                <w:sz w:val="14"/>
                <w:szCs w:val="14"/>
                <w:b w:val="1"/>
                <w:bCs w:val="1"/>
                <w:color w:val="auto"/>
              </w:rPr>
              <w:t>Noncontrolling Interest</w:t>
            </w:r>
          </w:p>
        </w:tc>
        <w:tc>
          <w:tcPr>
            <w:tcW w:w="3660" w:type="dxa"/>
            <w:vAlign w:val="bottom"/>
            <w:gridSpan w:val="10"/>
          </w:tcPr>
          <w:p>
            <w:pPr>
              <w:jc w:val="right"/>
              <w:ind w:right="24"/>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03"/>
              <w:spacing w:after="0" w:line="13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Par</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4"/>
                <w:szCs w:val="14"/>
                <w:b w:val="1"/>
                <w:bCs w:val="1"/>
                <w:color w:val="auto"/>
              </w:rPr>
              <w:t>Operating</w:t>
            </w:r>
          </w:p>
        </w:tc>
        <w:tc>
          <w:tcPr>
            <w:tcW w:w="84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3"/>
          </w:tcPr>
          <w:p>
            <w:pPr>
              <w:jc w:val="center"/>
              <w:ind w:right="80"/>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3"/>
            <w:vMerge w:val="continue"/>
          </w:tcPr>
          <w:p>
            <w:pPr>
              <w:spacing w:after="0"/>
              <w:rPr>
                <w:sz w:val="11"/>
                <w:szCs w:val="11"/>
                <w:color w:val="auto"/>
              </w:rPr>
            </w:pPr>
          </w:p>
        </w:tc>
        <w:tc>
          <w:tcPr>
            <w:tcW w:w="9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9"/>
              </w:rPr>
              <w:t>Interests and</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76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w w:val="89"/>
              </w:rPr>
              <w:t>172,052</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3"/>
              </w:rPr>
              <w:t>215,892</w:t>
            </w: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$ 401</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131,357,961</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$1,314</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$3,000,458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(99,093)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(354,900)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2,936,124</w:t>
            </w:r>
          </w:p>
        </w:tc>
        <w:tc>
          <w:tcPr>
            <w:tcW w:w="0" w:type="dxa"/>
            <w:vAlign w:val="bottom"/>
          </w:tcPr>
          <w:p>
            <w:pPr>
              <w:spacing w:after="0"/>
              <w:rPr>
                <w:sz w:val="1"/>
                <w:szCs w:val="1"/>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6"/>
                <w:szCs w:val="16"/>
                <w:color w:val="auto"/>
                <w:w w:val="91"/>
              </w:rPr>
              <w:t>Issuance of common stock upon the exercise of options</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56,722</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4,254</w:t>
            </w:r>
          </w:p>
        </w:tc>
        <w:tc>
          <w:tcPr>
            <w:tcW w:w="0" w:type="dxa"/>
            <w:vAlign w:val="bottom"/>
          </w:tcPr>
          <w:p>
            <w:pPr>
              <w:spacing w:after="0"/>
              <w:rPr>
                <w:sz w:val="1"/>
                <w:szCs w:val="1"/>
                <w:color w:val="auto"/>
              </w:rPr>
            </w:pPr>
          </w:p>
        </w:tc>
      </w:tr>
      <w:tr>
        <w:trPr>
          <w:trHeight w:val="164"/>
        </w:trPr>
        <w:tc>
          <w:tcPr>
            <w:tcW w:w="366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9"/>
              </w:rPr>
              <w:t>Issuance of common stock in connection with share</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89,793</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3,652</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(2,499)</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common stock, net of offering costs</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2,185,685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273,720</w:t>
            </w:r>
          </w:p>
        </w:tc>
        <w:tc>
          <w:tcPr>
            <w:tcW w:w="0" w:type="dxa"/>
            <w:vAlign w:val="bottom"/>
          </w:tcPr>
          <w:p>
            <w:pPr>
              <w:spacing w:after="0"/>
              <w:rPr>
                <w:sz w:val="1"/>
                <w:szCs w:val="1"/>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6"/>
                <w:szCs w:val="16"/>
                <w:color w:val="auto"/>
                <w:w w:val="98"/>
              </w:rPr>
              <w:t>Redemption of Operating Partnership units for stock</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w:t>
            </w:r>
          </w:p>
        </w:tc>
        <w:tc>
          <w:tcPr>
            <w:tcW w:w="6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 in consolidated joint venture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3,680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8,828</w:t>
            </w: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202,998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215,501</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956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23,013</w:t>
            </w:r>
          </w:p>
        </w:tc>
        <w:tc>
          <w:tcPr>
            <w:tcW w:w="0" w:type="dxa"/>
            <w:vAlign w:val="bottom"/>
          </w:tcPr>
          <w:p>
            <w:pPr>
              <w:spacing w:after="0"/>
              <w:rPr>
                <w:sz w:val="1"/>
                <w:szCs w:val="1"/>
                <w:color w:val="auto"/>
              </w:rPr>
            </w:pPr>
          </w:p>
        </w:tc>
      </w:tr>
      <w:tr>
        <w:trPr>
          <w:trHeight w:val="161"/>
        </w:trPr>
        <w:tc>
          <w:tcPr>
            <w:tcW w:w="36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(3,224)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(5,801)</w:t>
            </w:r>
          </w:p>
        </w:tc>
        <w:tc>
          <w:tcPr>
            <w:tcW w:w="6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(9,025)</w:t>
            </w:r>
          </w:p>
        </w:tc>
        <w:tc>
          <w:tcPr>
            <w:tcW w:w="0" w:type="dxa"/>
            <w:vAlign w:val="bottom"/>
          </w:tcPr>
          <w:p>
            <w:pPr>
              <w:spacing w:after="0"/>
              <w:rPr>
                <w:sz w:val="1"/>
                <w:szCs w:val="1"/>
                <w:color w:val="auto"/>
              </w:rPr>
            </w:pPr>
          </w:p>
        </w:tc>
      </w:tr>
      <w:tr>
        <w:trPr>
          <w:trHeight w:val="20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Dividends paid on common stock at $1.00 per share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(132,540)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(132,540)</w:t>
            </w:r>
          </w:p>
        </w:tc>
        <w:tc>
          <w:tcPr>
            <w:tcW w:w="0" w:type="dxa"/>
            <w:vAlign w:val="bottom"/>
          </w:tcPr>
          <w:p>
            <w:pPr>
              <w:spacing w:after="0"/>
              <w:rPr>
                <w:sz w:val="1"/>
                <w:szCs w:val="1"/>
                <w:color w:val="auto"/>
              </w:rPr>
            </w:pPr>
          </w:p>
        </w:tc>
      </w:tr>
      <w:tr>
        <w:trPr>
          <w:trHeight w:val="197"/>
        </w:trPr>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March 31, 2021</w:t>
            </w: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172,652</w:t>
            </w:r>
          </w:p>
        </w:tc>
        <w:tc>
          <w:tcPr>
            <w:tcW w:w="6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219,682</w:t>
            </w:r>
          </w:p>
        </w:tc>
        <w:tc>
          <w:tcPr>
            <w:tcW w:w="6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$ 346</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133,692,662</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$1,336</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$3,282,255</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(77,180)</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(284,442)</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3,314,649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Noncontrolling Interests and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7"/>
          </w:tcPr>
          <w:p>
            <w:pPr>
              <w:ind w:left="180"/>
              <w:spacing w:after="0"/>
              <w:rPr>
                <w:sz w:val="20"/>
                <w:szCs w:val="20"/>
                <w:color w:val="auto"/>
              </w:rPr>
            </w:pPr>
            <w:r>
              <w:rPr>
                <w:rFonts w:ascii="Arial" w:cs="Arial" w:eastAsia="Arial" w:hAnsi="Arial"/>
                <w:sz w:val="14"/>
                <w:szCs w:val="14"/>
                <w:b w:val="1"/>
                <w:bCs w:val="1"/>
                <w:color w:val="auto"/>
              </w:rPr>
              <w:t>Noncontrolling Interest</w:t>
            </w:r>
          </w:p>
        </w:tc>
        <w:tc>
          <w:tcPr>
            <w:tcW w:w="3660" w:type="dxa"/>
            <w:vAlign w:val="bottom"/>
            <w:gridSpan w:val="10"/>
          </w:tcPr>
          <w:p>
            <w:pPr>
              <w:jc w:val="right"/>
              <w:ind w:right="24"/>
              <w:spacing w:after="0"/>
              <w:rPr>
                <w:sz w:val="20"/>
                <w:szCs w:val="20"/>
                <w:color w:val="auto"/>
              </w:rPr>
            </w:pPr>
            <w:r>
              <w:rPr>
                <w:rFonts w:ascii="Arial" w:cs="Arial" w:eastAsia="Arial" w:hAnsi="Arial"/>
                <w:sz w:val="14"/>
                <w:szCs w:val="14"/>
                <w:b w:val="1"/>
                <w:bCs w:val="1"/>
                <w:color w:val="auto"/>
              </w:rPr>
              <w:t>Extra Space Storage Inc. Stockholders' Equity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Preferred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center"/>
              <w:ind w:right="103"/>
              <w:spacing w:after="0" w:line="131"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Par</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0"/>
              </w:rPr>
              <w:t>Other</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0"/>
              </w:rPr>
              <w:t>Accumulated</w:t>
            </w:r>
          </w:p>
        </w:tc>
        <w:tc>
          <w:tcPr>
            <w:tcW w:w="9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4"/>
                <w:szCs w:val="14"/>
                <w:b w:val="1"/>
                <w:bCs w:val="1"/>
                <w:color w:val="auto"/>
              </w:rPr>
              <w:t>Operating</w:t>
            </w:r>
          </w:p>
        </w:tc>
        <w:tc>
          <w:tcPr>
            <w:tcW w:w="840" w:type="dxa"/>
            <w:vAlign w:val="bottom"/>
            <w:gridSpan w:val="3"/>
            <w:vMerge w:val="continue"/>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vMerge w:val="continue"/>
          </w:tcPr>
          <w:p>
            <w:pPr>
              <w:spacing w:after="0"/>
              <w:rPr>
                <w:sz w:val="11"/>
                <w:szCs w:val="11"/>
                <w:color w:val="auto"/>
              </w:rPr>
            </w:pPr>
          </w:p>
        </w:tc>
        <w:tc>
          <w:tcPr>
            <w:tcW w:w="8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94"/>
              </w:rPr>
              <w:t>Paid-in</w:t>
            </w:r>
          </w:p>
        </w:tc>
        <w:tc>
          <w:tcPr>
            <w:tcW w:w="1060" w:type="dxa"/>
            <w:vAlign w:val="bottom"/>
            <w:gridSpan w:val="3"/>
          </w:tcPr>
          <w:p>
            <w:pPr>
              <w:jc w:val="center"/>
              <w:ind w:right="80"/>
              <w:spacing w:after="0" w:line="131" w:lineRule="exact"/>
              <w:rPr>
                <w:sz w:val="20"/>
                <w:szCs w:val="20"/>
                <w:color w:val="auto"/>
              </w:rPr>
            </w:pPr>
            <w:r>
              <w:rPr>
                <w:rFonts w:ascii="Arial" w:cs="Arial" w:eastAsia="Arial" w:hAnsi="Arial"/>
                <w:sz w:val="14"/>
                <w:szCs w:val="14"/>
                <w:b w:val="1"/>
                <w:bCs w:val="1"/>
                <w:color w:val="auto"/>
                <w:w w:val="89"/>
              </w:rPr>
              <w:t>Comprehensive</w:t>
            </w:r>
          </w:p>
        </w:tc>
        <w:tc>
          <w:tcPr>
            <w:tcW w:w="920" w:type="dxa"/>
            <w:vAlign w:val="bottom"/>
            <w:gridSpan w:val="3"/>
            <w:vMerge w:val="continue"/>
          </w:tcPr>
          <w:p>
            <w:pPr>
              <w:spacing w:after="0"/>
              <w:rPr>
                <w:sz w:val="11"/>
                <w:szCs w:val="11"/>
                <w:color w:val="auto"/>
              </w:rPr>
            </w:pPr>
          </w:p>
        </w:tc>
        <w:tc>
          <w:tcPr>
            <w:tcW w:w="94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9"/>
              </w:rPr>
              <w:t>Interests and</w:t>
            </w:r>
          </w:p>
        </w:tc>
        <w:tc>
          <w:tcPr>
            <w:tcW w:w="0" w:type="dxa"/>
            <w:vAlign w:val="bottom"/>
          </w:tcPr>
          <w:p>
            <w:pPr>
              <w:spacing w:after="0"/>
              <w:rPr>
                <w:sz w:val="1"/>
                <w:szCs w:val="1"/>
                <w:color w:val="auto"/>
              </w:rPr>
            </w:pPr>
          </w:p>
        </w:tc>
      </w:tr>
      <w:tr>
        <w:trPr>
          <w:trHeight w:val="183"/>
        </w:trPr>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Partnership</w:t>
            </w: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Partnership</w:t>
            </w:r>
          </w:p>
        </w:tc>
        <w:tc>
          <w:tcPr>
            <w:tcW w:w="54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Value</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760" w:type="dxa"/>
            <w:vAlign w:val="bottom"/>
          </w:tcPr>
          <w:p>
            <w:pPr>
              <w:jc w:val="center"/>
              <w:ind w:right="10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1"/>
        </w:trPr>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December 31, 2021</w:t>
            </w:r>
          </w:p>
        </w:tc>
        <w:tc>
          <w:tcPr>
            <w:tcW w:w="14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259,110</w:t>
            </w:r>
          </w:p>
        </w:tc>
        <w:tc>
          <w:tcPr>
            <w:tcW w:w="6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410,053</w:t>
            </w:r>
          </w:p>
        </w:tc>
        <w:tc>
          <w:tcPr>
            <w:tcW w:w="60" w:type="dxa"/>
            <w:vAlign w:val="bottom"/>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$ 317</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133,922,305</w:t>
            </w:r>
          </w:p>
        </w:tc>
        <w:tc>
          <w:tcPr>
            <w:tcW w:w="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$1,339</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$3,285,948</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(42,546)</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(128,245)</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3,785,976</w:t>
            </w:r>
          </w:p>
        </w:tc>
        <w:tc>
          <w:tcPr>
            <w:tcW w:w="0" w:type="dxa"/>
            <w:vAlign w:val="bottom"/>
          </w:tcPr>
          <w:p>
            <w:pPr>
              <w:spacing w:after="0"/>
              <w:rPr>
                <w:sz w:val="1"/>
                <w:szCs w:val="1"/>
                <w:color w:val="auto"/>
              </w:rPr>
            </w:pPr>
          </w:p>
        </w:tc>
      </w:tr>
      <w:tr>
        <w:trPr>
          <w:trHeight w:val="163"/>
        </w:trPr>
        <w:tc>
          <w:tcPr>
            <w:tcW w:w="366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w w:val="99"/>
              </w:rPr>
              <w:t>Issuance of common stock in connection with share</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142,784</w:t>
            </w:r>
          </w:p>
        </w:tc>
        <w:tc>
          <w:tcPr>
            <w:tcW w:w="8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4,542</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based compensation</w:t>
            </w:r>
          </w:p>
        </w:tc>
        <w:tc>
          <w:tcPr>
            <w:tcW w:w="1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Restricted stock grants cancelled</w:t>
            </w:r>
          </w:p>
        </w:tc>
        <w:tc>
          <w:tcPr>
            <w:tcW w:w="14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(779)</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Redemption of Operating Partnership units for cash</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w:t>
            </w:r>
          </w:p>
        </w:tc>
        <w:tc>
          <w:tcPr>
            <w:tcW w:w="0" w:type="dxa"/>
            <w:vAlign w:val="bottom"/>
          </w:tcPr>
          <w:p>
            <w:pPr>
              <w:spacing w:after="0"/>
              <w:rPr>
                <w:sz w:val="1"/>
                <w:szCs w:val="1"/>
                <w:color w:val="auto"/>
              </w:rPr>
            </w:pPr>
          </w:p>
        </w:tc>
      </w:tr>
      <w:tr>
        <w:trPr>
          <w:trHeight w:val="161"/>
        </w:trPr>
        <w:tc>
          <w:tcPr>
            <w:tcW w:w="36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Redemption of Preferred B Units in the Operating</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(3,375)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20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Partnership for cash</w:t>
            </w: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660" w:type="dxa"/>
            <w:vAlign w:val="bottom"/>
            <w:gridSpan w:val="2"/>
            <w:shd w:val="clear" w:color="auto" w:fill="CCEEFF"/>
          </w:tcPr>
          <w:p>
            <w:pPr>
              <w:ind w:left="20"/>
              <w:spacing w:after="0" w:line="164" w:lineRule="exact"/>
              <w:rPr>
                <w:sz w:val="20"/>
                <w:szCs w:val="20"/>
                <w:color w:val="auto"/>
              </w:rPr>
            </w:pPr>
            <w:r>
              <w:rPr>
                <w:rFonts w:ascii="Arial" w:cs="Arial" w:eastAsia="Arial" w:hAnsi="Arial"/>
                <w:sz w:val="16"/>
                <w:szCs w:val="16"/>
                <w:color w:val="auto"/>
              </w:rPr>
              <w:t>Issuance of common stock in conjunction with</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186,766</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40,965</w:t>
            </w:r>
          </w:p>
        </w:tc>
        <w:tc>
          <w:tcPr>
            <w:tcW w:w="0" w:type="dxa"/>
            <w:vAlign w:val="bottom"/>
          </w:tcPr>
          <w:p>
            <w:pPr>
              <w:spacing w:after="0"/>
              <w:rPr>
                <w:sz w:val="1"/>
                <w:szCs w:val="1"/>
                <w:color w:val="auto"/>
              </w:rPr>
            </w:pPr>
          </w:p>
        </w:tc>
      </w:tr>
      <w:tr>
        <w:trPr>
          <w:trHeight w:val="207"/>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14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auto"/>
              </w:rPr>
              <w:t>4,333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9,805</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203,579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217,717</w:t>
            </w: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2,333</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51,649</w:t>
            </w:r>
          </w:p>
        </w:tc>
        <w:tc>
          <w:tcPr>
            <w:tcW w:w="0" w:type="dxa"/>
            <w:vAlign w:val="bottom"/>
          </w:tcPr>
          <w:p>
            <w:pPr>
              <w:spacing w:after="0"/>
              <w:rPr>
                <w:sz w:val="1"/>
                <w:szCs w:val="1"/>
                <w:color w:val="auto"/>
              </w:rPr>
            </w:pPr>
          </w:p>
        </w:tc>
      </w:tr>
      <w:tr>
        <w:trPr>
          <w:trHeight w:val="161"/>
        </w:trPr>
        <w:tc>
          <w:tcPr>
            <w:tcW w:w="36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(4,330)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(9,781)</w:t>
            </w:r>
          </w:p>
        </w:tc>
        <w:tc>
          <w:tcPr>
            <w:tcW w:w="60" w:type="dxa"/>
            <w:vAlign w:val="bottom"/>
          </w:tcPr>
          <w:p>
            <w:pPr>
              <w:spacing w:after="0"/>
              <w:rPr>
                <w:sz w:val="13"/>
                <w:szCs w:val="13"/>
                <w:color w:val="auto"/>
              </w:rPr>
            </w:pP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(14,111)</w:t>
            </w:r>
          </w:p>
        </w:tc>
        <w:tc>
          <w:tcPr>
            <w:tcW w:w="0" w:type="dxa"/>
            <w:vAlign w:val="bottom"/>
          </w:tcPr>
          <w:p>
            <w:pPr>
              <w:spacing w:after="0"/>
              <w:rPr>
                <w:sz w:val="1"/>
                <w:szCs w:val="1"/>
                <w:color w:val="auto"/>
              </w:rPr>
            </w:pPr>
          </w:p>
        </w:tc>
      </w:tr>
      <w:tr>
        <w:trPr>
          <w:trHeight w:val="20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noncontrolling interests</w:t>
            </w: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Dividends paid on common stock at $1.50 per share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(202,527)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(202,527)</w:t>
            </w:r>
          </w:p>
        </w:tc>
        <w:tc>
          <w:tcPr>
            <w:tcW w:w="0" w:type="dxa"/>
            <w:vAlign w:val="bottom"/>
          </w:tcPr>
          <w:p>
            <w:pPr>
              <w:spacing w:after="0"/>
              <w:rPr>
                <w:sz w:val="1"/>
                <w:szCs w:val="1"/>
                <w:color w:val="auto"/>
              </w:rPr>
            </w:pPr>
          </w:p>
        </w:tc>
      </w:tr>
      <w:tr>
        <w:trPr>
          <w:trHeight w:val="200"/>
        </w:trPr>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Balances at March 31, 2022</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w w:val="89"/>
              </w:rPr>
              <w:t>256,051</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3"/>
              </w:rPr>
              <w:t>411,581</w:t>
            </w:r>
          </w:p>
        </w:tc>
        <w:tc>
          <w:tcPr>
            <w:tcW w:w="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$ 317</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2"/>
              </w:rPr>
              <w:t>134,251,076</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1,343</w:t>
            </w:r>
          </w:p>
        </w:tc>
        <w:tc>
          <w:tcPr>
            <w:tcW w:w="8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u w:val="single" w:color="auto"/>
                <w:color w:val="auto"/>
                <w:w w:val="89"/>
              </w:rPr>
              <w:t>$</w:t>
            </w:r>
            <w:r>
              <w:rPr>
                <w:rFonts w:ascii="Arial" w:cs="Arial" w:eastAsia="Arial" w:hAnsi="Arial"/>
                <w:sz w:val="16"/>
                <w:szCs w:val="16"/>
                <w:b w:val="1"/>
                <w:bCs w:val="1"/>
                <w:color w:val="auto"/>
                <w:w w:val="89"/>
              </w:rPr>
              <w:t>3,329,608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6,457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(127,193)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3,878,164</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b w:val="1"/>
                <w:bCs w:val="1"/>
                <w:color w:val="auto"/>
                <w:w w:val="99"/>
              </w:rPr>
              <w:t>For the Three Months Ended March 31,</w:t>
            </w:r>
          </w:p>
        </w:tc>
      </w:tr>
      <w:tr>
        <w:trPr>
          <w:trHeight w:val="190"/>
        </w:trPr>
        <w:tc>
          <w:tcPr>
            <w:tcW w:w="78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2021</w:t>
            </w:r>
          </w:p>
        </w:tc>
      </w:tr>
      <w:tr>
        <w:trPr>
          <w:trHeight w:val="195"/>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217,717</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215,501</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67,906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58,599</w:t>
            </w: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Non-cash lease expense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Compensation expense related to stock-based awards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w:t>
            </w: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Accrual of interest income added to principal of debt securities and notes receivable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(9,951)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(8,533)</w:t>
            </w: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real estate transactions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r>
      <w:tr>
        <w:trPr>
          <w:trHeight w:val="207"/>
        </w:trPr>
        <w:tc>
          <w:tcPr>
            <w:tcW w:w="7860" w:type="dxa"/>
            <w:vAlign w:val="bottom"/>
          </w:tcPr>
          <w:p>
            <w:pPr>
              <w:ind w:left="660"/>
              <w:spacing w:after="0"/>
              <w:rPr>
                <w:sz w:val="20"/>
                <w:szCs w:val="20"/>
                <w:color w:val="auto"/>
              </w:rPr>
            </w:pPr>
            <w:r>
              <w:rPr>
                <w:rFonts w:ascii="Arial" w:cs="Arial" w:eastAsia="Arial" w:hAnsi="Arial"/>
                <w:sz w:val="16"/>
                <w:szCs w:val="16"/>
                <w:color w:val="auto"/>
              </w:rPr>
              <w:t>Distributions from unconsolidated real estate ventures in excess of earnings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1,863</w:t>
            </w:r>
          </w:p>
        </w:tc>
      </w:tr>
      <w:tr>
        <w:trPr>
          <w:trHeight w:val="213"/>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7860" w:type="dxa"/>
            <w:vAlign w:val="bottom"/>
          </w:tcPr>
          <w:p>
            <w:pPr>
              <w:ind w:left="108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(6,209)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(2,737)</w:t>
            </w:r>
          </w:p>
        </w:tc>
      </w:tr>
      <w:tr>
        <w:trPr>
          <w:trHeight w:val="213"/>
        </w:trPr>
        <w:tc>
          <w:tcPr>
            <w:tcW w:w="7860" w:type="dxa"/>
            <w:vAlign w:val="bottom"/>
            <w:shd w:val="clear" w:color="auto" w:fill="CCEEFF"/>
          </w:tcPr>
          <w:p>
            <w:pPr>
              <w:ind w:left="108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w:t>
            </w:r>
          </w:p>
        </w:tc>
      </w:tr>
      <w:tr>
        <w:trPr>
          <w:trHeight w:val="207"/>
        </w:trPr>
        <w:tc>
          <w:tcPr>
            <w:tcW w:w="7860" w:type="dxa"/>
            <w:vAlign w:val="bottom"/>
            <w:tcBorders>
              <w:bottom w:val="single" w:sz="8" w:color="CCEEFF"/>
            </w:tcBorders>
          </w:tcPr>
          <w:p>
            <w:pPr>
              <w:ind w:left="10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w:t>
            </w:r>
          </w:p>
        </w:tc>
      </w:tr>
      <w:tr>
        <w:trPr>
          <w:trHeight w:val="206"/>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287,465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203,880</w:t>
            </w:r>
          </w:p>
        </w:tc>
      </w:tr>
      <w:tr>
        <w:trPr>
          <w:trHeight w:val="187"/>
        </w:trPr>
        <w:tc>
          <w:tcPr>
            <w:tcW w:w="78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(161,752)</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Development and redevelopment of real estate assets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(14,716)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(14,086)</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real estate assets and investments in real estate ventures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132,733</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Investment in unconsolidated real estate entities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(4,321)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Return of investment in unconsolidated real estate ventures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31,169</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Issuance and purchase of notes receivable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(134,408)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(25,772)</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payments received from notes receivable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195,803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Proceeds from sale of notes receivable</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39,718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81,250</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of equipment and fixtures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w:t>
            </w:r>
          </w:p>
        </w:tc>
      </w:tr>
      <w:tr>
        <w:trPr>
          <w:trHeight w:val="200"/>
        </w:trPr>
        <w:tc>
          <w:tcPr>
            <w:tcW w:w="78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(121,372)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42,595</w:t>
            </w: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Proceeds from the sale of common stock, net of offering costs</w:t>
            </w:r>
          </w:p>
        </w:tc>
        <w:tc>
          <w:tcPr>
            <w:tcW w:w="3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273,720</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notes payable and revolving lines of credit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889,829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1,747,000</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Principal payments on notes payable and revolving lines of credit</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(1,230,924)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(2,193,409)</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public bonds,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Deferred financing costs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(5,842)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(1,689)</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exercise of stock options</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Redemption of Operating Partnership units held by noncontrolling interests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(2,672)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Redemption of Preferred B Units for cash</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3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Dividends paid on common stock</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(132,540)</w:t>
            </w:r>
          </w:p>
        </w:tc>
      </w:tr>
      <w:tr>
        <w:trPr>
          <w:trHeight w:val="207"/>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(14,110)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(9,025)</w:t>
            </w:r>
          </w:p>
        </w:tc>
      </w:tr>
      <w:tr>
        <w:trPr>
          <w:trHeight w:val="206"/>
        </w:trPr>
        <w:tc>
          <w:tcPr>
            <w:tcW w:w="7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(169,621)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(311,689)</w:t>
            </w:r>
          </w:p>
        </w:tc>
      </w:tr>
      <w:tr>
        <w:trPr>
          <w:trHeight w:val="200"/>
        </w:trPr>
        <w:tc>
          <w:tcPr>
            <w:tcW w:w="786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(65,214)</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the period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76,194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128,009</w:t>
            </w:r>
          </w:p>
        </w:tc>
      </w:tr>
      <w:tr>
        <w:trPr>
          <w:trHeight w:val="200"/>
        </w:trPr>
        <w:tc>
          <w:tcPr>
            <w:tcW w:w="78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the period</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72,666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62,795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9"/>
        </w:trPr>
        <w:tc>
          <w:tcPr>
            <w:tcW w:w="7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44,887</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Income taxes paid</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60" w:type="dxa"/>
            <w:vAlign w:val="bottom"/>
          </w:tcPr>
          <w:p>
            <w:pPr>
              <w:spacing w:after="0"/>
              <w:rPr>
                <w:sz w:val="16"/>
                <w:szCs w:val="16"/>
                <w:color w:val="auto"/>
              </w:rPr>
            </w:pPr>
          </w:p>
        </w:tc>
        <w:tc>
          <w:tcPr>
            <w:tcW w:w="3380" w:type="dxa"/>
            <w:vAlign w:val="bottom"/>
            <w:tcBorders>
              <w:bottom w:val="single" w:sz="8" w:color="auto"/>
            </w:tcBorders>
            <w:gridSpan w:val="5"/>
          </w:tcPr>
          <w:p>
            <w:pPr>
              <w:jc w:val="right"/>
              <w:ind w:right="421"/>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8"/>
        </w:trPr>
        <w:tc>
          <w:tcPr>
            <w:tcW w:w="78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2021</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color w:val="auto"/>
              </w:rPr>
              <w:t>Redemption of Operating Partnership units held by noncontrolling interests for common stock</w:t>
            </w: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Noncontrolling interests in Operating Partnership</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Common stock and paid-in capital</w:t>
            </w:r>
          </w:p>
        </w:tc>
        <w:tc>
          <w:tcPr>
            <w:tcW w:w="10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4,005</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and establishment of operating lease right of use assets and lease liabilities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Real estate assets - operating lease right-of-use assets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2,369</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Acquisitions of real estate assets</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 assets, net</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41,491</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Value of Operating Partnership and Preferred Operating Partnership units issued</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(40,965)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7860" w:type="dxa"/>
            <w:vAlign w:val="bottom"/>
          </w:tcPr>
          <w:p>
            <w:pPr>
              <w:ind w:left="340"/>
              <w:spacing w:after="0"/>
              <w:rPr>
                <w:sz w:val="20"/>
                <w:szCs w:val="20"/>
                <w:color w:val="auto"/>
              </w:rPr>
            </w:pPr>
            <w:r>
              <w:rPr>
                <w:rFonts w:ascii="Arial" w:cs="Arial" w:eastAsia="Arial" w:hAnsi="Arial"/>
                <w:sz w:val="16"/>
                <w:szCs w:val="16"/>
                <w:color w:val="auto"/>
              </w:rPr>
              <w:t>Net liabilities assumed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Finance lease liability</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(41,491)</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Accrued construction costs and capital expenditures</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 of real estate assets</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(1,723)</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Redemption of Preferred Operating Partnership units for common stock</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Preferred Operating Partnership units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(2,724)</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w:t>
            </w:r>
          </w:p>
        </w:tc>
      </w:tr>
      <w:tr>
        <w:trPr>
          <w:trHeight w:val="207"/>
        </w:trPr>
        <w:tc>
          <w:tcPr>
            <w:tcW w:w="7860" w:type="dxa"/>
            <w:vAlign w:val="bottom"/>
          </w:tcPr>
          <w:p>
            <w:pPr>
              <w:ind w:left="20"/>
              <w:spacing w:after="0"/>
              <w:rPr>
                <w:sz w:val="20"/>
                <w:szCs w:val="20"/>
                <w:color w:val="auto"/>
              </w:rPr>
            </w:pPr>
            <w:r>
              <w:rPr>
                <w:rFonts w:ascii="Arial" w:cs="Arial" w:eastAsia="Arial" w:hAnsi="Arial"/>
                <w:sz w:val="16"/>
                <w:szCs w:val="16"/>
                <w:color w:val="auto"/>
              </w:rPr>
              <w:t>Establishment of finance lease assets and lease liabilities</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 assets, net</w:t>
            </w: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40,993</w:t>
            </w: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Other liabilities</w:t>
            </w:r>
          </w:p>
        </w:tc>
        <w:tc>
          <w:tcPr>
            <w:tcW w:w="10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(40,993)</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unconsolidated real estate ventures received on sale of stores to joint venture</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7"/>
        </w:trPr>
        <w:tc>
          <w:tcPr>
            <w:tcW w:w="7860" w:type="dxa"/>
            <w:vAlign w:val="bottom"/>
          </w:tcPr>
          <w:p>
            <w:pPr>
              <w:ind w:left="340"/>
              <w:spacing w:after="0"/>
              <w:rPr>
                <w:sz w:val="20"/>
                <w:szCs w:val="20"/>
                <w:color w:val="auto"/>
              </w:rPr>
            </w:pPr>
            <w:r>
              <w:rPr>
                <w:rFonts w:ascii="Arial" w:cs="Arial" w:eastAsia="Arial" w:hAnsi="Arial"/>
                <w:sz w:val="16"/>
                <w:szCs w:val="16"/>
                <w:color w:val="auto"/>
              </w:rPr>
              <w:t>Investment in unconsolidated real estate ventures</w:t>
            </w:r>
          </w:p>
        </w:tc>
        <w:tc>
          <w:tcPr>
            <w:tcW w:w="1020" w:type="dxa"/>
            <w:vAlign w:val="bottom"/>
          </w:tcPr>
          <w:p>
            <w:pPr>
              <w:jc w:val="right"/>
              <w:ind w:right="843"/>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33,878</w:t>
            </w:r>
          </w:p>
        </w:tc>
      </w:tr>
      <w:tr>
        <w:trPr>
          <w:trHeight w:val="213"/>
        </w:trPr>
        <w:tc>
          <w:tcPr>
            <w:tcW w:w="7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Real estate assets</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(33,878)</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w:t>
        <w:tab/>
        <w:t>ORGANIZATION</w:t>
      </w:r>
    </w:p>
    <w:p>
      <w:pPr>
        <w:spacing w:after="0" w:line="125"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205" w:lineRule="exact"/>
        <w:rPr>
          <w:sz w:val="20"/>
          <w:szCs w:val="20"/>
          <w:color w:val="auto"/>
        </w:rPr>
      </w:pPr>
    </w:p>
    <w:p>
      <w:pPr>
        <w:ind w:right="280" w:firstLine="433"/>
        <w:spacing w:after="0" w:line="268" w:lineRule="auto"/>
        <w:rPr>
          <w:sz w:val="20"/>
          <w:szCs w:val="20"/>
          <w:color w:val="auto"/>
        </w:rPr>
      </w:pPr>
      <w:r>
        <w:rPr>
          <w:rFonts w:ascii="Arial" w:cs="Arial" w:eastAsia="Arial" w:hAnsi="Arial"/>
          <w:sz w:val="17"/>
          <w:szCs w:val="17"/>
          <w:color w:val="auto"/>
        </w:rPr>
        <w:t>The Company invests in stores by acquiring wholly-owned stores or by acquiring an equity interest in real estate entities. At March 31, 2022, the Company had direct and indirect equity interests in 1,283 stores. In addition, the Company managed 847 stores for third parties, bringing the total number of stores which it owns and/or manages to 2,130. These stores are located in 41 states and Washington, D.C. The Company also offers tenant reinsurance at its owned and managed stores that insures the value of goods in the storage units.</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6"/>
          <w:szCs w:val="16"/>
          <w:b w:val="1"/>
          <w:bCs w:val="1"/>
          <w:color w:val="auto"/>
        </w:rPr>
        <w:t>BASIS OF PRESENTATION</w:t>
      </w:r>
    </w:p>
    <w:p>
      <w:pPr>
        <w:spacing w:after="0" w:line="256" w:lineRule="exact"/>
        <w:rPr>
          <w:sz w:val="20"/>
          <w:szCs w:val="20"/>
          <w:color w:val="auto"/>
        </w:rPr>
      </w:pPr>
    </w:p>
    <w:p>
      <w:pPr>
        <w:ind w:right="20" w:firstLine="433"/>
        <w:spacing w:after="0" w:line="261" w:lineRule="auto"/>
        <w:rPr>
          <w:sz w:val="20"/>
          <w:szCs w:val="20"/>
          <w:color w:val="auto"/>
        </w:rPr>
      </w:pPr>
      <w:r>
        <w:rPr>
          <w:rFonts w:ascii="Arial" w:cs="Arial" w:eastAsia="Arial" w:hAnsi="Arial"/>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2022 are not necessarily indicative of results that may be expected for the year ending December 31, 2022. The condensed consolidated balance sheet as of December 31, 2021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2021, as filed with the Securities and Exchange Commission.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w:t>
      </w:r>
    </w:p>
    <w:p>
      <w:pPr>
        <w:spacing w:after="0" w:line="250" w:lineRule="exact"/>
        <w:rPr>
          <w:sz w:val="20"/>
          <w:szCs w:val="20"/>
          <w:color w:val="auto"/>
        </w:rPr>
      </w:pPr>
    </w:p>
    <w:p>
      <w:pPr>
        <w:ind w:right="40" w:firstLine="433"/>
        <w:spacing w:after="0" w:line="261" w:lineRule="auto"/>
        <w:rPr>
          <w:sz w:val="20"/>
          <w:szCs w:val="20"/>
          <w:color w:val="auto"/>
        </w:rPr>
      </w:pPr>
      <w:r>
        <w:rPr>
          <w:rFonts w:ascii="Arial" w:cs="Arial" w:eastAsia="Arial" w:hAnsi="Arial"/>
          <w:sz w:val="16"/>
          <w:szCs w:val="16"/>
          <w:color w:val="auto"/>
        </w:rPr>
        <w:t>In March 2020, the Financial Accounting Standards Board ("FASB") issued ASU 2020-04, "</w:t>
      </w:r>
      <w:r>
        <w:rPr>
          <w:rFonts w:ascii="Arial" w:cs="Arial" w:eastAsia="Arial" w:hAnsi="Arial"/>
          <w:sz w:val="16"/>
          <w:szCs w:val="16"/>
          <w:i w:val="1"/>
          <w:iCs w:val="1"/>
          <w:color w:val="auto"/>
        </w:rPr>
        <w:t>Reference Rate Reform (Topic 848): 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(“ASU 2020-04”). ASU 2020-04 provides temporary optional guidance that provides transition relief</w:t>
      </w:r>
      <w:r>
        <w:rPr>
          <w:rFonts w:ascii="Arial" w:cs="Arial" w:eastAsia="Arial" w:hAnsi="Arial"/>
          <w:sz w:val="16"/>
          <w:szCs w:val="16"/>
          <w:i w:val="1"/>
          <w:iCs w:val="1"/>
          <w:color w:val="auto"/>
        </w:rPr>
        <w:t xml:space="preserve"> </w:t>
      </w:r>
      <w:r>
        <w:rPr>
          <w:rFonts w:ascii="Arial" w:cs="Arial" w:eastAsia="Arial" w:hAnsi="Arial"/>
          <w:sz w:val="16"/>
          <w:szCs w:val="16"/>
          <w:color w:val="auto"/>
        </w:rPr>
        <w:t>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w:t>
      </w:r>
    </w:p>
    <w:p>
      <w:pPr>
        <w:spacing w:after="0" w:line="243" w:lineRule="auto"/>
        <w:rPr>
          <w:sz w:val="20"/>
          <w:szCs w:val="20"/>
          <w:color w:val="auto"/>
        </w:rPr>
      </w:pPr>
      <w:r>
        <w:rPr>
          <w:rFonts w:ascii="Arial" w:cs="Arial" w:eastAsia="Arial" w:hAnsi="Arial"/>
          <w:sz w:val="17"/>
          <w:szCs w:val="17"/>
          <w:color w:val="auto"/>
        </w:rPr>
        <w:t>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which refines the scope of Topic 848 and clarifies some of its guidance. The Company continues to evaluate the impact of the guidance and may apply other elections as applicable as additional changes in the market occur.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w:t>
        <w:tab/>
        <w:t>FAIR VALUE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1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89"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89"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March 31, 2022,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89" w:lineRule="exact"/>
        <w:rPr>
          <w:sz w:val="20"/>
          <w:szCs w:val="20"/>
          <w:color w:val="auto"/>
        </w:rPr>
      </w:pPr>
    </w:p>
    <w:p>
      <w:pPr>
        <w:ind w:right="80" w:firstLine="433"/>
        <w:spacing w:after="0" w:line="275" w:lineRule="auto"/>
        <w:rPr>
          <w:sz w:val="20"/>
          <w:szCs w:val="20"/>
          <w:color w:val="auto"/>
        </w:rPr>
      </w:pPr>
      <w:r>
        <w:rPr>
          <w:rFonts w:ascii="Arial" w:cs="Arial" w:eastAsia="Arial" w:hAnsi="Arial"/>
          <w:sz w:val="17"/>
          <w:szCs w:val="17"/>
          <w:color w:val="auto"/>
        </w:rPr>
        <w:t>The table below presents the Company’s assets and liabilities measured at fair value on a recurring basis as of March 31, 2022, aggregated by the level in the fair value hierarchy within which those measurements fall.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6"/>
          </w:tcPr>
          <w:p>
            <w:pPr>
              <w:jc w:val="center"/>
              <w:ind w:left="104"/>
              <w:spacing w:after="0"/>
              <w:rPr>
                <w:sz w:val="20"/>
                <w:szCs w:val="20"/>
                <w:color w:val="auto"/>
              </w:rPr>
            </w:pPr>
            <w:r>
              <w:rPr>
                <w:rFonts w:ascii="Arial" w:cs="Arial" w:eastAsia="Arial" w:hAnsi="Arial"/>
                <w:sz w:val="14"/>
                <w:szCs w:val="14"/>
                <w:b w:val="1"/>
                <w:bCs w:val="1"/>
                <w:color w:val="auto"/>
                <w:w w:val="90"/>
              </w:rPr>
              <w:t>Fair Value Measurements at Reporting Date Using</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9"/>
              </w:rPr>
              <w:t>Quoted Prices in</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 Other</w:t>
            </w:r>
          </w:p>
        </w:tc>
        <w:tc>
          <w:tcPr>
            <w:tcW w:w="1100" w:type="dxa"/>
            <w:vAlign w:val="bottom"/>
            <w:vMerge w:val="restart"/>
          </w:tcPr>
          <w:p>
            <w:pPr>
              <w:jc w:val="center"/>
              <w:ind w:left="243"/>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Active Markets for</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Description</w:t>
            </w:r>
          </w:p>
        </w:tc>
        <w:tc>
          <w:tcPr>
            <w:tcW w:w="154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Identical Assets (Level</w:t>
            </w: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6"/>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243"/>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 Cash flow hedge swap agreements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740" w:type="dxa"/>
            <w:vAlign w:val="bottom"/>
          </w:tcPr>
          <w:p>
            <w:pPr>
              <w:ind w:left="20"/>
              <w:spacing w:after="0"/>
              <w:rPr>
                <w:sz w:val="20"/>
                <w:szCs w:val="20"/>
                <w:color w:val="auto"/>
              </w:rPr>
            </w:pPr>
            <w:r>
              <w:rPr>
                <w:rFonts w:ascii="Arial" w:cs="Arial" w:eastAsia="Arial" w:hAnsi="Arial"/>
                <w:sz w:val="17"/>
                <w:szCs w:val="17"/>
                <w:color w:val="auto"/>
              </w:rPr>
              <w:t>Other liabilities - Cash flow hedge swap agreements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2,189</w:t>
            </w:r>
          </w:p>
        </w:tc>
        <w:tc>
          <w:tcPr>
            <w:tcW w:w="12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Arial" w:cs="Arial" w:eastAsia="Arial" w:hAnsi="Arial"/>
                <w:sz w:val="17"/>
                <w:szCs w:val="17"/>
                <w:color w:val="auto"/>
                <w:w w:val="84"/>
              </w:rPr>
              <w:t>$</w:t>
            </w:r>
          </w:p>
        </w:tc>
        <w:tc>
          <w:tcPr>
            <w:tcW w:w="320" w:type="dxa"/>
            <w:vAlign w:val="bottom"/>
          </w:tcPr>
          <w:p>
            <w:pPr>
              <w:ind w:lef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580" w:firstLine="433"/>
        <w:spacing w:after="0" w:line="289" w:lineRule="auto"/>
        <w:rPr>
          <w:sz w:val="20"/>
          <w:szCs w:val="20"/>
          <w:color w:val="auto"/>
        </w:rPr>
      </w:pPr>
      <w:r>
        <w:rPr>
          <w:rFonts w:ascii="Arial" w:cs="Arial" w:eastAsia="Arial" w:hAnsi="Arial"/>
          <w:sz w:val="17"/>
          <w:szCs w:val="17"/>
          <w:color w:val="auto"/>
        </w:rPr>
        <w:t>The Company did not have any significant assets or liabilities that are re-measured on a recurring basis using significant unobservable inputs as of March 31, 2022 or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Assets and Liabilities Measured at Fair Value on a Nonrecurring Basis</w:t>
      </w:r>
    </w:p>
    <w:p>
      <w:pPr>
        <w:spacing w:after="0" w:line="119" w:lineRule="exact"/>
        <w:rPr>
          <w:sz w:val="20"/>
          <w:szCs w:val="20"/>
          <w:color w:val="auto"/>
        </w:rPr>
      </w:pPr>
    </w:p>
    <w:p>
      <w:pPr>
        <w:ind w:right="80" w:firstLine="433"/>
        <w:spacing w:after="0" w:line="265" w:lineRule="auto"/>
        <w:rPr>
          <w:sz w:val="20"/>
          <w:szCs w:val="20"/>
          <w:color w:val="auto"/>
        </w:rPr>
      </w:pPr>
      <w:r>
        <w:rPr>
          <w:rFonts w:ascii="Arial" w:cs="Arial" w:eastAsia="Arial" w:hAnsi="Arial"/>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206" w:lineRule="exact"/>
        <w:rPr>
          <w:sz w:val="20"/>
          <w:szCs w:val="20"/>
          <w:color w:val="auto"/>
        </w:rPr>
      </w:pPr>
    </w:p>
    <w:p>
      <w:pPr>
        <w:ind w:right="80" w:firstLine="433"/>
        <w:spacing w:after="0" w:line="268" w:lineRule="auto"/>
        <w:rPr>
          <w:sz w:val="20"/>
          <w:szCs w:val="20"/>
          <w:color w:val="auto"/>
        </w:rPr>
      </w:pPr>
      <w:r>
        <w:rPr>
          <w:rFonts w:ascii="Arial" w:cs="Arial" w:eastAsia="Arial" w:hAnsi="Arial"/>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March 31, 2022, the Company had two operating stores classified as held for sale which are included in real estate assets, net.</w:t>
      </w:r>
    </w:p>
    <w:p>
      <w:pPr>
        <w:spacing w:after="0" w:line="206" w:lineRule="exact"/>
        <w:rPr>
          <w:sz w:val="20"/>
          <w:szCs w:val="20"/>
          <w:color w:val="auto"/>
        </w:rPr>
      </w:pPr>
    </w:p>
    <w:p>
      <w:pPr>
        <w:jc w:val="both"/>
        <w:ind w:right="80" w:firstLine="433"/>
        <w:spacing w:after="0" w:line="268" w:lineRule="auto"/>
        <w:rPr>
          <w:sz w:val="20"/>
          <w:szCs w:val="20"/>
          <w:color w:val="auto"/>
        </w:rPr>
      </w:pPr>
      <w:r>
        <w:rPr>
          <w:rFonts w:ascii="Arial" w:cs="Arial" w:eastAsia="Arial" w:hAnsi="Arial"/>
          <w:sz w:val="17"/>
          <w:szCs w:val="17"/>
          <w:color w:val="auto"/>
        </w:rPr>
        <w:t>The Company assesses annually whether there are any indicators that the value of the Company’s investments in unconsolidated real estate ventures may be impaired annually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202" w:lineRule="exact"/>
        <w:rPr>
          <w:sz w:val="20"/>
          <w:szCs w:val="20"/>
          <w:color w:val="auto"/>
        </w:rPr>
      </w:pPr>
    </w:p>
    <w:p>
      <w:pPr>
        <w:ind w:firstLine="433"/>
        <w:spacing w:after="0" w:line="305" w:lineRule="auto"/>
        <w:rPr>
          <w:sz w:val="20"/>
          <w:szCs w:val="20"/>
          <w:color w:val="auto"/>
        </w:rPr>
      </w:pPr>
      <w:r>
        <w:rPr>
          <w:rFonts w:ascii="Arial" w:cs="Arial" w:eastAsia="Arial" w:hAnsi="Arial"/>
          <w:sz w:val="15"/>
          <w:szCs w:val="15"/>
          <w:color w:val="auto"/>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Financial Instruments</w:t>
      </w:r>
    </w:p>
    <w:p>
      <w:pPr>
        <w:spacing w:after="0" w:line="119"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The carrying values of cash and cash equivalents, restricted cash, receivables, other financial instruments included in other assets, accounts payable and accrued expenses, variable-rate notes payable, lines of credit and other liabilities reflected in the condensed consolidated balance sheets at March 31, 2022 and December 31, 2021 approximate fair value. Restricted cash is comprised of funds deposited with financial institutions located throughout the United States primarily relating to earnest money deposits on potential acquisitions.</w:t>
      </w:r>
    </w:p>
    <w:p>
      <w:pPr>
        <w:spacing w:after="0" w:line="202" w:lineRule="exact"/>
        <w:rPr>
          <w:sz w:val="20"/>
          <w:szCs w:val="20"/>
          <w:color w:val="auto"/>
        </w:rPr>
      </w:pPr>
    </w:p>
    <w:p>
      <w:pPr>
        <w:ind w:right="180" w:firstLine="433"/>
        <w:spacing w:after="0" w:line="286" w:lineRule="auto"/>
        <w:rPr>
          <w:sz w:val="20"/>
          <w:szCs w:val="20"/>
          <w:color w:val="auto"/>
        </w:rPr>
      </w:pPr>
      <w:r>
        <w:rPr>
          <w:rFonts w:ascii="Arial" w:cs="Arial" w:eastAsia="Arial" w:hAnsi="Arial"/>
          <w:sz w:val="16"/>
          <w:szCs w:val="16"/>
          <w:color w:val="auto"/>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the Company’s fixed-rate assets and liabilities were as follows for the periods indicated:</w:t>
      </w:r>
    </w:p>
    <w:p>
      <w:pPr>
        <w:spacing w:after="0" w:line="52" w:lineRule="exact"/>
        <w:rPr>
          <w:sz w:val="20"/>
          <w:szCs w:val="20"/>
          <w:color w:val="auto"/>
        </w:rPr>
      </w:pPr>
    </w:p>
    <w:p>
      <w:pPr>
        <w:ind w:left="6180"/>
        <w:spacing w:after="0"/>
        <w:tabs>
          <w:tab w:leader="none" w:pos="9100" w:val="left"/>
        </w:tabs>
        <w:rPr>
          <w:sz w:val="20"/>
          <w:szCs w:val="20"/>
          <w:color w:val="auto"/>
        </w:rPr>
      </w:pPr>
      <w:r>
        <w:rPr>
          <w:rFonts w:ascii="Arial" w:cs="Arial" w:eastAsia="Arial" w:hAnsi="Arial"/>
          <w:sz w:val="16"/>
          <w:szCs w:val="16"/>
          <w:b w:val="1"/>
          <w:bCs w:val="1"/>
          <w:color w:val="auto"/>
        </w:rPr>
        <w:t>March 31, 2022</w:t>
      </w:r>
      <w:r>
        <w:rPr>
          <w:sz w:val="20"/>
          <w:szCs w:val="20"/>
          <w:color w:val="auto"/>
        </w:rPr>
        <w:tab/>
      </w:r>
      <w:r>
        <w:rPr>
          <w:rFonts w:ascii="Arial" w:cs="Arial" w:eastAsia="Arial" w:hAnsi="Arial"/>
          <w:sz w:val="13"/>
          <w:szCs w:val="13"/>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17145</wp:posOffset>
            </wp:positionV>
            <wp:extent cx="1882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180" w:type="dxa"/>
            <w:vAlign w:val="bottom"/>
          </w:tcPr>
          <w:p>
            <w:pPr>
              <w:spacing w:after="0"/>
              <w:rPr>
                <w:sz w:val="20"/>
                <w:szCs w:val="20"/>
                <w:color w:val="auto"/>
              </w:rPr>
            </w:pPr>
            <w:r>
              <w:rPr>
                <w:rFonts w:ascii="Arial" w:cs="Arial" w:eastAsia="Arial" w:hAnsi="Arial"/>
                <w:sz w:val="17"/>
                <w:szCs w:val="17"/>
                <w:color w:val="auto"/>
                <w:w w:val="93"/>
              </w:rPr>
              <w:t>Notes receivable from Preferred and Common Operating Partnership unit</w:t>
            </w:r>
          </w:p>
        </w:tc>
        <w:tc>
          <w:tcPr>
            <w:tcW w:w="1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7"/>
                <w:szCs w:val="17"/>
                <w:color w:val="auto"/>
              </w:rPr>
              <w:t>holders</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7"/>
                <w:szCs w:val="17"/>
                <w:color w:val="auto"/>
              </w:rPr>
              <w:t>Fixed rate notes receivable</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Arial" w:cs="Arial" w:eastAsia="Arial" w:hAnsi="Arial"/>
                <w:sz w:val="17"/>
                <w:szCs w:val="17"/>
                <w:color w:val="auto"/>
              </w:rPr>
              <w:t>Fixed rate debt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593"/>
              <w:spacing w:after="0" w:line="170" w:lineRule="exact"/>
              <w:rPr>
                <w:sz w:val="20"/>
                <w:szCs w:val="20"/>
                <w:color w:val="auto"/>
              </w:rPr>
            </w:pPr>
            <w:r>
              <w:rPr>
                <w:rFonts w:ascii="Arial" w:cs="Arial" w:eastAsia="Arial" w:hAnsi="Arial"/>
                <w:sz w:val="17"/>
                <w:szCs w:val="17"/>
                <w:b w:val="1"/>
                <w:bCs w:val="1"/>
                <w:color w:val="auto"/>
              </w:rPr>
              <w:t>Fair</w:t>
            </w:r>
          </w:p>
        </w:tc>
        <w:tc>
          <w:tcPr>
            <w:tcW w:w="240" w:type="dxa"/>
            <w:vAlign w:val="bottom"/>
          </w:tcPr>
          <w:p>
            <w:pPr>
              <w:spacing w:after="0"/>
              <w:rPr>
                <w:sz w:val="14"/>
                <w:szCs w:val="14"/>
                <w:color w:val="auto"/>
              </w:rPr>
            </w:pPr>
          </w:p>
        </w:tc>
        <w:tc>
          <w:tcPr>
            <w:tcW w:w="1300" w:type="dxa"/>
            <w:vAlign w:val="bottom"/>
            <w:gridSpan w:val="2"/>
          </w:tcPr>
          <w:p>
            <w:pPr>
              <w:ind w:left="120"/>
              <w:spacing w:after="0" w:line="170" w:lineRule="exact"/>
              <w:rPr>
                <w:sz w:val="20"/>
                <w:szCs w:val="20"/>
                <w:color w:val="auto"/>
              </w:rPr>
            </w:pPr>
            <w:r>
              <w:rPr>
                <w:rFonts w:ascii="Arial" w:cs="Arial" w:eastAsia="Arial" w:hAnsi="Arial"/>
                <w:sz w:val="17"/>
                <w:szCs w:val="17"/>
                <w:b w:val="1"/>
                <w:bCs w:val="1"/>
                <w:color w:val="auto"/>
              </w:rPr>
              <w:t>Carrying</w:t>
            </w: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40"/>
              <w:spacing w:after="0" w:line="170" w:lineRule="exact"/>
              <w:rPr>
                <w:sz w:val="20"/>
                <w:szCs w:val="20"/>
                <w:color w:val="auto"/>
              </w:rPr>
            </w:pPr>
            <w:r>
              <w:rPr>
                <w:rFonts w:ascii="Arial" w:cs="Arial" w:eastAsia="Arial" w:hAnsi="Arial"/>
                <w:sz w:val="17"/>
                <w:szCs w:val="17"/>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3"/>
              <w:spacing w:after="0" w:line="170" w:lineRule="exact"/>
              <w:rPr>
                <w:sz w:val="20"/>
                <w:szCs w:val="20"/>
                <w:color w:val="auto"/>
              </w:rPr>
            </w:pPr>
            <w:r>
              <w:rPr>
                <w:rFonts w:ascii="Arial" w:cs="Arial" w:eastAsia="Arial" w:hAnsi="Arial"/>
                <w:sz w:val="17"/>
                <w:szCs w:val="17"/>
                <w:b w:val="1"/>
                <w:bCs w:val="1"/>
                <w:color w:val="auto"/>
              </w:rPr>
              <w:t>Carrying</w:t>
            </w:r>
          </w:p>
        </w:tc>
      </w:tr>
      <w:tr>
        <w:trPr>
          <w:trHeight w:val="223"/>
        </w:trPr>
        <w:tc>
          <w:tcPr>
            <w:tcW w:w="1020" w:type="dxa"/>
            <w:vAlign w:val="bottom"/>
          </w:tcPr>
          <w:p>
            <w:pPr>
              <w:jc w:val="right"/>
              <w:ind w:right="513"/>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7"/>
                <w:szCs w:val="17"/>
                <w:b w:val="1"/>
                <w:bCs w:val="1"/>
                <w:color w:val="auto"/>
              </w:rPr>
              <w:t>Value</w:t>
            </w: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7"/>
                <w:szCs w:val="17"/>
                <w:b w:val="1"/>
                <w:bCs w:val="1"/>
                <w:color w:val="auto"/>
              </w:rPr>
              <w:t>Value</w:t>
            </w:r>
          </w:p>
        </w:tc>
        <w:tc>
          <w:tcPr>
            <w:tcW w:w="220" w:type="dxa"/>
            <w:vAlign w:val="bottom"/>
          </w:tcPr>
          <w:p>
            <w:pPr>
              <w:spacing w:after="0"/>
              <w:rPr>
                <w:sz w:val="19"/>
                <w:szCs w:val="19"/>
                <w:color w:val="auto"/>
              </w:rPr>
            </w:pPr>
          </w:p>
        </w:tc>
        <w:tc>
          <w:tcPr>
            <w:tcW w:w="1200" w:type="dxa"/>
            <w:vAlign w:val="bottom"/>
          </w:tcPr>
          <w:p>
            <w:pPr>
              <w:jc w:val="right"/>
              <w:ind w:right="413"/>
              <w:spacing w:after="0"/>
              <w:rPr>
                <w:sz w:val="20"/>
                <w:szCs w:val="20"/>
                <w:color w:val="auto"/>
              </w:rPr>
            </w:pPr>
            <w:r>
              <w:rPr>
                <w:rFonts w:ascii="Arial" w:cs="Arial" w:eastAsia="Arial" w:hAnsi="Arial"/>
                <w:sz w:val="17"/>
                <w:szCs w:val="17"/>
                <w:b w:val="1"/>
                <w:bCs w:val="1"/>
                <w:color w:val="auto"/>
              </w:rPr>
              <w:t>Value</w:t>
            </w:r>
          </w:p>
        </w:tc>
      </w:tr>
      <w:tr>
        <w:trPr>
          <w:trHeight w:val="373"/>
        </w:trPr>
        <w:tc>
          <w:tcPr>
            <w:tcW w:w="1020" w:type="dxa"/>
            <w:vAlign w:val="bottom"/>
          </w:tcPr>
          <w:p>
            <w:pPr>
              <w:jc w:val="right"/>
              <w:ind w:right="73"/>
              <w:spacing w:after="0"/>
              <w:rPr>
                <w:sz w:val="20"/>
                <w:szCs w:val="20"/>
                <w:color w:val="auto"/>
              </w:rPr>
            </w:pPr>
            <w:r>
              <w:rPr>
                <w:rFonts w:ascii="Arial" w:cs="Arial" w:eastAsia="Arial" w:hAnsi="Arial"/>
                <w:sz w:val="17"/>
                <w:szCs w:val="17"/>
                <w:color w:val="auto"/>
              </w:rPr>
              <w:t>98,054</w:t>
            </w: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101,900</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101,824</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101,900</w:t>
            </w:r>
          </w:p>
        </w:tc>
      </w:tr>
      <w:tr>
        <w:trPr>
          <w:trHeight w:val="223"/>
        </w:trPr>
        <w:tc>
          <w:tcPr>
            <w:tcW w:w="1020" w:type="dxa"/>
            <w:vAlign w:val="bottom"/>
          </w:tcPr>
          <w:p>
            <w:pPr>
              <w:jc w:val="right"/>
              <w:ind w:right="73"/>
              <w:spacing w:after="0"/>
              <w:rPr>
                <w:sz w:val="20"/>
                <w:szCs w:val="20"/>
                <w:color w:val="auto"/>
              </w:rPr>
            </w:pPr>
            <w:r>
              <w:rPr>
                <w:rFonts w:ascii="Arial" w:cs="Arial" w:eastAsia="Arial" w:hAnsi="Arial"/>
                <w:sz w:val="17"/>
                <w:szCs w:val="17"/>
                <w:color w:val="auto"/>
              </w:rPr>
              <w:t>1,248</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105,954</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104,251</w:t>
            </w:r>
          </w:p>
        </w:tc>
      </w:tr>
      <w:tr>
        <w:trPr>
          <w:trHeight w:val="223"/>
        </w:trPr>
        <w:tc>
          <w:tcPr>
            <w:tcW w:w="1020" w:type="dxa"/>
            <w:vAlign w:val="bottom"/>
          </w:tcPr>
          <w:p>
            <w:pPr>
              <w:jc w:val="right"/>
              <w:ind w:right="73"/>
              <w:spacing w:after="0"/>
              <w:rPr>
                <w:sz w:val="20"/>
                <w:szCs w:val="20"/>
                <w:color w:val="auto"/>
              </w:rPr>
            </w:pPr>
            <w:r>
              <w:rPr>
                <w:rFonts w:ascii="Arial" w:cs="Arial" w:eastAsia="Arial" w:hAnsi="Arial"/>
                <w:sz w:val="17"/>
                <w:szCs w:val="17"/>
                <w:color w:val="auto"/>
              </w:rPr>
              <w:t>4,780,095</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4,860,356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4,643,072</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4,506,435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-140335</wp:posOffset>
            </wp:positionV>
            <wp:extent cx="713613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drawing>
          <wp:anchor simplePos="0" relativeHeight="251657728" behindDoc="1" locked="0" layoutInCell="0" allowOverlap="1">
            <wp:simplePos x="0" y="0"/>
            <wp:positionH relativeFrom="column">
              <wp:posOffset>-3628390</wp:posOffset>
            </wp:positionH>
            <wp:positionV relativeFrom="paragraph">
              <wp:posOffset>-532130</wp:posOffset>
            </wp:positionV>
            <wp:extent cx="7136130" cy="249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495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00"/>
            <w:col w:w="5520"/>
          </w:cols>
          <w:pgMar w:left="320" w:top="3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b w:val="1"/>
          <w:bCs w:val="1"/>
          <w:color w:val="auto"/>
        </w:rPr>
        <w:t>4.</w:t>
        <w:tab/>
        <w:t>REAL ESTATE ASSETS</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real estate assets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5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0"/>
              </w:rPr>
              <w:t>December 31, 2021</w:t>
            </w:r>
          </w:p>
        </w:tc>
      </w:tr>
      <w:tr>
        <w:trPr>
          <w:trHeight w:val="219"/>
        </w:trPr>
        <w:tc>
          <w:tcPr>
            <w:tcW w:w="71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Land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2,186,751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2,151,319</w:t>
            </w:r>
          </w:p>
        </w:tc>
      </w:tr>
      <w:tr>
        <w:trPr>
          <w:trHeight w:val="223"/>
        </w:trPr>
        <w:tc>
          <w:tcPr>
            <w:tcW w:w="7180" w:type="dxa"/>
            <w:vAlign w:val="bottom"/>
          </w:tcPr>
          <w:p>
            <w:pPr>
              <w:ind w:left="460"/>
              <w:spacing w:after="0"/>
              <w:rPr>
                <w:sz w:val="20"/>
                <w:szCs w:val="20"/>
                <w:color w:val="auto"/>
              </w:rPr>
            </w:pPr>
            <w:r>
              <w:rPr>
                <w:rFonts w:ascii="Arial" w:cs="Arial" w:eastAsia="Arial" w:hAnsi="Arial"/>
                <w:sz w:val="17"/>
                <w:szCs w:val="17"/>
                <w:color w:val="auto"/>
              </w:rPr>
              <w:t>Buildings, improvements and other intangibles</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8,347,651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8,227,094</w:t>
            </w:r>
          </w:p>
        </w:tc>
      </w:tr>
      <w:tr>
        <w:trPr>
          <w:trHeight w:val="223"/>
        </w:trPr>
        <w:tc>
          <w:tcPr>
            <w:tcW w:w="71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Right of use asset - finance lease</w:t>
            </w:r>
          </w:p>
        </w:tc>
        <w:tc>
          <w:tcPr>
            <w:tcW w:w="5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114,668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117,718</w:t>
            </w:r>
          </w:p>
        </w:tc>
      </w:tr>
      <w:tr>
        <w:trPr>
          <w:trHeight w:val="223"/>
        </w:trPr>
        <w:tc>
          <w:tcPr>
            <w:tcW w:w="7180" w:type="dxa"/>
            <w:vAlign w:val="bottom"/>
          </w:tcPr>
          <w:p>
            <w:pPr>
              <w:ind w:left="460"/>
              <w:spacing w:after="0"/>
              <w:rPr>
                <w:sz w:val="20"/>
                <w:szCs w:val="20"/>
                <w:color w:val="auto"/>
              </w:rPr>
            </w:pPr>
            <w:r>
              <w:rPr>
                <w:rFonts w:ascii="Arial" w:cs="Arial" w:eastAsia="Arial" w:hAnsi="Arial"/>
                <w:sz w:val="17"/>
                <w:szCs w:val="17"/>
                <w:color w:val="auto"/>
              </w:rPr>
              <w:t>Intangible assets - tenant relationships</w:t>
            </w:r>
          </w:p>
        </w:tc>
        <w:tc>
          <w:tcPr>
            <w:tcW w:w="5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135,535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134,577</w:t>
            </w:r>
          </w:p>
        </w:tc>
      </w:tr>
      <w:tr>
        <w:trPr>
          <w:trHeight w:val="223"/>
        </w:trPr>
        <w:tc>
          <w:tcPr>
            <w:tcW w:w="71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Intangible lease rights</w:t>
            </w: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12,443</w:t>
            </w:r>
          </w:p>
        </w:tc>
      </w:tr>
      <w:tr>
        <w:trPr>
          <w:trHeight w:val="216"/>
        </w:trPr>
        <w:tc>
          <w:tcPr>
            <w:tcW w:w="7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10,797,048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10,643,151</w:t>
            </w:r>
          </w:p>
        </w:tc>
      </w:tr>
      <w:tr>
        <w:trPr>
          <w:trHeight w:val="223"/>
        </w:trPr>
        <w:tc>
          <w:tcPr>
            <w:tcW w:w="71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Less: accumulated depreciation and amortization</w:t>
            </w: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(1,929,716)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(1,867,750)</w:t>
            </w:r>
          </w:p>
        </w:tc>
      </w:tr>
      <w:tr>
        <w:trPr>
          <w:trHeight w:val="216"/>
        </w:trPr>
        <w:tc>
          <w:tcPr>
            <w:tcW w:w="7180" w:type="dxa"/>
            <w:vAlign w:val="bottom"/>
          </w:tcPr>
          <w:p>
            <w:pPr>
              <w:ind w:left="760"/>
              <w:spacing w:after="0"/>
              <w:rPr>
                <w:sz w:val="20"/>
                <w:szCs w:val="20"/>
                <w:color w:val="auto"/>
              </w:rPr>
            </w:pPr>
            <w:r>
              <w:rPr>
                <w:rFonts w:ascii="Arial" w:cs="Arial" w:eastAsia="Arial" w:hAnsi="Arial"/>
                <w:sz w:val="17"/>
                <w:szCs w:val="17"/>
                <w:color w:val="auto"/>
              </w:rPr>
              <w:t>Net operating real estate assets</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8,867,332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8,775,401</w:t>
            </w:r>
          </w:p>
        </w:tc>
      </w:tr>
      <w:tr>
        <w:trPr>
          <w:trHeight w:val="223"/>
        </w:trPr>
        <w:tc>
          <w:tcPr>
            <w:tcW w:w="71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Real estate under development/redevelopment</w:t>
            </w:r>
          </w:p>
        </w:tc>
        <w:tc>
          <w:tcPr>
            <w:tcW w:w="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73,392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59,248</w:t>
            </w:r>
          </w:p>
        </w:tc>
      </w:tr>
      <w:tr>
        <w:trPr>
          <w:trHeight w:val="216"/>
        </w:trPr>
        <w:tc>
          <w:tcPr>
            <w:tcW w:w="7180" w:type="dxa"/>
            <w:vAlign w:val="bottom"/>
          </w:tcPr>
          <w:p>
            <w:pPr>
              <w:ind w:left="760"/>
              <w:spacing w:after="0"/>
              <w:rPr>
                <w:sz w:val="20"/>
                <w:szCs w:val="20"/>
                <w:color w:val="auto"/>
              </w:rPr>
            </w:pPr>
            <w:r>
              <w:rPr>
                <w:rFonts w:ascii="Arial" w:cs="Arial" w:eastAsia="Arial" w:hAnsi="Arial"/>
                <w:sz w:val="17"/>
                <w:szCs w:val="17"/>
                <w:color w:val="auto"/>
              </w:rPr>
              <w:t>Real estate assets, net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8,940,724</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8,834,649</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0"/>
        </w:trPr>
        <w:tc>
          <w:tcPr>
            <w:tcW w:w="71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Real estate assets held for sale included in real estate assets, net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23,742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As of March 31, 2022, the Company had two stores classified as held for sale. The estimated fair value less selling costs of these assets is greater than the carrying value of the assets, and therefore no loss has been recorded related to these assets. Assets held for sale are included in the self-storage operations segment of the Company’s segment information.</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5.</w:t>
        <w:tab/>
        <w:t>EARNINGS PER COMMON SHARE</w:t>
      </w:r>
    </w:p>
    <w:p>
      <w:pPr>
        <w:spacing w:after="0" w:line="256" w:lineRule="exact"/>
        <w:rPr>
          <w:sz w:val="20"/>
          <w:szCs w:val="20"/>
          <w:color w:val="auto"/>
        </w:rPr>
      </w:pPr>
    </w:p>
    <w:p>
      <w:pPr>
        <w:ind w:right="20" w:firstLine="433"/>
        <w:spacing w:after="0" w:line="299" w:lineRule="auto"/>
        <w:rPr>
          <w:sz w:val="20"/>
          <w:szCs w:val="20"/>
          <w:color w:val="auto"/>
        </w:rPr>
      </w:pPr>
      <w:r>
        <w:rPr>
          <w:rFonts w:ascii="Arial" w:cs="Arial" w:eastAsia="Arial" w:hAnsi="Arial"/>
          <w:sz w:val="15"/>
          <w:szCs w:val="15"/>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185" w:lineRule="exact"/>
        <w:rPr>
          <w:sz w:val="20"/>
          <w:szCs w:val="20"/>
          <w:color w:val="auto"/>
        </w:rPr>
      </w:pPr>
    </w:p>
    <w:p>
      <w:pPr>
        <w:ind w:right="100" w:firstLine="433"/>
        <w:spacing w:after="0" w:line="290" w:lineRule="auto"/>
        <w:rPr>
          <w:sz w:val="20"/>
          <w:szCs w:val="20"/>
          <w:color w:val="auto"/>
        </w:rPr>
      </w:pPr>
      <w:r>
        <w:rPr>
          <w:rFonts w:ascii="Arial" w:cs="Arial" w:eastAsia="Arial" w:hAnsi="Arial"/>
          <w:sz w:val="16"/>
          <w:szCs w:val="16"/>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 For the three months ended March 31, 2022 and 2021, there were no anti-dilutive options.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140" w:firstLine="433"/>
        <w:spacing w:after="0" w:line="268" w:lineRule="auto"/>
        <w:rPr>
          <w:sz w:val="20"/>
          <w:szCs w:val="20"/>
          <w:color w:val="auto"/>
        </w:rPr>
      </w:pPr>
      <w:r>
        <w:rPr>
          <w:rFonts w:ascii="Arial" w:cs="Arial" w:eastAsia="Arial" w:hAnsi="Arial"/>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March 31, 2022 and 2021 was $198.83 and $121.07, respectively.</w:t>
      </w:r>
    </w:p>
    <w:p>
      <w:pPr>
        <w:spacing w:after="0" w:line="202" w:lineRule="exact"/>
        <w:rPr>
          <w:sz w:val="20"/>
          <w:szCs w:val="20"/>
          <w:color w:val="auto"/>
        </w:rPr>
      </w:pPr>
    </w:p>
    <w:p>
      <w:pPr>
        <w:ind w:right="680" w:firstLine="433"/>
        <w:spacing w:after="0" w:line="275" w:lineRule="auto"/>
        <w:rPr>
          <w:sz w:val="20"/>
          <w:szCs w:val="20"/>
          <w:color w:val="auto"/>
        </w:rPr>
      </w:pPr>
      <w:r>
        <w:rPr>
          <w:rFonts w:ascii="Arial" w:cs="Arial" w:eastAsia="Arial" w:hAnsi="Arial"/>
          <w:sz w:val="17"/>
          <w:szCs w:val="17"/>
          <w:color w:val="auto"/>
        </w:rPr>
        <w:t>The following table presents the number of Preferred Operating Partnership units, and the potential common shares, that were excluded from the computation of earnings per share as their effect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181"/>
        </w:trPr>
        <w:tc>
          <w:tcPr>
            <w:tcW w:w="778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r>
      <w:tr>
        <w:trPr>
          <w:trHeight w:val="125"/>
        </w:trPr>
        <w:tc>
          <w:tcPr>
            <w:tcW w:w="7780" w:type="dxa"/>
            <w:vAlign w:val="bottom"/>
          </w:tcPr>
          <w:p>
            <w:pPr>
              <w:spacing w:after="0"/>
              <w:rPr>
                <w:sz w:val="10"/>
                <w:szCs w:val="10"/>
                <w:color w:val="auto"/>
              </w:rPr>
            </w:pPr>
          </w:p>
        </w:tc>
        <w:tc>
          <w:tcPr>
            <w:tcW w:w="16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0"/>
              </w:rPr>
              <w:t>Equivalent Shares (if</w:t>
            </w:r>
          </w:p>
        </w:tc>
        <w:tc>
          <w:tcPr>
            <w:tcW w:w="120" w:type="dxa"/>
            <w:vAlign w:val="bottom"/>
          </w:tcPr>
          <w:p>
            <w:pPr>
              <w:spacing w:after="0"/>
              <w:rPr>
                <w:sz w:val="10"/>
                <w:szCs w:val="10"/>
                <w:color w:val="auto"/>
              </w:rPr>
            </w:pPr>
          </w:p>
        </w:tc>
        <w:tc>
          <w:tcPr>
            <w:tcW w:w="17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89"/>
              </w:rPr>
              <w:t>Equivalent Shares (if</w:t>
            </w:r>
          </w:p>
        </w:tc>
      </w:tr>
      <w:tr>
        <w:trPr>
          <w:trHeight w:val="183"/>
        </w:trPr>
        <w:tc>
          <w:tcPr>
            <w:tcW w:w="7780" w:type="dxa"/>
            <w:vAlign w:val="bottom"/>
          </w:tcPr>
          <w:p>
            <w:pPr>
              <w:spacing w:after="0"/>
              <w:rPr>
                <w:sz w:val="15"/>
                <w:szCs w:val="15"/>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converted)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9"/>
              </w:rPr>
              <w:t>converted)</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Units</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182,974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337,839</w:t>
            </w:r>
          </w:p>
        </w:tc>
      </w:tr>
      <w:tr>
        <w:trPr>
          <w:trHeight w:val="20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Series D Units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1,033,222</w:t>
            </w:r>
          </w:p>
        </w:tc>
        <w:tc>
          <w:tcPr>
            <w:tcW w:w="1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78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1,216,196</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337,839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40" w:firstLine="433"/>
        <w:spacing w:after="0" w:line="283" w:lineRule="auto"/>
        <w:rPr>
          <w:sz w:val="20"/>
          <w:szCs w:val="20"/>
          <w:color w:val="auto"/>
        </w:rPr>
      </w:pPr>
      <w:r>
        <w:rPr>
          <w:rFonts w:ascii="Arial" w:cs="Arial" w:eastAsia="Arial" w:hAnsi="Arial"/>
          <w:sz w:val="16"/>
          <w:szCs w:val="16"/>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 Accordingly, the number of shares included in the computation for diluted earnings per share related to the Series A Units is equal to the number of Series A Units outstanding, with no additional shares included related to the fixed $101,700 amount.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computation of earnings per common share is as follows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60" w:type="dxa"/>
            <w:vAlign w:val="bottom"/>
          </w:tcPr>
          <w:p>
            <w:pPr>
              <w:spacing w:after="0"/>
              <w:rPr>
                <w:sz w:val="16"/>
                <w:szCs w:val="16"/>
                <w:color w:val="auto"/>
              </w:rPr>
            </w:pPr>
          </w:p>
        </w:tc>
        <w:tc>
          <w:tcPr>
            <w:tcW w:w="2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For the Three Months Ended March 31,</w:t>
            </w:r>
          </w:p>
        </w:tc>
      </w:tr>
      <w:tr>
        <w:trPr>
          <w:trHeight w:val="181"/>
        </w:trPr>
        <w:tc>
          <w:tcPr>
            <w:tcW w:w="87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r>
      <w:tr>
        <w:trPr>
          <w:trHeight w:val="203"/>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203,579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202,998</w:t>
            </w:r>
          </w:p>
        </w:tc>
      </w:tr>
      <w:tr>
        <w:trPr>
          <w:trHeight w:val="207"/>
        </w:trPr>
        <w:tc>
          <w:tcPr>
            <w:tcW w:w="87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Earnings and dividends allocated to participating securities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r>
      <w:tr>
        <w:trPr>
          <w:trHeight w:val="206"/>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for basic computations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203,293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202,686</w:t>
            </w:r>
          </w:p>
        </w:tc>
      </w:tr>
      <w:tr>
        <w:trPr>
          <w:trHeight w:val="207"/>
        </w:trPr>
        <w:tc>
          <w:tcPr>
            <w:tcW w:w="8760" w:type="dxa"/>
            <w:vAlign w:val="bottom"/>
          </w:tcPr>
          <w:p>
            <w:pPr>
              <w:ind w:left="500"/>
              <w:spacing w:after="0"/>
              <w:rPr>
                <w:sz w:val="20"/>
                <w:szCs w:val="20"/>
                <w:color w:val="auto"/>
              </w:rPr>
            </w:pPr>
            <w:r>
              <w:rPr>
                <w:rFonts w:ascii="Arial" w:cs="Arial" w:eastAsia="Arial" w:hAnsi="Arial"/>
                <w:sz w:val="16"/>
                <w:szCs w:val="16"/>
                <w:color w:val="auto"/>
              </w:rPr>
              <w:t>Income allocated to noncontrolling interest - Preferred Operating Partnership Units and Operating Partnership Units</w:t>
            </w:r>
          </w:p>
        </w:tc>
        <w:tc>
          <w:tcPr>
            <w:tcW w:w="2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11,693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11,894</w:t>
            </w:r>
          </w:p>
        </w:tc>
      </w:tr>
      <w:tr>
        <w:trPr>
          <w:trHeight w:val="213"/>
        </w:trPr>
        <w:tc>
          <w:tcPr>
            <w:tcW w:w="8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Fixed component of income allocated to noncontrolling interest - Preferred Operating Partnership (Series A Units)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00"/>
        </w:trPr>
        <w:tc>
          <w:tcPr>
            <w:tcW w:w="8760" w:type="dxa"/>
            <w:vAlign w:val="bottom"/>
          </w:tcPr>
          <w:p>
            <w:pPr>
              <w:ind w:left="20"/>
              <w:spacing w:after="0"/>
              <w:rPr>
                <w:sz w:val="20"/>
                <w:szCs w:val="20"/>
                <w:color w:val="auto"/>
              </w:rPr>
            </w:pPr>
            <w:r>
              <w:rPr>
                <w:rFonts w:ascii="Arial" w:cs="Arial" w:eastAsia="Arial" w:hAnsi="Arial"/>
                <w:sz w:val="16"/>
                <w:szCs w:val="16"/>
                <w:color w:val="auto"/>
              </w:rPr>
              <w:t>Net income for diluted computations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214,414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214,008</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2"/>
        </w:trPr>
        <w:tc>
          <w:tcPr>
            <w:tcW w:w="8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07"/>
        </w:trPr>
        <w:tc>
          <w:tcPr>
            <w:tcW w:w="876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8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Average number of common shares outstanding - basic</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134,180,175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132,007,556</w:t>
            </w:r>
          </w:p>
        </w:tc>
      </w:tr>
      <w:tr>
        <w:trPr>
          <w:trHeight w:val="207"/>
        </w:trPr>
        <w:tc>
          <w:tcPr>
            <w:tcW w:w="8760" w:type="dxa"/>
            <w:vAlign w:val="bottom"/>
          </w:tcPr>
          <w:p>
            <w:pPr>
              <w:ind w:left="500"/>
              <w:spacing w:after="0"/>
              <w:rPr>
                <w:sz w:val="20"/>
                <w:szCs w:val="20"/>
                <w:color w:val="auto"/>
              </w:rPr>
            </w:pPr>
            <w:r>
              <w:rPr>
                <w:rFonts w:ascii="Arial" w:cs="Arial" w:eastAsia="Arial" w:hAnsi="Arial"/>
                <w:sz w:val="16"/>
                <w:szCs w:val="16"/>
                <w:color w:val="auto"/>
              </w:rPr>
              <w:t>OP Units</w:t>
            </w:r>
          </w:p>
        </w:tc>
        <w:tc>
          <w:tcPr>
            <w:tcW w:w="22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6,520,781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5,800,729</w:t>
            </w:r>
          </w:p>
        </w:tc>
      </w:tr>
      <w:tr>
        <w:trPr>
          <w:trHeight w:val="213"/>
        </w:trPr>
        <w:tc>
          <w:tcPr>
            <w:tcW w:w="8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Series A Units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875,480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875,480</w:t>
            </w:r>
          </w:p>
        </w:tc>
      </w:tr>
      <w:tr>
        <w:trPr>
          <w:trHeight w:val="207"/>
        </w:trPr>
        <w:tc>
          <w:tcPr>
            <w:tcW w:w="8760" w:type="dxa"/>
            <w:vAlign w:val="bottom"/>
          </w:tcPr>
          <w:p>
            <w:pPr>
              <w:ind w:left="500"/>
              <w:spacing w:after="0"/>
              <w:rPr>
                <w:sz w:val="20"/>
                <w:szCs w:val="20"/>
                <w:color w:val="auto"/>
              </w:rPr>
            </w:pPr>
            <w:r>
              <w:rPr>
                <w:rFonts w:ascii="Arial" w:cs="Arial" w:eastAsia="Arial" w:hAnsi="Arial"/>
                <w:sz w:val="16"/>
                <w:szCs w:val="16"/>
                <w:color w:val="auto"/>
              </w:rPr>
              <w:t>Series D Units</w:t>
            </w:r>
          </w:p>
        </w:tc>
        <w:tc>
          <w:tcPr>
            <w:tcW w:w="2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969,374</w:t>
            </w:r>
          </w:p>
        </w:tc>
      </w:tr>
      <w:tr>
        <w:trPr>
          <w:trHeight w:val="213"/>
        </w:trPr>
        <w:tc>
          <w:tcPr>
            <w:tcW w:w="8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Shares related to dilutive stock options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5,426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23,409</w:t>
            </w:r>
          </w:p>
        </w:tc>
      </w:tr>
      <w:tr>
        <w:trPr>
          <w:trHeight w:val="200"/>
        </w:trPr>
        <w:tc>
          <w:tcPr>
            <w:tcW w:w="8760" w:type="dxa"/>
            <w:vAlign w:val="bottom"/>
          </w:tcPr>
          <w:p>
            <w:pPr>
              <w:ind w:left="20"/>
              <w:spacing w:after="0"/>
              <w:rPr>
                <w:sz w:val="20"/>
                <w:szCs w:val="20"/>
                <w:color w:val="auto"/>
              </w:rPr>
            </w:pPr>
            <w:r>
              <w:rPr>
                <w:rFonts w:ascii="Arial" w:cs="Arial" w:eastAsia="Arial" w:hAnsi="Arial"/>
                <w:sz w:val="16"/>
                <w:szCs w:val="16"/>
                <w:color w:val="auto"/>
              </w:rPr>
              <w:t>Average number of common shares outstanding - diluted</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141,581,862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139,676,548</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9"/>
        </w:trPr>
        <w:tc>
          <w:tcPr>
            <w:tcW w:w="8760" w:type="dxa"/>
            <w:vAlign w:val="bottom"/>
            <w:shd w:val="clear" w:color="auto" w:fill="CCEEFF"/>
          </w:tcPr>
          <w:p>
            <w:pPr>
              <w:ind w:left="500"/>
              <w:spacing w:after="0" w:line="179" w:lineRule="exact"/>
              <w:rPr>
                <w:sz w:val="20"/>
                <w:szCs w:val="20"/>
                <w:color w:val="auto"/>
              </w:rPr>
            </w:pPr>
            <w:r>
              <w:rPr>
                <w:rFonts w:ascii="Arial" w:cs="Arial" w:eastAsia="Arial" w:hAnsi="Arial"/>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7"/>
        </w:trPr>
        <w:tc>
          <w:tcPr>
            <w:tcW w:w="8760" w:type="dxa"/>
            <w:vAlign w:val="bottom"/>
          </w:tcPr>
          <w:p>
            <w:pPr>
              <w:ind w:left="50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3"/>
        </w:trPr>
        <w:tc>
          <w:tcPr>
            <w:tcW w:w="87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6.</w:t>
        <w:tab/>
        <w:t>STORE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Acquisitions</w:t>
      </w:r>
    </w:p>
    <w:p>
      <w:pPr>
        <w:spacing w:after="0" w:line="250" w:lineRule="exact"/>
        <w:rPr>
          <w:sz w:val="20"/>
          <w:szCs w:val="20"/>
          <w:color w:val="auto"/>
        </w:rPr>
      </w:pPr>
    </w:p>
    <w:p>
      <w:pPr>
        <w:ind w:right="160" w:firstLine="433"/>
        <w:spacing w:after="0" w:line="269" w:lineRule="auto"/>
        <w:rPr>
          <w:sz w:val="20"/>
          <w:szCs w:val="20"/>
          <w:color w:val="auto"/>
        </w:rPr>
      </w:pPr>
      <w:r>
        <w:rPr>
          <w:rFonts w:ascii="Arial" w:cs="Arial" w:eastAsia="Arial" w:hAnsi="Arial"/>
          <w:sz w:val="17"/>
          <w:szCs w:val="17"/>
          <w:color w:val="auto"/>
        </w:rPr>
        <w:t>The following table shows the Company’s acquisitions of stores for the three months ended March 31, 2022 and 2021. The table excludes purchases of raw land and improvements made to existing assets. All acquisitions are considered asset acquisitions under ASU 2017-01, "</w:t>
      </w:r>
      <w:r>
        <w:rPr>
          <w:rFonts w:ascii="Arial" w:cs="Arial" w:eastAsia="Arial" w:hAnsi="Arial"/>
          <w:sz w:val="17"/>
          <w:szCs w:val="17"/>
          <w:i w:val="1"/>
          <w:iCs w:val="1"/>
          <w:color w:val="auto"/>
        </w:rPr>
        <w:t>Business Combinations (Topic</w:t>
      </w:r>
      <w:r>
        <w:rPr>
          <w:rFonts w:ascii="Arial" w:cs="Arial" w:eastAsia="Arial" w:hAnsi="Arial"/>
          <w:sz w:val="17"/>
          <w:szCs w:val="17"/>
          <w:color w:val="auto"/>
        </w:rPr>
        <w:t xml:space="preserve"> </w:t>
      </w:r>
      <w:r>
        <w:rPr>
          <w:rFonts w:ascii="Arial" w:cs="Arial" w:eastAsia="Arial" w:hAnsi="Arial"/>
          <w:sz w:val="17"/>
          <w:szCs w:val="17"/>
          <w:i w:val="1"/>
          <w:iCs w:val="1"/>
          <w:color w:val="auto"/>
        </w:rPr>
        <w:t>805): Clarifying the Definition of a Business</w:t>
      </w:r>
      <w:r>
        <w:rPr>
          <w:rFonts w:ascii="Arial" w:cs="Arial" w:eastAsia="Arial" w:hAnsi="Arial"/>
          <w:sz w:val="17"/>
          <w:szCs w:val="17"/>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Consideration Paid</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1"/>
        </w:trPr>
        <w:tc>
          <w:tcPr>
            <w:tcW w:w="1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Quarter</w:t>
            </w:r>
          </w:p>
        </w:tc>
        <w:tc>
          <w:tcPr>
            <w:tcW w:w="2420" w:type="dxa"/>
            <w:vAlign w:val="bottom"/>
          </w:tcPr>
          <w:p>
            <w:pPr>
              <w:jc w:val="center"/>
              <w:ind w:left="486"/>
              <w:spacing w:after="0" w:line="131"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Cash Paid</w:t>
            </w:r>
          </w:p>
        </w:tc>
        <w:tc>
          <w:tcPr>
            <w:tcW w:w="120" w:type="dxa"/>
            <w:vAlign w:val="bottom"/>
          </w:tcPr>
          <w:p>
            <w:pPr>
              <w:spacing w:after="0"/>
              <w:rPr>
                <w:sz w:val="11"/>
                <w:szCs w:val="11"/>
                <w:color w:val="auto"/>
              </w:rPr>
            </w:pPr>
          </w:p>
        </w:tc>
        <w:tc>
          <w:tcPr>
            <w:tcW w:w="1300" w:type="dxa"/>
            <w:vAlign w:val="bottom"/>
          </w:tcPr>
          <w:p>
            <w:pPr>
              <w:jc w:val="right"/>
              <w:ind w:right="27"/>
              <w:spacing w:after="0" w:line="131" w:lineRule="exact"/>
              <w:rPr>
                <w:sz w:val="20"/>
                <w:szCs w:val="20"/>
                <w:color w:val="auto"/>
              </w:rPr>
            </w:pPr>
            <w:r>
              <w:rPr>
                <w:rFonts w:ascii="Arial" w:cs="Arial" w:eastAsia="Arial" w:hAnsi="Arial"/>
                <w:sz w:val="14"/>
                <w:szCs w:val="14"/>
                <w:b w:val="1"/>
                <w:bCs w:val="1"/>
                <w:color w:val="auto"/>
                <w:w w:val="89"/>
              </w:rPr>
              <w:t>Investments in Real</w:t>
            </w:r>
          </w:p>
        </w:tc>
        <w:tc>
          <w:tcPr>
            <w:tcW w:w="146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w w:val="89"/>
              </w:rPr>
              <w:t>Net Liabilities/ (Assets)</w:t>
            </w:r>
          </w:p>
        </w:tc>
        <w:tc>
          <w:tcPr>
            <w:tcW w:w="160" w:type="dxa"/>
            <w:vAlign w:val="bottom"/>
          </w:tcPr>
          <w:p>
            <w:pPr>
              <w:spacing w:after="0"/>
              <w:rPr>
                <w:sz w:val="11"/>
                <w:szCs w:val="11"/>
                <w:color w:val="auto"/>
              </w:rPr>
            </w:pPr>
          </w:p>
        </w:tc>
        <w:tc>
          <w:tcPr>
            <w:tcW w:w="1320" w:type="dxa"/>
            <w:vAlign w:val="bottom"/>
          </w:tcPr>
          <w:p>
            <w:pPr>
              <w:jc w:val="right"/>
              <w:ind w:right="126"/>
              <w:spacing w:after="0" w:line="131" w:lineRule="exact"/>
              <w:rPr>
                <w:sz w:val="20"/>
                <w:szCs w:val="20"/>
                <w:color w:val="auto"/>
              </w:rPr>
            </w:pPr>
            <w:r>
              <w:rPr>
                <w:rFonts w:ascii="Arial" w:cs="Arial" w:eastAsia="Arial" w:hAnsi="Arial"/>
                <w:sz w:val="14"/>
                <w:szCs w:val="14"/>
                <w:b w:val="1"/>
                <w:bCs w:val="1"/>
                <w:color w:val="auto"/>
                <w:w w:val="93"/>
              </w:rPr>
              <w:t>Value of OP Units</w:t>
            </w:r>
          </w:p>
        </w:tc>
        <w:tc>
          <w:tcPr>
            <w:tcW w:w="220" w:type="dxa"/>
            <w:vAlign w:val="bottom"/>
          </w:tcPr>
          <w:p>
            <w:pPr>
              <w:spacing w:after="0"/>
              <w:rPr>
                <w:sz w:val="11"/>
                <w:szCs w:val="11"/>
                <w:color w:val="auto"/>
              </w:rPr>
            </w:pPr>
          </w:p>
        </w:tc>
        <w:tc>
          <w:tcPr>
            <w:tcW w:w="840" w:type="dxa"/>
            <w:vAlign w:val="bottom"/>
          </w:tcPr>
          <w:p>
            <w:pPr>
              <w:jc w:val="center"/>
              <w:ind w:right="67"/>
              <w:spacing w:after="0" w:line="131" w:lineRule="exact"/>
              <w:rPr>
                <w:sz w:val="20"/>
                <w:szCs w:val="20"/>
                <w:color w:val="auto"/>
              </w:rPr>
            </w:pPr>
            <w:r>
              <w:rPr>
                <w:rFonts w:ascii="Arial" w:cs="Arial" w:eastAsia="Arial" w:hAnsi="Arial"/>
                <w:sz w:val="14"/>
                <w:szCs w:val="14"/>
                <w:b w:val="1"/>
                <w:bCs w:val="1"/>
                <w:color w:val="auto"/>
                <w:w w:val="89"/>
              </w:rPr>
              <w:t>Real estate</w:t>
            </w:r>
          </w:p>
        </w:tc>
        <w:tc>
          <w:tcPr>
            <w:tcW w:w="0" w:type="dxa"/>
            <w:vAlign w:val="bottom"/>
          </w:tcPr>
          <w:p>
            <w:pPr>
              <w:spacing w:after="0"/>
              <w:rPr>
                <w:sz w:val="1"/>
                <w:szCs w:val="1"/>
                <w:color w:val="auto"/>
              </w:rPr>
            </w:pPr>
          </w:p>
        </w:tc>
      </w:tr>
      <w:tr>
        <w:trPr>
          <w:trHeight w:val="183"/>
        </w:trPr>
        <w:tc>
          <w:tcPr>
            <w:tcW w:w="1740" w:type="dxa"/>
            <w:vAlign w:val="bottom"/>
            <w:vMerge w:val="continue"/>
          </w:tcPr>
          <w:p>
            <w:pPr>
              <w:spacing w:after="0"/>
              <w:rPr>
                <w:sz w:val="15"/>
                <w:szCs w:val="15"/>
                <w:color w:val="auto"/>
              </w:rPr>
            </w:pPr>
          </w:p>
        </w:tc>
        <w:tc>
          <w:tcPr>
            <w:tcW w:w="2420" w:type="dxa"/>
            <w:vAlign w:val="bottom"/>
          </w:tcPr>
          <w:p>
            <w:pPr>
              <w:jc w:val="center"/>
              <w:ind w:left="486"/>
              <w:spacing w:after="0"/>
              <w:rPr>
                <w:sz w:val="20"/>
                <w:szCs w:val="20"/>
                <w:color w:val="auto"/>
              </w:rPr>
            </w:pPr>
            <w:r>
              <w:rPr>
                <w:rFonts w:ascii="Arial" w:cs="Arial" w:eastAsia="Arial" w:hAnsi="Arial"/>
                <w:sz w:val="14"/>
                <w:szCs w:val="14"/>
                <w:b w:val="1"/>
                <w:bCs w:val="1"/>
                <w:color w:val="auto"/>
                <w:w w:val="87"/>
              </w:rPr>
              <w:t>Stores</w:t>
            </w:r>
          </w:p>
        </w:tc>
        <w:tc>
          <w:tcPr>
            <w:tcW w:w="2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147"/>
              <w:spacing w:after="0"/>
              <w:rPr>
                <w:sz w:val="20"/>
                <w:szCs w:val="20"/>
                <w:color w:val="auto"/>
              </w:rPr>
            </w:pPr>
            <w:r>
              <w:rPr>
                <w:rFonts w:ascii="Arial" w:cs="Arial" w:eastAsia="Arial" w:hAnsi="Arial"/>
                <w:sz w:val="14"/>
                <w:szCs w:val="14"/>
                <w:b w:val="1"/>
                <w:bCs w:val="1"/>
                <w:color w:val="auto"/>
              </w:rPr>
              <w:t>Estate Ventures</w:t>
            </w:r>
          </w:p>
        </w:tc>
        <w:tc>
          <w:tcPr>
            <w:tcW w:w="1040" w:type="dxa"/>
            <w:vAlign w:val="bottom"/>
          </w:tcPr>
          <w:p>
            <w:pPr>
              <w:ind w:left="480"/>
              <w:spacing w:after="0"/>
              <w:rPr>
                <w:sz w:val="20"/>
                <w:szCs w:val="20"/>
                <w:color w:val="auto"/>
              </w:rPr>
            </w:pPr>
            <w:r>
              <w:rPr>
                <w:rFonts w:ascii="Arial" w:cs="Arial" w:eastAsia="Arial" w:hAnsi="Arial"/>
                <w:sz w:val="14"/>
                <w:szCs w:val="14"/>
                <w:b w:val="1"/>
                <w:bCs w:val="1"/>
                <w:color w:val="auto"/>
                <w:w w:val="85"/>
              </w:rPr>
              <w:t>Assumed</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486"/>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5"/>
                <w:szCs w:val="15"/>
                <w:color w:val="auto"/>
              </w:rPr>
            </w:pPr>
          </w:p>
        </w:tc>
        <w:tc>
          <w:tcPr>
            <w:tcW w:w="840" w:type="dxa"/>
            <w:vAlign w:val="bottom"/>
          </w:tcPr>
          <w:p>
            <w:pPr>
              <w:jc w:val="center"/>
              <w:ind w:right="67"/>
              <w:spacing w:after="0"/>
              <w:rPr>
                <w:sz w:val="20"/>
                <w:szCs w:val="20"/>
                <w:color w:val="auto"/>
              </w:rPr>
            </w:pPr>
            <w:r>
              <w:rPr>
                <w:rFonts w:ascii="Arial" w:cs="Arial" w:eastAsia="Arial" w:hAnsi="Arial"/>
                <w:sz w:val="14"/>
                <w:szCs w:val="14"/>
                <w:b w:val="1"/>
                <w:bCs w:val="1"/>
                <w:color w:val="auto"/>
                <w:w w:val="77"/>
              </w:rPr>
              <w:t>assets</w:t>
            </w:r>
          </w:p>
        </w:tc>
        <w:tc>
          <w:tcPr>
            <w:tcW w:w="0" w:type="dxa"/>
            <w:vAlign w:val="bottom"/>
          </w:tcPr>
          <w:p>
            <w:pPr>
              <w:spacing w:after="0"/>
              <w:rPr>
                <w:sz w:val="1"/>
                <w:szCs w:val="1"/>
                <w:color w:val="auto"/>
              </w:rPr>
            </w:pPr>
          </w:p>
        </w:tc>
      </w:tr>
      <w:tr>
        <w:trPr>
          <w:trHeight w:val="203"/>
        </w:trPr>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Q1 2022</w:t>
            </w:r>
          </w:p>
        </w:tc>
        <w:tc>
          <w:tcPr>
            <w:tcW w:w="2420" w:type="dxa"/>
            <w:vAlign w:val="bottom"/>
            <w:tcBorders>
              <w:top w:val="single" w:sz="8" w:color="auto"/>
            </w:tcBorders>
            <w:shd w:val="clear" w:color="auto" w:fill="CCEEFF"/>
          </w:tcPr>
          <w:p>
            <w:pPr>
              <w:jc w:val="right"/>
              <w:ind w:right="786"/>
              <w:spacing w:after="0"/>
              <w:rPr>
                <w:sz w:val="20"/>
                <w:szCs w:val="20"/>
                <w:color w:val="auto"/>
              </w:rPr>
            </w:pPr>
            <w:r>
              <w:rPr>
                <w:rFonts w:ascii="Arial" w:cs="Arial" w:eastAsia="Arial" w:hAnsi="Arial"/>
                <w:sz w:val="16"/>
                <w:szCs w:val="16"/>
                <w:color w:val="auto"/>
              </w:rPr>
              <w:t>14</w:t>
            </w: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185,910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40,965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227,896</w:t>
            </w:r>
          </w:p>
        </w:tc>
        <w:tc>
          <w:tcPr>
            <w:tcW w:w="0" w:type="dxa"/>
            <w:vAlign w:val="bottom"/>
          </w:tcPr>
          <w:p>
            <w:pPr>
              <w:spacing w:after="0"/>
              <w:rPr>
                <w:sz w:val="1"/>
                <w:szCs w:val="1"/>
                <w:color w:val="auto"/>
              </w:rPr>
            </w:pPr>
          </w:p>
        </w:tc>
      </w:tr>
      <w:tr>
        <w:trPr>
          <w:trHeight w:val="203"/>
        </w:trPr>
        <w:tc>
          <w:tcPr>
            <w:tcW w:w="1740" w:type="dxa"/>
            <w:vAlign w:val="bottom"/>
          </w:tcPr>
          <w:p>
            <w:pPr>
              <w:ind w:left="20"/>
              <w:spacing w:after="0"/>
              <w:rPr>
                <w:sz w:val="20"/>
                <w:szCs w:val="20"/>
                <w:color w:val="auto"/>
              </w:rPr>
            </w:pPr>
            <w:r>
              <w:rPr>
                <w:rFonts w:ascii="Arial" w:cs="Arial" w:eastAsia="Arial" w:hAnsi="Arial"/>
                <w:sz w:val="16"/>
                <w:szCs w:val="16"/>
                <w:color w:val="auto"/>
              </w:rPr>
              <w:t>Q1 2021</w:t>
            </w:r>
          </w:p>
        </w:tc>
        <w:tc>
          <w:tcPr>
            <w:tcW w:w="2420" w:type="dxa"/>
            <w:vAlign w:val="bottom"/>
          </w:tcPr>
          <w:p>
            <w:pPr>
              <w:jc w:val="right"/>
              <w:ind w:right="806"/>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148,940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2,944</w:t>
            </w:r>
          </w:p>
        </w:tc>
        <w:tc>
          <w:tcPr>
            <w:tcW w:w="160" w:type="dxa"/>
            <w:vAlign w:val="bottom"/>
          </w:tcPr>
          <w:p>
            <w:pPr>
              <w:spacing w:after="0"/>
              <w:rPr>
                <w:sz w:val="17"/>
                <w:szCs w:val="17"/>
                <w:color w:val="auto"/>
              </w:rPr>
            </w:pPr>
          </w:p>
        </w:tc>
        <w:tc>
          <w:tcPr>
            <w:tcW w:w="13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151,884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7.</w:t>
        <w:tab/>
        <w:t>INVESTMENTS IN UNCONSOLIDATED REAL ESTATE ENTITIES</w:t>
      </w:r>
    </w:p>
    <w:p>
      <w:pPr>
        <w:spacing w:after="0" w:line="230" w:lineRule="exact"/>
        <w:rPr>
          <w:sz w:val="20"/>
          <w:szCs w:val="20"/>
          <w:color w:val="auto"/>
        </w:rPr>
      </w:pPr>
    </w:p>
    <w:p>
      <w:pPr>
        <w:ind w:right="20" w:firstLine="433"/>
        <w:spacing w:after="0" w:line="264" w:lineRule="auto"/>
        <w:rPr>
          <w:sz w:val="20"/>
          <w:szCs w:val="20"/>
          <w:color w:val="auto"/>
        </w:rPr>
      </w:pPr>
      <w:r>
        <w:rPr>
          <w:rFonts w:ascii="Arial" w:cs="Arial" w:eastAsia="Arial" w:hAnsi="Arial"/>
          <w:sz w:val="17"/>
          <w:szCs w:val="17"/>
          <w:color w:val="auto"/>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9" w:lineRule="exact"/>
        <w:rPr>
          <w:sz w:val="20"/>
          <w:szCs w:val="20"/>
          <w:color w:val="auto"/>
        </w:rPr>
      </w:pPr>
    </w:p>
    <w:p>
      <w:pPr>
        <w:ind w:right="60" w:firstLine="433"/>
        <w:spacing w:after="0" w:line="273" w:lineRule="auto"/>
        <w:rPr>
          <w:sz w:val="20"/>
          <w:szCs w:val="20"/>
          <w:color w:val="auto"/>
        </w:rPr>
      </w:pPr>
      <w:r>
        <w:rPr>
          <w:rFonts w:ascii="Arial" w:cs="Arial" w:eastAsia="Arial" w:hAnsi="Arial"/>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spacing w:after="0" w:line="198" w:lineRule="exact"/>
        <w:rPr>
          <w:sz w:val="20"/>
          <w:szCs w:val="20"/>
          <w:color w:val="auto"/>
        </w:rPr>
      </w:pPr>
    </w:p>
    <w:p>
      <w:pPr>
        <w:ind w:firstLine="433"/>
        <w:spacing w:after="0" w:line="290" w:lineRule="auto"/>
        <w:rPr>
          <w:sz w:val="20"/>
          <w:szCs w:val="20"/>
          <w:color w:val="auto"/>
        </w:rPr>
      </w:pPr>
      <w:r>
        <w:rPr>
          <w:rFonts w:ascii="Arial" w:cs="Arial" w:eastAsia="Arial" w:hAnsi="Arial"/>
          <w:sz w:val="16"/>
          <w:szCs w:val="16"/>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57" w:right="41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Net investments in unconsolidated real estate ventures and cash distributions in unconsolidated real estate ventures consist of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Pr>
          <w:p>
            <w:pPr>
              <w:spacing w:after="0"/>
              <w:rPr>
                <w:sz w:val="15"/>
                <w:szCs w:val="15"/>
                <w:color w:val="auto"/>
              </w:rPr>
            </w:pPr>
          </w:p>
        </w:tc>
        <w:tc>
          <w:tcPr>
            <w:tcW w:w="1060" w:type="dxa"/>
            <w:vAlign w:val="bottom"/>
            <w:vMerge w:val="restart"/>
          </w:tcPr>
          <w:p>
            <w:pPr>
              <w:jc w:val="center"/>
              <w:ind w:left="355"/>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5"/>
                <w:szCs w:val="15"/>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1220" w:type="dxa"/>
            <w:vAlign w:val="bottom"/>
            <w:gridSpan w:val="2"/>
            <w:vMerge w:val="restart"/>
          </w:tcPr>
          <w:p>
            <w:pPr>
              <w:jc w:val="center"/>
              <w:ind w:left="255"/>
              <w:spacing w:after="0"/>
              <w:rPr>
                <w:sz w:val="20"/>
                <w:szCs w:val="20"/>
                <w:color w:val="auto"/>
              </w:rPr>
            </w:pPr>
            <w:r>
              <w:rPr>
                <w:rFonts w:ascii="Arial" w:cs="Arial" w:eastAsia="Arial" w:hAnsi="Arial"/>
                <w:sz w:val="14"/>
                <w:szCs w:val="14"/>
                <w:b w:val="1"/>
                <w:bCs w:val="1"/>
                <w:color w:val="auto"/>
                <w:w w:val="82"/>
              </w:rPr>
              <w:t>Excess</w:t>
            </w:r>
          </w:p>
        </w:tc>
        <w:tc>
          <w:tcPr>
            <w:tcW w:w="64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5"/>
                <w:szCs w:val="15"/>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37"/>
        </w:trPr>
        <w:tc>
          <w:tcPr>
            <w:tcW w:w="42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line="20" w:lineRule="exact"/>
              <w:rPr>
                <w:sz w:val="1"/>
                <w:szCs w:val="1"/>
                <w:color w:val="auto"/>
              </w:rPr>
            </w:pPr>
          </w:p>
        </w:tc>
      </w:tr>
      <w:tr>
        <w:trPr>
          <w:trHeight w:val="184"/>
        </w:trPr>
        <w:tc>
          <w:tcPr>
            <w:tcW w:w="426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of Stores</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Ownership %</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240"/>
              <w:spacing w:after="0" w:line="183" w:lineRule="exact"/>
              <w:rPr>
                <w:sz w:val="20"/>
                <w:szCs w:val="20"/>
                <w:color w:val="auto"/>
              </w:rPr>
            </w:pPr>
            <w:r>
              <w:rPr>
                <w:rFonts w:ascii="Arial" w:cs="Arial" w:eastAsia="Arial" w:hAnsi="Arial"/>
                <w:sz w:val="14"/>
                <w:szCs w:val="14"/>
                <w:b w:val="1"/>
                <w:bCs w:val="1"/>
                <w:color w:val="auto"/>
              </w:rPr>
              <w:t xml:space="preserve">Profit %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PRISA Self Storage LLC</w:t>
            </w:r>
          </w:p>
        </w:tc>
        <w:tc>
          <w:tcPr>
            <w:tcW w:w="10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4"/>
              </w:rPr>
              <w:t>85</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7"/>
              </w:rPr>
              <w:t>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7"/>
              </w:rPr>
              <w:t>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8,792</w:t>
            </w:r>
          </w:p>
        </w:tc>
        <w:tc>
          <w:tcPr>
            <w:tcW w:w="0" w:type="dxa"/>
            <w:vAlign w:val="bottom"/>
          </w:tcPr>
          <w:p>
            <w:pPr>
              <w:spacing w:after="0"/>
              <w:rPr>
                <w:sz w:val="1"/>
                <w:szCs w:val="1"/>
                <w:color w:val="auto"/>
              </w:rPr>
            </w:pPr>
          </w:p>
        </w:tc>
      </w:tr>
      <w:tr>
        <w:trPr>
          <w:trHeight w:val="223"/>
        </w:trPr>
        <w:tc>
          <w:tcPr>
            <w:tcW w:w="4260" w:type="dxa"/>
            <w:vAlign w:val="bottom"/>
          </w:tcPr>
          <w:p>
            <w:pPr>
              <w:ind w:left="460"/>
              <w:spacing w:after="0"/>
              <w:rPr>
                <w:sz w:val="20"/>
                <w:szCs w:val="20"/>
                <w:color w:val="auto"/>
              </w:rPr>
            </w:pPr>
            <w:r>
              <w:rPr>
                <w:rFonts w:ascii="Arial" w:cs="Arial" w:eastAsia="Arial" w:hAnsi="Arial"/>
                <w:sz w:val="17"/>
                <w:szCs w:val="17"/>
                <w:color w:val="auto"/>
              </w:rPr>
              <w:t>Storage Portfolio II JV LLC</w:t>
            </w:r>
          </w:p>
        </w:tc>
        <w:tc>
          <w:tcPr>
            <w:tcW w:w="1060" w:type="dxa"/>
            <w:vAlign w:val="bottom"/>
          </w:tcPr>
          <w:p>
            <w:pPr>
              <w:jc w:val="center"/>
              <w:ind w:left="355"/>
              <w:spacing w:after="0"/>
              <w:rPr>
                <w:sz w:val="20"/>
                <w:szCs w:val="20"/>
                <w:color w:val="auto"/>
              </w:rPr>
            </w:pPr>
            <w:r>
              <w:rPr>
                <w:rFonts w:ascii="Arial" w:cs="Arial" w:eastAsia="Arial" w:hAnsi="Arial"/>
                <w:sz w:val="17"/>
                <w:szCs w:val="17"/>
                <w:color w:val="auto"/>
                <w:w w:val="94"/>
              </w:rPr>
              <w:t>36</w:t>
            </w:r>
          </w:p>
        </w:tc>
        <w:tc>
          <w:tcPr>
            <w:tcW w:w="1160" w:type="dxa"/>
            <w:vAlign w:val="bottom"/>
            <w:gridSpan w:val="2"/>
          </w:tcPr>
          <w:p>
            <w:pPr>
              <w:jc w:val="center"/>
              <w:ind w:left="473"/>
              <w:spacing w:after="0"/>
              <w:rPr>
                <w:sz w:val="20"/>
                <w:szCs w:val="20"/>
                <w:color w:val="auto"/>
              </w:rPr>
            </w:pPr>
            <w:r>
              <w:rPr>
                <w:rFonts w:ascii="Arial" w:cs="Arial" w:eastAsia="Arial" w:hAnsi="Arial"/>
                <w:sz w:val="17"/>
                <w:szCs w:val="17"/>
                <w:color w:val="auto"/>
                <w:w w:val="93"/>
              </w:rPr>
              <w:t>10%</w:t>
            </w:r>
          </w:p>
        </w:tc>
        <w:tc>
          <w:tcPr>
            <w:tcW w:w="1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Arial" w:cs="Arial" w:eastAsia="Arial" w:hAnsi="Arial"/>
                <w:sz w:val="17"/>
                <w:szCs w:val="17"/>
                <w:color w:val="auto"/>
                <w:w w:val="93"/>
              </w:rPr>
              <w:t>30%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(6,116)</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Storage Portfolio IV JV LLC</w:t>
            </w:r>
          </w:p>
        </w:tc>
        <w:tc>
          <w:tcPr>
            <w:tcW w:w="10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4"/>
              </w:rPr>
              <w:t>29</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3"/>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40,174</w:t>
            </w:r>
          </w:p>
        </w:tc>
        <w:tc>
          <w:tcPr>
            <w:tcW w:w="0" w:type="dxa"/>
            <w:vAlign w:val="bottom"/>
          </w:tcPr>
          <w:p>
            <w:pPr>
              <w:spacing w:after="0"/>
              <w:rPr>
                <w:sz w:val="1"/>
                <w:szCs w:val="1"/>
                <w:color w:val="auto"/>
              </w:rPr>
            </w:pPr>
          </w:p>
        </w:tc>
      </w:tr>
      <w:tr>
        <w:trPr>
          <w:trHeight w:val="223"/>
        </w:trPr>
        <w:tc>
          <w:tcPr>
            <w:tcW w:w="4260" w:type="dxa"/>
            <w:vAlign w:val="bottom"/>
          </w:tcPr>
          <w:p>
            <w:pPr>
              <w:ind w:left="460"/>
              <w:spacing w:after="0"/>
              <w:rPr>
                <w:sz w:val="20"/>
                <w:szCs w:val="20"/>
                <w:color w:val="auto"/>
              </w:rPr>
            </w:pPr>
            <w:r>
              <w:rPr>
                <w:rFonts w:ascii="Arial" w:cs="Arial" w:eastAsia="Arial" w:hAnsi="Arial"/>
                <w:sz w:val="17"/>
                <w:szCs w:val="17"/>
                <w:color w:val="auto"/>
              </w:rPr>
              <w:t>Storage Portfolio I LLC</w:t>
            </w:r>
          </w:p>
        </w:tc>
        <w:tc>
          <w:tcPr>
            <w:tcW w:w="1060" w:type="dxa"/>
            <w:vAlign w:val="bottom"/>
          </w:tcPr>
          <w:p>
            <w:pPr>
              <w:jc w:val="center"/>
              <w:ind w:left="355"/>
              <w:spacing w:after="0"/>
              <w:rPr>
                <w:sz w:val="20"/>
                <w:szCs w:val="20"/>
                <w:color w:val="auto"/>
              </w:rPr>
            </w:pPr>
            <w:r>
              <w:rPr>
                <w:rFonts w:ascii="Arial" w:cs="Arial" w:eastAsia="Arial" w:hAnsi="Arial"/>
                <w:sz w:val="17"/>
                <w:szCs w:val="17"/>
                <w:color w:val="auto"/>
                <w:w w:val="94"/>
              </w:rPr>
              <w:t>24</w:t>
            </w:r>
          </w:p>
        </w:tc>
        <w:tc>
          <w:tcPr>
            <w:tcW w:w="1160" w:type="dxa"/>
            <w:vAlign w:val="bottom"/>
            <w:gridSpan w:val="2"/>
          </w:tcPr>
          <w:p>
            <w:pPr>
              <w:jc w:val="center"/>
              <w:ind w:left="473"/>
              <w:spacing w:after="0"/>
              <w:rPr>
                <w:sz w:val="20"/>
                <w:szCs w:val="20"/>
                <w:color w:val="auto"/>
              </w:rPr>
            </w:pPr>
            <w:r>
              <w:rPr>
                <w:rFonts w:ascii="Arial" w:cs="Arial" w:eastAsia="Arial" w:hAnsi="Arial"/>
                <w:sz w:val="17"/>
                <w:szCs w:val="17"/>
                <w:color w:val="auto"/>
                <w:w w:val="93"/>
              </w:rPr>
              <w:t>34%</w:t>
            </w:r>
          </w:p>
        </w:tc>
        <w:tc>
          <w:tcPr>
            <w:tcW w:w="1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Arial" w:cs="Arial" w:eastAsia="Arial" w:hAnsi="Arial"/>
                <w:sz w:val="17"/>
                <w:szCs w:val="17"/>
                <w:color w:val="auto"/>
                <w:w w:val="93"/>
              </w:rPr>
              <w:t>49%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(40,447)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(40,168)</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PR II EXR JV LLC</w:t>
            </w:r>
          </w:p>
        </w:tc>
        <w:tc>
          <w:tcPr>
            <w:tcW w:w="10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4"/>
              </w:rPr>
              <w:t>18</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3"/>
              </w:rPr>
              <w:t>25%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70,131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70,403</w:t>
            </w:r>
          </w:p>
        </w:tc>
        <w:tc>
          <w:tcPr>
            <w:tcW w:w="0" w:type="dxa"/>
            <w:vAlign w:val="bottom"/>
          </w:tcPr>
          <w:p>
            <w:pPr>
              <w:spacing w:after="0"/>
              <w:rPr>
                <w:sz w:val="1"/>
                <w:szCs w:val="1"/>
                <w:color w:val="auto"/>
              </w:rPr>
            </w:pPr>
          </w:p>
        </w:tc>
      </w:tr>
      <w:tr>
        <w:trPr>
          <w:trHeight w:val="223"/>
        </w:trPr>
        <w:tc>
          <w:tcPr>
            <w:tcW w:w="4260" w:type="dxa"/>
            <w:vAlign w:val="bottom"/>
          </w:tcPr>
          <w:p>
            <w:pPr>
              <w:ind w:left="460"/>
              <w:spacing w:after="0"/>
              <w:rPr>
                <w:sz w:val="20"/>
                <w:szCs w:val="20"/>
                <w:color w:val="auto"/>
              </w:rPr>
            </w:pPr>
            <w:r>
              <w:rPr>
                <w:rFonts w:ascii="Arial" w:cs="Arial" w:eastAsia="Arial" w:hAnsi="Arial"/>
                <w:sz w:val="17"/>
                <w:szCs w:val="17"/>
                <w:color w:val="auto"/>
              </w:rPr>
              <w:t>ESS-CA TIVS JV LP</w:t>
            </w:r>
          </w:p>
        </w:tc>
        <w:tc>
          <w:tcPr>
            <w:tcW w:w="1060" w:type="dxa"/>
            <w:vAlign w:val="bottom"/>
          </w:tcPr>
          <w:p>
            <w:pPr>
              <w:jc w:val="center"/>
              <w:ind w:left="355"/>
              <w:spacing w:after="0"/>
              <w:rPr>
                <w:sz w:val="20"/>
                <w:szCs w:val="20"/>
                <w:color w:val="auto"/>
              </w:rPr>
            </w:pPr>
            <w:r>
              <w:rPr>
                <w:rFonts w:ascii="Arial" w:cs="Arial" w:eastAsia="Arial" w:hAnsi="Arial"/>
                <w:sz w:val="17"/>
                <w:szCs w:val="17"/>
                <w:color w:val="auto"/>
                <w:w w:val="94"/>
              </w:rPr>
              <w:t>16</w:t>
            </w:r>
          </w:p>
        </w:tc>
        <w:tc>
          <w:tcPr>
            <w:tcW w:w="1160" w:type="dxa"/>
            <w:vAlign w:val="bottom"/>
            <w:gridSpan w:val="2"/>
          </w:tcPr>
          <w:p>
            <w:pPr>
              <w:jc w:val="center"/>
              <w:ind w:left="473"/>
              <w:spacing w:after="0"/>
              <w:rPr>
                <w:sz w:val="20"/>
                <w:szCs w:val="20"/>
                <w:color w:val="auto"/>
              </w:rPr>
            </w:pPr>
            <w:r>
              <w:rPr>
                <w:rFonts w:ascii="Arial" w:cs="Arial" w:eastAsia="Arial" w:hAnsi="Arial"/>
                <w:sz w:val="17"/>
                <w:szCs w:val="17"/>
                <w:color w:val="auto"/>
                <w:w w:val="93"/>
              </w:rPr>
              <w:t>55%</w:t>
            </w:r>
          </w:p>
        </w:tc>
        <w:tc>
          <w:tcPr>
            <w:tcW w:w="1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Arial" w:cs="Arial" w:eastAsia="Arial" w:hAnsi="Arial"/>
                <w:sz w:val="17"/>
                <w:szCs w:val="17"/>
                <w:color w:val="auto"/>
                <w:w w:val="93"/>
              </w:rPr>
              <w:t>60%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32,582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32,288</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VRS Self Storage, LLC</w:t>
            </w:r>
          </w:p>
        </w:tc>
        <w:tc>
          <w:tcPr>
            <w:tcW w:w="10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4"/>
              </w:rPr>
              <w:t>16</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3"/>
              </w:rPr>
              <w:t>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(14,269)</w:t>
            </w:r>
          </w:p>
        </w:tc>
        <w:tc>
          <w:tcPr>
            <w:tcW w:w="0" w:type="dxa"/>
            <w:vAlign w:val="bottom"/>
          </w:tcPr>
          <w:p>
            <w:pPr>
              <w:spacing w:after="0"/>
              <w:rPr>
                <w:sz w:val="1"/>
                <w:szCs w:val="1"/>
                <w:color w:val="auto"/>
              </w:rPr>
            </w:pPr>
          </w:p>
        </w:tc>
      </w:tr>
      <w:tr>
        <w:trPr>
          <w:trHeight w:val="223"/>
        </w:trPr>
        <w:tc>
          <w:tcPr>
            <w:tcW w:w="4260" w:type="dxa"/>
            <w:vAlign w:val="bottom"/>
          </w:tcPr>
          <w:p>
            <w:pPr>
              <w:ind w:left="460"/>
              <w:spacing w:after="0"/>
              <w:rPr>
                <w:sz w:val="20"/>
                <w:szCs w:val="20"/>
                <w:color w:val="auto"/>
              </w:rPr>
            </w:pPr>
            <w:r>
              <w:rPr>
                <w:rFonts w:ascii="Arial" w:cs="Arial" w:eastAsia="Arial" w:hAnsi="Arial"/>
                <w:sz w:val="17"/>
                <w:szCs w:val="17"/>
                <w:color w:val="auto"/>
              </w:rPr>
              <w:t>ESS-NYFL JV LP</w:t>
            </w:r>
          </w:p>
        </w:tc>
        <w:tc>
          <w:tcPr>
            <w:tcW w:w="1060" w:type="dxa"/>
            <w:vAlign w:val="bottom"/>
          </w:tcPr>
          <w:p>
            <w:pPr>
              <w:jc w:val="center"/>
              <w:ind w:left="375"/>
              <w:spacing w:after="0"/>
              <w:rPr>
                <w:sz w:val="20"/>
                <w:szCs w:val="20"/>
                <w:color w:val="auto"/>
              </w:rPr>
            </w:pPr>
            <w:r>
              <w:rPr>
                <w:rFonts w:ascii="Arial" w:cs="Arial" w:eastAsia="Arial" w:hAnsi="Arial"/>
                <w:sz w:val="17"/>
                <w:szCs w:val="17"/>
                <w:color w:val="auto"/>
                <w:w w:val="84"/>
              </w:rPr>
              <w:t>11</w:t>
            </w:r>
          </w:p>
        </w:tc>
        <w:tc>
          <w:tcPr>
            <w:tcW w:w="1160" w:type="dxa"/>
            <w:vAlign w:val="bottom"/>
            <w:gridSpan w:val="2"/>
          </w:tcPr>
          <w:p>
            <w:pPr>
              <w:jc w:val="center"/>
              <w:ind w:left="473"/>
              <w:spacing w:after="0"/>
              <w:rPr>
                <w:sz w:val="20"/>
                <w:szCs w:val="20"/>
                <w:color w:val="auto"/>
              </w:rPr>
            </w:pPr>
            <w:r>
              <w:rPr>
                <w:rFonts w:ascii="Arial" w:cs="Arial" w:eastAsia="Arial" w:hAnsi="Arial"/>
                <w:sz w:val="17"/>
                <w:szCs w:val="17"/>
                <w:color w:val="auto"/>
                <w:w w:val="93"/>
              </w:rPr>
              <w:t>16%</w:t>
            </w:r>
          </w:p>
        </w:tc>
        <w:tc>
          <w:tcPr>
            <w:tcW w:w="1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Arial" w:cs="Arial" w:eastAsia="Arial" w:hAnsi="Arial"/>
                <w:sz w:val="17"/>
                <w:szCs w:val="17"/>
                <w:color w:val="auto"/>
                <w:w w:val="93"/>
              </w:rPr>
              <w:t>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11,746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11,796</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Extra Space Northern Properties Six LLC</w:t>
            </w:r>
          </w:p>
        </w:tc>
        <w:tc>
          <w:tcPr>
            <w:tcW w:w="10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4"/>
              </w:rPr>
              <w:t>10</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3"/>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(3,029)</w:t>
            </w:r>
          </w:p>
        </w:tc>
        <w:tc>
          <w:tcPr>
            <w:tcW w:w="0" w:type="dxa"/>
            <w:vAlign w:val="bottom"/>
          </w:tcPr>
          <w:p>
            <w:pPr>
              <w:spacing w:after="0"/>
              <w:rPr>
                <w:sz w:val="1"/>
                <w:szCs w:val="1"/>
                <w:color w:val="auto"/>
              </w:rPr>
            </w:pPr>
          </w:p>
        </w:tc>
      </w:tr>
      <w:tr>
        <w:trPr>
          <w:trHeight w:val="223"/>
        </w:trPr>
        <w:tc>
          <w:tcPr>
            <w:tcW w:w="4260" w:type="dxa"/>
            <w:vAlign w:val="bottom"/>
          </w:tcPr>
          <w:p>
            <w:pPr>
              <w:ind w:left="460"/>
              <w:spacing w:after="0"/>
              <w:rPr>
                <w:sz w:val="20"/>
                <w:szCs w:val="20"/>
                <w:color w:val="auto"/>
              </w:rPr>
            </w:pPr>
            <w:r>
              <w:rPr>
                <w:rFonts w:ascii="Arial" w:cs="Arial" w:eastAsia="Arial" w:hAnsi="Arial"/>
                <w:sz w:val="17"/>
                <w:szCs w:val="17"/>
                <w:color w:val="auto"/>
              </w:rPr>
              <w:t>Alan Jathoo JV LLC</w:t>
            </w:r>
          </w:p>
        </w:tc>
        <w:tc>
          <w:tcPr>
            <w:tcW w:w="1060" w:type="dxa"/>
            <w:vAlign w:val="bottom"/>
          </w:tcPr>
          <w:p>
            <w:pPr>
              <w:jc w:val="center"/>
              <w:ind w:left="375"/>
              <w:spacing w:after="0"/>
              <w:rPr>
                <w:sz w:val="20"/>
                <w:szCs w:val="20"/>
                <w:color w:val="auto"/>
              </w:rPr>
            </w:pPr>
            <w:r>
              <w:rPr>
                <w:rFonts w:ascii="Arial" w:cs="Arial" w:eastAsia="Arial" w:hAnsi="Arial"/>
                <w:sz w:val="17"/>
                <w:szCs w:val="17"/>
                <w:color w:val="auto"/>
                <w:w w:val="84"/>
              </w:rPr>
              <w:t>9</w:t>
            </w:r>
          </w:p>
        </w:tc>
        <w:tc>
          <w:tcPr>
            <w:tcW w:w="1160" w:type="dxa"/>
            <w:vAlign w:val="bottom"/>
            <w:gridSpan w:val="2"/>
          </w:tcPr>
          <w:p>
            <w:pPr>
              <w:jc w:val="center"/>
              <w:ind w:left="473"/>
              <w:spacing w:after="0"/>
              <w:rPr>
                <w:sz w:val="20"/>
                <w:szCs w:val="20"/>
                <w:color w:val="auto"/>
              </w:rPr>
            </w:pPr>
            <w:r>
              <w:rPr>
                <w:rFonts w:ascii="Arial" w:cs="Arial" w:eastAsia="Arial" w:hAnsi="Arial"/>
                <w:sz w:val="17"/>
                <w:szCs w:val="17"/>
                <w:color w:val="auto"/>
                <w:w w:val="93"/>
              </w:rPr>
              <w:t>10%</w:t>
            </w:r>
          </w:p>
        </w:tc>
        <w:tc>
          <w:tcPr>
            <w:tcW w:w="1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Arial" w:cs="Arial" w:eastAsia="Arial" w:hAnsi="Arial"/>
                <w:sz w:val="17"/>
                <w:szCs w:val="17"/>
                <w:color w:val="auto"/>
                <w:w w:val="93"/>
              </w:rPr>
              <w:t>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7,621</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ESS Bristol Investments LLC</w:t>
            </w:r>
          </w:p>
        </w:tc>
        <w:tc>
          <w:tcPr>
            <w:tcW w:w="1060" w:type="dxa"/>
            <w:vAlign w:val="bottom"/>
            <w:shd w:val="clear" w:color="auto" w:fill="CCEEFF"/>
          </w:tcPr>
          <w:p>
            <w:pPr>
              <w:jc w:val="center"/>
              <w:ind w:left="375"/>
              <w:spacing w:after="0"/>
              <w:rPr>
                <w:sz w:val="20"/>
                <w:szCs w:val="20"/>
                <w:color w:val="auto"/>
              </w:rPr>
            </w:pPr>
            <w:r>
              <w:rPr>
                <w:rFonts w:ascii="Arial" w:cs="Arial" w:eastAsia="Arial" w:hAnsi="Arial"/>
                <w:sz w:val="17"/>
                <w:szCs w:val="17"/>
                <w:color w:val="auto"/>
                <w:w w:val="84"/>
              </w:rPr>
              <w:t>8</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3"/>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2,628</w:t>
            </w:r>
          </w:p>
        </w:tc>
        <w:tc>
          <w:tcPr>
            <w:tcW w:w="0" w:type="dxa"/>
            <w:vAlign w:val="bottom"/>
          </w:tcPr>
          <w:p>
            <w:pPr>
              <w:spacing w:after="0"/>
              <w:rPr>
                <w:sz w:val="1"/>
                <w:szCs w:val="1"/>
                <w:color w:val="auto"/>
              </w:rPr>
            </w:pPr>
          </w:p>
        </w:tc>
      </w:tr>
      <w:tr>
        <w:trPr>
          <w:trHeight w:val="223"/>
        </w:trPr>
        <w:tc>
          <w:tcPr>
            <w:tcW w:w="4260" w:type="dxa"/>
            <w:vAlign w:val="bottom"/>
          </w:tcPr>
          <w:p>
            <w:pPr>
              <w:ind w:left="460"/>
              <w:spacing w:after="0"/>
              <w:rPr>
                <w:sz w:val="20"/>
                <w:szCs w:val="20"/>
                <w:color w:val="auto"/>
              </w:rPr>
            </w:pPr>
            <w:r>
              <w:rPr>
                <w:rFonts w:ascii="Arial" w:cs="Arial" w:eastAsia="Arial" w:hAnsi="Arial"/>
                <w:sz w:val="17"/>
                <w:szCs w:val="17"/>
                <w:color w:val="auto"/>
              </w:rPr>
              <w:t>PR EXR Self Storage, LLC</w:t>
            </w:r>
          </w:p>
        </w:tc>
        <w:tc>
          <w:tcPr>
            <w:tcW w:w="1060" w:type="dxa"/>
            <w:vAlign w:val="bottom"/>
          </w:tcPr>
          <w:p>
            <w:pPr>
              <w:jc w:val="center"/>
              <w:ind w:left="375"/>
              <w:spacing w:after="0"/>
              <w:rPr>
                <w:sz w:val="20"/>
                <w:szCs w:val="20"/>
                <w:color w:val="auto"/>
              </w:rPr>
            </w:pPr>
            <w:r>
              <w:rPr>
                <w:rFonts w:ascii="Arial" w:cs="Arial" w:eastAsia="Arial" w:hAnsi="Arial"/>
                <w:sz w:val="17"/>
                <w:szCs w:val="17"/>
                <w:color w:val="auto"/>
                <w:w w:val="84"/>
              </w:rPr>
              <w:t>5</w:t>
            </w:r>
          </w:p>
        </w:tc>
        <w:tc>
          <w:tcPr>
            <w:tcW w:w="1160" w:type="dxa"/>
            <w:vAlign w:val="bottom"/>
            <w:gridSpan w:val="2"/>
          </w:tcPr>
          <w:p>
            <w:pPr>
              <w:jc w:val="center"/>
              <w:ind w:left="473"/>
              <w:spacing w:after="0"/>
              <w:rPr>
                <w:sz w:val="20"/>
                <w:szCs w:val="20"/>
                <w:color w:val="auto"/>
              </w:rPr>
            </w:pPr>
            <w:r>
              <w:rPr>
                <w:rFonts w:ascii="Arial" w:cs="Arial" w:eastAsia="Arial" w:hAnsi="Arial"/>
                <w:sz w:val="17"/>
                <w:szCs w:val="17"/>
                <w:color w:val="auto"/>
                <w:w w:val="93"/>
              </w:rPr>
              <w:t>25%</w:t>
            </w:r>
          </w:p>
        </w:tc>
        <w:tc>
          <w:tcPr>
            <w:tcW w:w="100" w:type="dxa"/>
            <w:vAlign w:val="bottom"/>
          </w:tcPr>
          <w:p>
            <w:pPr>
              <w:spacing w:after="0"/>
              <w:rPr>
                <w:sz w:val="19"/>
                <w:szCs w:val="19"/>
                <w:color w:val="auto"/>
              </w:rPr>
            </w:pPr>
          </w:p>
        </w:tc>
        <w:tc>
          <w:tcPr>
            <w:tcW w:w="1120" w:type="dxa"/>
            <w:vAlign w:val="bottom"/>
          </w:tcPr>
          <w:p>
            <w:pPr>
              <w:jc w:val="center"/>
              <w:ind w:left="355"/>
              <w:spacing w:after="0"/>
              <w:rPr>
                <w:sz w:val="20"/>
                <w:szCs w:val="20"/>
                <w:color w:val="auto"/>
              </w:rPr>
            </w:pPr>
            <w:r>
              <w:rPr>
                <w:rFonts w:ascii="Arial" w:cs="Arial" w:eastAsia="Arial" w:hAnsi="Arial"/>
                <w:sz w:val="17"/>
                <w:szCs w:val="17"/>
                <w:color w:val="auto"/>
                <w:w w:val="93"/>
              </w:rPr>
              <w:t>40%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59,172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59,393</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Storage Portfolio III JV LLC</w:t>
            </w:r>
          </w:p>
        </w:tc>
        <w:tc>
          <w:tcPr>
            <w:tcW w:w="1060" w:type="dxa"/>
            <w:vAlign w:val="bottom"/>
            <w:shd w:val="clear" w:color="auto" w:fill="CCEEFF"/>
          </w:tcPr>
          <w:p>
            <w:pPr>
              <w:jc w:val="center"/>
              <w:ind w:left="375"/>
              <w:spacing w:after="0"/>
              <w:rPr>
                <w:sz w:val="20"/>
                <w:szCs w:val="20"/>
                <w:color w:val="auto"/>
              </w:rPr>
            </w:pPr>
            <w:r>
              <w:rPr>
                <w:rFonts w:ascii="Arial" w:cs="Arial" w:eastAsia="Arial" w:hAnsi="Arial"/>
                <w:sz w:val="17"/>
                <w:szCs w:val="17"/>
                <w:color w:val="auto"/>
                <w:w w:val="84"/>
              </w:rPr>
              <w:t>5</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3"/>
              </w:rPr>
              <w:t>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3"/>
              </w:rPr>
              <w:t>30%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w:t>
            </w:r>
          </w:p>
        </w:tc>
        <w:tc>
          <w:tcPr>
            <w:tcW w:w="0" w:type="dxa"/>
            <w:vAlign w:val="bottom"/>
          </w:tcPr>
          <w:p>
            <w:pPr>
              <w:spacing w:after="0"/>
              <w:rPr>
                <w:sz w:val="1"/>
                <w:szCs w:val="1"/>
                <w:color w:val="auto"/>
              </w:rPr>
            </w:pPr>
          </w:p>
        </w:tc>
      </w:tr>
      <w:tr>
        <w:trPr>
          <w:trHeight w:val="92"/>
        </w:trPr>
        <w:tc>
          <w:tcPr>
            <w:tcW w:w="4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minority owned stores</w:t>
            </w:r>
          </w:p>
        </w:tc>
        <w:tc>
          <w:tcPr>
            <w:tcW w:w="106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4"/>
              </w:rPr>
              <w:t>16</w:t>
            </w:r>
          </w:p>
        </w:tc>
        <w:tc>
          <w:tcPr>
            <w:tcW w:w="1160" w:type="dxa"/>
            <w:vAlign w:val="bottom"/>
            <w:gridSpan w:val="2"/>
            <w:shd w:val="clear" w:color="auto" w:fill="CCEEFF"/>
          </w:tcPr>
          <w:p>
            <w:pPr>
              <w:jc w:val="center"/>
              <w:ind w:left="473"/>
              <w:spacing w:after="0"/>
              <w:rPr>
                <w:sz w:val="20"/>
                <w:szCs w:val="20"/>
                <w:color w:val="auto"/>
              </w:rPr>
            </w:pPr>
            <w:r>
              <w:rPr>
                <w:rFonts w:ascii="Arial" w:cs="Arial" w:eastAsia="Arial" w:hAnsi="Arial"/>
                <w:sz w:val="17"/>
                <w:szCs w:val="17"/>
                <w:color w:val="auto"/>
                <w:w w:val="95"/>
              </w:rPr>
              <w:t>20-50%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5"/>
              <w:spacing w:after="0"/>
              <w:rPr>
                <w:sz w:val="20"/>
                <w:szCs w:val="20"/>
                <w:color w:val="auto"/>
              </w:rPr>
            </w:pPr>
            <w:r>
              <w:rPr>
                <w:rFonts w:ascii="Arial" w:cs="Arial" w:eastAsia="Arial" w:hAnsi="Arial"/>
                <w:sz w:val="17"/>
                <w:szCs w:val="17"/>
                <w:color w:val="auto"/>
                <w:w w:val="95"/>
              </w:rPr>
              <w:t>20-50%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18,635</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460"/>
              <w:spacing w:after="0" w:line="223" w:lineRule="exact"/>
              <w:rPr>
                <w:sz w:val="20"/>
                <w:szCs w:val="20"/>
                <w:color w:val="auto"/>
              </w:rPr>
            </w:pPr>
            <w:r>
              <w:rPr>
                <w:rFonts w:ascii="Arial" w:cs="Arial" w:eastAsia="Arial" w:hAnsi="Arial"/>
                <w:sz w:val="17"/>
                <w:szCs w:val="17"/>
                <w:color w:val="auto"/>
                <w:w w:val="93"/>
              </w:rPr>
              <w:t xml:space="preserve">SmartStop Self Storage REIT, Inc. Preferred Stock </w:t>
            </w:r>
            <w:r>
              <w:rPr>
                <w:rFonts w:ascii="Arial" w:cs="Arial" w:eastAsia="Arial" w:hAnsi="Arial"/>
                <w:sz w:val="22"/>
                <w:szCs w:val="22"/>
                <w:color w:val="auto"/>
                <w:w w:val="93"/>
                <w:vertAlign w:val="superscript"/>
              </w:rPr>
              <w:t>(2)</w:t>
            </w:r>
          </w:p>
        </w:tc>
        <w:tc>
          <w:tcPr>
            <w:tcW w:w="106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w w:val="92"/>
              </w:rPr>
              <w:t>n/a</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ind w:left="620"/>
              <w:spacing w:after="0"/>
              <w:rPr>
                <w:sz w:val="20"/>
                <w:szCs w:val="20"/>
                <w:color w:val="auto"/>
              </w:rPr>
            </w:pPr>
            <w:r>
              <w:rPr>
                <w:rFonts w:ascii="Arial" w:cs="Arial" w:eastAsia="Arial" w:hAnsi="Arial"/>
                <w:sz w:val="17"/>
                <w:szCs w:val="17"/>
                <w:color w:val="auto"/>
              </w:rPr>
              <w:t>n/a</w:t>
            </w:r>
          </w:p>
        </w:tc>
        <w:tc>
          <w:tcPr>
            <w:tcW w:w="1220" w:type="dxa"/>
            <w:vAlign w:val="bottom"/>
            <w:tcBorders>
              <w:bottom w:val="single" w:sz="8" w:color="CCEEFF"/>
            </w:tcBorders>
            <w:gridSpan w:val="2"/>
          </w:tcPr>
          <w:p>
            <w:pPr>
              <w:jc w:val="center"/>
              <w:ind w:left="255"/>
              <w:spacing w:after="0"/>
              <w:rPr>
                <w:sz w:val="20"/>
                <w:szCs w:val="20"/>
                <w:color w:val="auto"/>
              </w:rPr>
            </w:pPr>
            <w:r>
              <w:rPr>
                <w:rFonts w:ascii="Arial" w:cs="Arial" w:eastAsia="Arial" w:hAnsi="Arial"/>
                <w:sz w:val="17"/>
                <w:szCs w:val="17"/>
                <w:color w:val="auto"/>
                <w:w w:val="84"/>
              </w:rPr>
              <w:t>n/a</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151"/>
        </w:trPr>
        <w:tc>
          <w:tcPr>
            <w:tcW w:w="4260" w:type="dxa"/>
            <w:vAlign w:val="bottom"/>
            <w:shd w:val="clear" w:color="auto" w:fill="CCEEFF"/>
          </w:tcPr>
          <w:p>
            <w:pPr>
              <w:ind w:left="460"/>
              <w:spacing w:after="0" w:line="151" w:lineRule="exact"/>
              <w:rPr>
                <w:sz w:val="20"/>
                <w:szCs w:val="20"/>
                <w:color w:val="auto"/>
              </w:rPr>
            </w:pPr>
            <w:r>
              <w:rPr>
                <w:rFonts w:ascii="Arial" w:cs="Arial" w:eastAsia="Arial" w:hAnsi="Arial"/>
                <w:sz w:val="17"/>
                <w:szCs w:val="17"/>
                <w:color w:val="auto"/>
              </w:rPr>
              <w:t>Net Investments in and Cash distributions in</w:t>
            </w:r>
          </w:p>
        </w:tc>
        <w:tc>
          <w:tcPr>
            <w:tcW w:w="1060" w:type="dxa"/>
            <w:vAlign w:val="bottom"/>
            <w:vMerge w:val="restart"/>
            <w:shd w:val="clear" w:color="auto" w:fill="CCEEFF"/>
          </w:tcPr>
          <w:p>
            <w:pPr>
              <w:jc w:val="center"/>
              <w:ind w:left="355"/>
              <w:spacing w:after="0"/>
              <w:rPr>
                <w:sz w:val="20"/>
                <w:szCs w:val="20"/>
                <w:color w:val="auto"/>
              </w:rPr>
            </w:pPr>
            <w:r>
              <w:rPr>
                <w:rFonts w:ascii="Arial" w:cs="Arial" w:eastAsia="Arial" w:hAnsi="Arial"/>
                <w:sz w:val="17"/>
                <w:szCs w:val="17"/>
                <w:color w:val="auto"/>
                <w:w w:val="91"/>
              </w:rPr>
              <w:t>288</w:t>
            </w: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410,785</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393,744</w:t>
            </w:r>
          </w:p>
        </w:tc>
        <w:tc>
          <w:tcPr>
            <w:tcW w:w="0" w:type="dxa"/>
            <w:vAlign w:val="bottom"/>
          </w:tcPr>
          <w:p>
            <w:pPr>
              <w:spacing w:after="0"/>
              <w:rPr>
                <w:sz w:val="1"/>
                <w:szCs w:val="1"/>
                <w:color w:val="auto"/>
              </w:rPr>
            </w:pPr>
          </w:p>
        </w:tc>
      </w:tr>
      <w:tr>
        <w:trPr>
          <w:trHeight w:val="21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unconsolidated real estate entities</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260" w:hanging="255"/>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Includes pro-rata equity ownership share and maximum potential promoted interest.</w:t>
      </w:r>
    </w:p>
    <w:p>
      <w:pPr>
        <w:spacing w:after="0" w:line="119" w:lineRule="exact"/>
        <w:rPr>
          <w:rFonts w:ascii="Arial" w:cs="Arial" w:eastAsia="Arial" w:hAnsi="Arial"/>
          <w:sz w:val="17"/>
          <w:szCs w:val="17"/>
          <w:color w:val="auto"/>
        </w:rPr>
      </w:pPr>
    </w:p>
    <w:p>
      <w:pPr>
        <w:ind w:left="320" w:hanging="315"/>
        <w:spacing w:after="0" w:line="268" w:lineRule="auto"/>
        <w:tabs>
          <w:tab w:leader="none" w:pos="25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176"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During the three months ended March 31, 2022, the Company contributed a total of $4,321 of cash to its joint ventures, including its pro-rata portion of the purchase price of two operating stores.</w:t>
      </w:r>
    </w:p>
    <w:p>
      <w:pPr>
        <w:spacing w:after="0" w:line="258"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8.</w:t>
        <w:tab/>
        <w:t>INVESTMENTS IN DEBT SECURITIES AND NOTES RECEIVABLE</w:t>
      </w:r>
    </w:p>
    <w:p>
      <w:pPr>
        <w:spacing w:after="0" w:line="230" w:lineRule="exact"/>
        <w:rPr>
          <w:sz w:val="20"/>
          <w:szCs w:val="20"/>
          <w:color w:val="auto"/>
        </w:rPr>
      </w:pPr>
    </w:p>
    <w:p>
      <w:pPr>
        <w:ind w:right="160" w:firstLine="433"/>
        <w:spacing w:after="0" w:line="273" w:lineRule="auto"/>
        <w:rPr>
          <w:sz w:val="20"/>
          <w:szCs w:val="20"/>
          <w:color w:val="auto"/>
        </w:rPr>
      </w:pPr>
      <w:r>
        <w:rPr>
          <w:rFonts w:ascii="Arial" w:cs="Arial" w:eastAsia="Arial" w:hAnsi="Arial"/>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Investment") and receivables due to the Company under its bridge loan program. Information about these balances is as follows:</w:t>
      </w:r>
    </w:p>
    <w:tbl>
      <w:tblPr>
        <w:tblLayout w:type="fixed"/>
        <w:tblInd w:w="0" w:type="dxa"/>
        <w:tblCellMar>
          <w:top w:w="0" w:type="dxa"/>
          <w:left w:w="0" w:type="dxa"/>
          <w:bottom w:w="0" w:type="dxa"/>
          <w:right w:w="0" w:type="dxa"/>
        </w:tblCellMar>
      </w:tblPr>
      <w:tr>
        <w:trPr>
          <w:trHeight w:val="207"/>
        </w:trPr>
        <w:tc>
          <w:tcPr>
            <w:tcW w:w="48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March 31, 2022</w:t>
            </w:r>
          </w:p>
        </w:tc>
        <w:tc>
          <w:tcPr>
            <w:tcW w:w="2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6"/>
                <w:szCs w:val="16"/>
                <w:b w:val="1"/>
                <w:bCs w:val="1"/>
                <w:color w:val="auto"/>
                <w:w w:val="90"/>
              </w:rPr>
              <w:t>December 31, 2021</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Debt securities - NexPoint Series A Preferred Stock</w:t>
            </w:r>
          </w:p>
        </w:tc>
        <w:tc>
          <w:tcPr>
            <w:tcW w:w="26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0" w:type="dxa"/>
            <w:vAlign w:val="bottom"/>
          </w:tcPr>
          <w:p>
            <w:pPr>
              <w:spacing w:after="0"/>
              <w:rPr>
                <w:sz w:val="1"/>
                <w:szCs w:val="1"/>
                <w:color w:val="auto"/>
              </w:rPr>
            </w:pPr>
          </w:p>
        </w:tc>
      </w:tr>
      <w:tr>
        <w:trPr>
          <w:trHeight w:val="223"/>
        </w:trPr>
        <w:tc>
          <w:tcPr>
            <w:tcW w:w="4800" w:type="dxa"/>
            <w:vAlign w:val="bottom"/>
          </w:tcPr>
          <w:p>
            <w:pPr>
              <w:ind w:left="460"/>
              <w:spacing w:after="0"/>
              <w:rPr>
                <w:sz w:val="20"/>
                <w:szCs w:val="20"/>
                <w:color w:val="auto"/>
              </w:rPr>
            </w:pPr>
            <w:r>
              <w:rPr>
                <w:rFonts w:ascii="Arial" w:cs="Arial" w:eastAsia="Arial" w:hAnsi="Arial"/>
                <w:sz w:val="17"/>
                <w:szCs w:val="17"/>
                <w:color w:val="auto"/>
              </w:rPr>
              <w:t>Debt securities - NexPoint Series B Preferred Stock</w:t>
            </w:r>
          </w:p>
        </w:tc>
        <w:tc>
          <w:tcPr>
            <w:tcW w:w="1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Notes Receivable-Bridge Loans</w:t>
            </w:r>
          </w:p>
        </w:tc>
        <w:tc>
          <w:tcPr>
            <w:tcW w:w="1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348,185</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279,042</w:t>
            </w:r>
          </w:p>
        </w:tc>
        <w:tc>
          <w:tcPr>
            <w:tcW w:w="0" w:type="dxa"/>
            <w:vAlign w:val="bottom"/>
          </w:tcPr>
          <w:p>
            <w:pPr>
              <w:spacing w:after="0"/>
              <w:rPr>
                <w:sz w:val="1"/>
                <w:szCs w:val="1"/>
                <w:color w:val="auto"/>
              </w:rPr>
            </w:pPr>
          </w:p>
        </w:tc>
      </w:tr>
      <w:tr>
        <w:trPr>
          <w:trHeight w:val="223"/>
        </w:trPr>
        <w:tc>
          <w:tcPr>
            <w:tcW w:w="4800" w:type="dxa"/>
            <w:vAlign w:val="bottom"/>
          </w:tcPr>
          <w:p>
            <w:pPr>
              <w:ind w:left="460"/>
              <w:spacing w:after="0"/>
              <w:rPr>
                <w:sz w:val="20"/>
                <w:szCs w:val="20"/>
                <w:color w:val="auto"/>
              </w:rPr>
            </w:pPr>
            <w:r>
              <w:rPr>
                <w:rFonts w:ascii="Arial" w:cs="Arial" w:eastAsia="Arial" w:hAnsi="Arial"/>
                <w:sz w:val="17"/>
                <w:szCs w:val="17"/>
                <w:color w:val="auto"/>
              </w:rPr>
              <w:t>Notes Receivable-Senior Mezzanine Loan, net</w:t>
            </w:r>
          </w:p>
        </w:tc>
        <w:tc>
          <w:tcPr>
            <w:tcW w:w="1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102,079</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Dividends Receivable</w:t>
            </w:r>
          </w:p>
        </w:tc>
        <w:tc>
          <w:tcPr>
            <w:tcW w:w="19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45,922</w:t>
            </w:r>
          </w:p>
        </w:tc>
        <w:tc>
          <w:tcPr>
            <w:tcW w:w="2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38,066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26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694,107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719,187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980" w:type="dxa"/>
            <w:vAlign w:val="bottom"/>
            <w:vMerge w:val="restart"/>
          </w:tcPr>
          <w:p>
            <w:pPr>
              <w:jc w:val="right"/>
              <w:ind w:right="973"/>
              <w:spacing w:after="0"/>
              <w:rPr>
                <w:sz w:val="20"/>
                <w:szCs w:val="20"/>
                <w:color w:val="auto"/>
              </w:rPr>
            </w:pPr>
            <w:r>
              <w:rPr>
                <w:rFonts w:ascii="Arial" w:cs="Arial" w:eastAsia="Arial" w:hAnsi="Arial"/>
                <w:sz w:val="17"/>
                <w:szCs w:val="17"/>
                <w:color w:val="auto"/>
              </w:rPr>
              <w:t>19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48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80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firstLine="433"/>
        <w:spacing w:after="0" w:line="264" w:lineRule="auto"/>
        <w:rPr>
          <w:sz w:val="20"/>
          <w:szCs w:val="20"/>
          <w:color w:val="auto"/>
        </w:rPr>
      </w:pPr>
      <w:r>
        <w:rPr>
          <w:rFonts w:ascii="Arial" w:cs="Arial" w:eastAsia="Arial" w:hAnsi="Arial"/>
          <w:sz w:val="17"/>
          <w:szCs w:val="17"/>
          <w:color w:val="auto"/>
        </w:rPr>
        <w:t>In November 2020, the Company invested $300,000 in the preferred stock of JCAP in connection with the acquisition of JCAP by affiliates of NexPoint Advisors, L.P. This investment consists of 200,000 Series A Preferred Shares valued at a total of $200,000, and 100,000 Series B Preferred Shares valued at a total of $100,000. The JCAP preferred stock is mandatorily redeemable after five years, with two one-year extension options. NexPoint may redeem the Preferred Shares at any time, subject to certain prepayment penalties. The Company accounts for the JCAP preferred stock as a held to maturity debt security at amortized cost. The Series A Preferred Shares and the Series B Preferred Shares have initial dividend rates of 10.0% and 12.0%, respectively. If the investment is not retired after five years, the preferred dividends increase annually.</w:t>
      </w:r>
    </w:p>
    <w:p>
      <w:pPr>
        <w:spacing w:after="0" w:line="205"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In July 2020, the Company purchased a senior mezzanine note receivable with a principal amount of $103,000. This note receivable bore interest at 5.5%, matured in December 2023 and was collateralized through an equity interest in which it or its subsidiaries wholly own 62 storage facilities. The Company paid cash of $101,142 for the loan receivable and accounted for the discount at amortized cost. The discount was being amortized over the term of the loan receivable. In February 2022, a junior mezzanine lender exercised its right to buy the Company’s position for the full principal balance plus interest due, as a result of which the Company sold this note for a total of $103,315 in cash. The remaining unamortized discount was recognized in the quarter as interest income.</w:t>
      </w:r>
    </w:p>
    <w:p>
      <w:pPr>
        <w:spacing w:after="0" w:line="205" w:lineRule="exact"/>
        <w:rPr>
          <w:sz w:val="20"/>
          <w:szCs w:val="20"/>
          <w:color w:val="auto"/>
        </w:rPr>
      </w:pPr>
    </w:p>
    <w:p>
      <w:pPr>
        <w:ind w:right="60" w:firstLine="433"/>
        <w:spacing w:after="0" w:line="314" w:lineRule="auto"/>
        <w:rPr>
          <w:sz w:val="20"/>
          <w:szCs w:val="20"/>
          <w:color w:val="auto"/>
        </w:rPr>
      </w:pPr>
      <w:r>
        <w:rPr>
          <w:rFonts w:ascii="Arial" w:cs="Arial" w:eastAsia="Arial" w:hAnsi="Arial"/>
          <w:sz w:val="15"/>
          <w:szCs w:val="15"/>
          <w:color w:val="auto"/>
        </w:rPr>
        <w:t>The Company provides bridge loan financing to third-party self-storage operators. These notes receivable consist of mortgage loans receivable, collateralized by self-storage properties. These notes receivable typically have a term of three years with two one-year extensions, and have variable interest rates. The Company intends to sell the majority of the mortgage receivables. During the three months ended March 31, 2022 the Company sold a total principal amount of $39,718 of its mortgage bridge loans receivable to third parties for a total of $39,718 in cash and closed on $134,408 in new mortgage bridge loans.</w:t>
      </w:r>
    </w:p>
    <w:p>
      <w:pPr>
        <w:spacing w:after="0" w:line="24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6"/>
          <w:szCs w:val="16"/>
          <w:b w:val="1"/>
          <w:bCs w:val="1"/>
          <w:color w:val="auto"/>
        </w:rPr>
        <w:t>DEBT</w:t>
      </w:r>
    </w:p>
    <w:p>
      <w:pPr>
        <w:spacing w:after="0" w:line="23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May 2021, the Operating Partnership executed its initial public bond issuance by selling $450.0 million principal amount of 2.550% Senior Notes due</w:t>
      </w:r>
    </w:p>
    <w:p>
      <w:pPr>
        <w:spacing w:after="0" w:line="38" w:lineRule="exact"/>
        <w:rPr>
          <w:sz w:val="20"/>
          <w:szCs w:val="20"/>
          <w:color w:val="auto"/>
        </w:rPr>
      </w:pPr>
    </w:p>
    <w:p>
      <w:pPr>
        <w:jc w:val="both"/>
        <w:ind w:right="20"/>
        <w:spacing w:after="0" w:line="317" w:lineRule="auto"/>
        <w:rPr>
          <w:sz w:val="20"/>
          <w:szCs w:val="20"/>
          <w:color w:val="auto"/>
        </w:rPr>
      </w:pPr>
      <w:r>
        <w:rPr>
          <w:rFonts w:ascii="Arial" w:cs="Arial" w:eastAsia="Arial" w:hAnsi="Arial"/>
          <w:sz w:val="15"/>
          <w:szCs w:val="15"/>
          <w:color w:val="auto"/>
        </w:rPr>
        <w:t>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31, 2031 for cash equal to the outstanding principal amount plus the present value of the remaining scheduled interest payments, plus any accrued but unpaid interest.</w:t>
      </w:r>
    </w:p>
    <w:p>
      <w:pPr>
        <w:spacing w:after="0" w:line="144"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March 15, 2032 for cash equal to the outstanding principal amount plus the present value of the remaining scheduled interest payments, plus any accrued but unpaid interest.</w:t>
      </w:r>
    </w:p>
    <w:p>
      <w:pPr>
        <w:spacing w:after="0" w:line="180" w:lineRule="exact"/>
        <w:rPr>
          <w:sz w:val="20"/>
          <w:szCs w:val="20"/>
          <w:color w:val="auto"/>
        </w:rPr>
      </w:pPr>
    </w:p>
    <w:p>
      <w:pPr>
        <w:ind w:firstLine="433"/>
        <w:spacing w:after="0" w:line="290" w:lineRule="auto"/>
        <w:rPr>
          <w:sz w:val="20"/>
          <w:szCs w:val="20"/>
          <w:color w:val="auto"/>
        </w:rPr>
      </w:pPr>
      <w:r>
        <w:rPr>
          <w:rFonts w:ascii="Arial" w:cs="Arial" w:eastAsia="Arial" w:hAnsi="Arial"/>
          <w:sz w:val="16"/>
          <w:szCs w:val="16"/>
          <w:color w:val="auto"/>
        </w:rPr>
        <w:t>In March 2022, the Operating Partnership executed a public bond issuance by selling $400.0 million principal amount of 3.900% Senior Notes due 2029 (the "Notes Due 2029"). Interest on the Notes Due 2029 is paid semi-annually in arrears on April 1 and October 1 of each year. The Notes Due 2029 will mature on April 1, 2029, and the Operating Partnership may redeem the Notes Due 2029 at its option and sole discretion at any time prior to April 1, 2029 for cash equal to the outstanding principal amount plus the present value of the remaining scheduled interest payments, plus any accrued but unpaid interest.</w:t>
      </w:r>
    </w:p>
    <w:p>
      <w:pPr>
        <w:spacing w:after="0" w:line="160"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The Operating Partner may redeem the Notes Due 2029, the Notes Due 2031 and/or the Notes Due 2032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date three months prior to the maturity date of the applicable notes, the redemption price will be equal to 100% of the principal amount of the notes being redeemed, plus accrued and unpaid interest thereon to, but not including, the applicable redemption date.</w:t>
      </w:r>
    </w:p>
    <w:p>
      <w:pPr>
        <w:spacing w:after="0" w:line="179"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color w:val="auto"/>
        </w:rPr>
        <w:t>Certain events are considered events of default, which may result in the accelerated maturity of the Notes Due 2029, the Notes Due 2031 and/or the Notes Due 2032, including, among other things, a default for 30 days in the payment of any</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20"/>
        <w:spacing w:after="0" w:line="289" w:lineRule="auto"/>
        <w:rPr>
          <w:sz w:val="20"/>
          <w:szCs w:val="20"/>
          <w:color w:val="auto"/>
        </w:rPr>
      </w:pPr>
      <w:r>
        <w:rPr>
          <w:rFonts w:ascii="Arial" w:cs="Arial" w:eastAsia="Arial" w:hAnsi="Arial"/>
          <w:sz w:val="17"/>
          <w:szCs w:val="17"/>
          <w:color w:val="auto"/>
        </w:rPr>
        <w:t>installment of interest under the notes or a default in the payment of the principal amount or redemption price due with respect to the notes, when the same become due and payable.</w:t>
      </w:r>
    </w:p>
    <w:p>
      <w:pPr>
        <w:spacing w:after="0" w:line="159" w:lineRule="exact"/>
        <w:rPr>
          <w:sz w:val="20"/>
          <w:szCs w:val="20"/>
          <w:color w:val="auto"/>
        </w:rPr>
      </w:pPr>
    </w:p>
    <w:p>
      <w:pPr>
        <w:ind w:right="140" w:firstLine="433"/>
        <w:spacing w:after="0" w:line="264" w:lineRule="auto"/>
        <w:rPr>
          <w:sz w:val="20"/>
          <w:szCs w:val="20"/>
          <w:color w:val="auto"/>
        </w:rPr>
      </w:pPr>
      <w:r>
        <w:rPr>
          <w:rFonts w:ascii="Arial" w:cs="Arial" w:eastAsia="Arial" w:hAnsi="Arial"/>
          <w:sz w:val="17"/>
          <w:szCs w:val="17"/>
          <w:color w:val="auto"/>
        </w:rPr>
        <w:t>The Notes Due 2029, the Notes Due 2031 and the Notes Due 2032 are unsecured, and are fully and unconditionally guaranteed by the Company, ESS Holdings Business Trust I, and ESS Holdings Business Trust II (the "Guarantors," and together with the Operating Partnership, the "Obligated Group"), on a joint and several basis. The guarantee of the Notes Due 2031 and the Notes Due 2032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term debt are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 Debt</w:t>
            </w: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93"/>
              </w:rPr>
              <w:t>March 31, 2022</w:t>
            </w:r>
          </w:p>
        </w:tc>
        <w:tc>
          <w:tcPr>
            <w:tcW w:w="12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7"/>
              </w:rPr>
              <w:t>December 31, 2021</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Fixed Rate</w:t>
            </w:r>
          </w:p>
        </w:tc>
        <w:tc>
          <w:tcPr>
            <w:tcW w:w="100" w:type="dxa"/>
            <w:vAlign w:val="bottom"/>
            <w:tcBorders>
              <w:bottom w:val="single" w:sz="8" w:color="CCEEFF"/>
            </w:tcBorders>
          </w:tcPr>
          <w:p>
            <w:pPr>
              <w:spacing w:after="0"/>
              <w:rPr>
                <w:sz w:val="21"/>
                <w:szCs w:val="21"/>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 xml:space="preserve">Variable Rate </w:t>
            </w:r>
            <w:r>
              <w:rPr>
                <w:rFonts w:ascii="Arial" w:cs="Arial" w:eastAsia="Arial" w:hAnsi="Arial"/>
                <w:sz w:val="22"/>
                <w:szCs w:val="22"/>
                <w:b w:val="1"/>
                <w:bCs w:val="1"/>
                <w:color w:val="auto"/>
                <w:vertAlign w:val="superscript"/>
              </w:rPr>
              <w:t>(2)</w:t>
            </w:r>
          </w:p>
        </w:tc>
        <w:tc>
          <w:tcPr>
            <w:tcW w:w="14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Maturity Dates</w:t>
            </w:r>
          </w:p>
        </w:tc>
        <w:tc>
          <w:tcPr>
            <w:tcW w:w="0" w:type="dxa"/>
            <w:vAlign w:val="bottom"/>
          </w:tcPr>
          <w:p>
            <w:pPr>
              <w:spacing w:after="0"/>
              <w:rPr>
                <w:sz w:val="1"/>
                <w:szCs w:val="1"/>
                <w:color w:val="auto"/>
              </w:rPr>
            </w:pPr>
          </w:p>
        </w:tc>
      </w:tr>
      <w:tr>
        <w:trPr>
          <w:trHeight w:val="154"/>
        </w:trPr>
        <w:tc>
          <w:tcPr>
            <w:tcW w:w="3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Secured fixed-rate </w:t>
            </w:r>
            <w:r>
              <w:rPr>
                <w:rFonts w:ascii="Arial" w:cs="Arial" w:eastAsia="Arial" w:hAnsi="Arial"/>
                <w:sz w:val="20"/>
                <w:szCs w:val="20"/>
                <w:color w:val="auto"/>
                <w:vertAlign w:val="superscript"/>
              </w:rPr>
              <w:t>(1)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929,980</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930,830</w:t>
            </w:r>
          </w:p>
        </w:tc>
        <w:tc>
          <w:tcPr>
            <w:tcW w:w="164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6"/>
                <w:szCs w:val="16"/>
                <w:color w:val="auto"/>
                <w:w w:val="89"/>
              </w:rPr>
              <w:t>2.46% - 4.50%</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line="154" w:lineRule="exact"/>
              <w:rPr>
                <w:sz w:val="20"/>
                <w:szCs w:val="20"/>
                <w:color w:val="auto"/>
              </w:rPr>
            </w:pPr>
            <w:r>
              <w:rPr>
                <w:rFonts w:ascii="Arial" w:cs="Arial" w:eastAsia="Arial" w:hAnsi="Arial"/>
                <w:sz w:val="16"/>
                <w:szCs w:val="16"/>
                <w:color w:val="auto"/>
                <w:w w:val="89"/>
              </w:rPr>
              <w:t>October 2022 -</w:t>
            </w:r>
          </w:p>
        </w:tc>
        <w:tc>
          <w:tcPr>
            <w:tcW w:w="0" w:type="dxa"/>
            <w:vAlign w:val="bottom"/>
          </w:tcPr>
          <w:p>
            <w:pPr>
              <w:spacing w:after="0"/>
              <w:rPr>
                <w:sz w:val="1"/>
                <w:szCs w:val="1"/>
                <w:color w:val="auto"/>
              </w:rPr>
            </w:pPr>
          </w:p>
        </w:tc>
      </w:tr>
      <w:tr>
        <w:trPr>
          <w:trHeight w:val="207"/>
        </w:trPr>
        <w:tc>
          <w:tcPr>
            <w:tcW w:w="34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February 2030</w:t>
            </w:r>
          </w:p>
        </w:tc>
        <w:tc>
          <w:tcPr>
            <w:tcW w:w="0" w:type="dxa"/>
            <w:vAlign w:val="bottom"/>
          </w:tcPr>
          <w:p>
            <w:pPr>
              <w:spacing w:after="0"/>
              <w:rPr>
                <w:sz w:val="1"/>
                <w:szCs w:val="1"/>
                <w:color w:val="auto"/>
              </w:rPr>
            </w:pPr>
          </w:p>
        </w:tc>
      </w:tr>
      <w:tr>
        <w:trPr>
          <w:trHeight w:val="161"/>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 xml:space="preserve">Secured variable-rate </w:t>
            </w:r>
            <w:r>
              <w:rPr>
                <w:rFonts w:ascii="Arial" w:cs="Arial" w:eastAsia="Arial" w:hAnsi="Arial"/>
                <w:sz w:val="20"/>
                <w:szCs w:val="20"/>
                <w:color w:val="auto"/>
                <w:vertAlign w:val="superscript"/>
              </w:rPr>
              <w:t>(1)</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368,038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392,679</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278"/>
              <w:spacing w:after="0"/>
              <w:rPr>
                <w:sz w:val="20"/>
                <w:szCs w:val="20"/>
                <w:color w:val="auto"/>
              </w:rPr>
            </w:pPr>
            <w:r>
              <w:rPr>
                <w:rFonts w:ascii="Arial" w:cs="Arial" w:eastAsia="Arial" w:hAnsi="Arial"/>
                <w:sz w:val="16"/>
                <w:szCs w:val="16"/>
                <w:color w:val="auto"/>
              </w:rPr>
              <w:t>1.29% - 1.95%</w:t>
            </w:r>
          </w:p>
        </w:tc>
        <w:tc>
          <w:tcPr>
            <w:tcW w:w="140" w:type="dxa"/>
            <w:vAlign w:val="bottom"/>
          </w:tcPr>
          <w:p>
            <w:pPr>
              <w:spacing w:after="0"/>
              <w:rPr>
                <w:sz w:val="13"/>
                <w:szCs w:val="13"/>
                <w:color w:val="auto"/>
              </w:rPr>
            </w:pPr>
          </w:p>
        </w:tc>
        <w:tc>
          <w:tcPr>
            <w:tcW w:w="1560" w:type="dxa"/>
            <w:vAlign w:val="bottom"/>
          </w:tcPr>
          <w:p>
            <w:pPr>
              <w:jc w:val="center"/>
              <w:spacing w:after="0" w:line="161" w:lineRule="exact"/>
              <w:rPr>
                <w:sz w:val="20"/>
                <w:szCs w:val="20"/>
                <w:color w:val="auto"/>
              </w:rPr>
            </w:pPr>
            <w:r>
              <w:rPr>
                <w:rFonts w:ascii="Arial" w:cs="Arial" w:eastAsia="Arial" w:hAnsi="Arial"/>
                <w:sz w:val="16"/>
                <w:szCs w:val="16"/>
                <w:color w:val="auto"/>
                <w:w w:val="89"/>
              </w:rPr>
              <w:t>October 2022 -</w:t>
            </w:r>
          </w:p>
        </w:tc>
        <w:tc>
          <w:tcPr>
            <w:tcW w:w="0" w:type="dxa"/>
            <w:vAlign w:val="bottom"/>
          </w:tcPr>
          <w:p>
            <w:pPr>
              <w:spacing w:after="0"/>
              <w:rPr>
                <w:sz w:val="1"/>
                <w:szCs w:val="1"/>
                <w:color w:val="auto"/>
              </w:rPr>
            </w:pPr>
          </w:p>
        </w:tc>
      </w:tr>
      <w:tr>
        <w:trPr>
          <w:trHeight w:val="207"/>
        </w:trPr>
        <w:tc>
          <w:tcPr>
            <w:tcW w:w="3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7"/>
              </w:rPr>
              <w:t>September 2030</w:t>
            </w:r>
          </w:p>
        </w:tc>
        <w:tc>
          <w:tcPr>
            <w:tcW w:w="0" w:type="dxa"/>
            <w:vAlign w:val="bottom"/>
          </w:tcPr>
          <w:p>
            <w:pPr>
              <w:spacing w:after="0"/>
              <w:rPr>
                <w:sz w:val="1"/>
                <w:szCs w:val="1"/>
                <w:color w:val="auto"/>
              </w:rPr>
            </w:pPr>
          </w:p>
        </w:tc>
      </w:tr>
      <w:tr>
        <w:trPr>
          <w:trHeight w:val="161"/>
        </w:trPr>
        <w:tc>
          <w:tcPr>
            <w:tcW w:w="34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Unsecured fixed-rate</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3,930,376</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3,575,000</w:t>
            </w:r>
          </w:p>
        </w:tc>
        <w:tc>
          <w:tcPr>
            <w:tcW w:w="1640" w:type="dxa"/>
            <w:vAlign w:val="bottom"/>
            <w:gridSpan w:val="2"/>
            <w:vMerge w:val="restart"/>
            <w:shd w:val="clear" w:color="auto" w:fill="CCEEFF"/>
          </w:tcPr>
          <w:p>
            <w:pPr>
              <w:jc w:val="center"/>
              <w:ind w:left="21"/>
              <w:spacing w:after="0"/>
              <w:rPr>
                <w:sz w:val="20"/>
                <w:szCs w:val="20"/>
                <w:color w:val="auto"/>
              </w:rPr>
            </w:pPr>
            <w:r>
              <w:rPr>
                <w:rFonts w:ascii="Arial" w:cs="Arial" w:eastAsia="Arial" w:hAnsi="Arial"/>
                <w:sz w:val="16"/>
                <w:szCs w:val="16"/>
                <w:color w:val="auto"/>
                <w:w w:val="89"/>
              </w:rPr>
              <w:t>1.40% - 4.39%</w:t>
            </w: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color w:val="auto"/>
                <w:w w:val="89"/>
              </w:rPr>
              <w:t>February 2024 - March</w:t>
            </w:r>
          </w:p>
        </w:tc>
        <w:tc>
          <w:tcPr>
            <w:tcW w:w="0" w:type="dxa"/>
            <w:vAlign w:val="bottom"/>
          </w:tcPr>
          <w:p>
            <w:pPr>
              <w:spacing w:after="0"/>
              <w:rPr>
                <w:sz w:val="1"/>
                <w:szCs w:val="1"/>
                <w:color w:val="auto"/>
              </w:rPr>
            </w:pPr>
          </w:p>
        </w:tc>
      </w:tr>
      <w:tr>
        <w:trPr>
          <w:trHeight w:val="207"/>
        </w:trPr>
        <w:tc>
          <w:tcPr>
            <w:tcW w:w="3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c>
          <w:tcPr>
            <w:tcW w:w="0" w:type="dxa"/>
            <w:vAlign w:val="bottom"/>
          </w:tcPr>
          <w:p>
            <w:pPr>
              <w:spacing w:after="0"/>
              <w:rPr>
                <w:sz w:val="1"/>
                <w:szCs w:val="1"/>
                <w:color w:val="auto"/>
              </w:rPr>
            </w:pPr>
          </w:p>
        </w:tc>
      </w:tr>
      <w:tr>
        <w:trPr>
          <w:trHeight w:val="161"/>
        </w:trPr>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Unsecured variable-rate</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594,624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vMerge w:val="restart"/>
          </w:tcPr>
          <w:p>
            <w:pPr>
              <w:jc w:val="right"/>
              <w:ind w:right="538"/>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3"/>
                <w:szCs w:val="13"/>
                <w:color w:val="auto"/>
              </w:rPr>
            </w:pPr>
          </w:p>
        </w:tc>
        <w:tc>
          <w:tcPr>
            <w:tcW w:w="1560" w:type="dxa"/>
            <w:vAlign w:val="bottom"/>
          </w:tcPr>
          <w:p>
            <w:pPr>
              <w:jc w:val="center"/>
              <w:spacing w:after="0" w:line="161" w:lineRule="exact"/>
              <w:rPr>
                <w:sz w:val="20"/>
                <w:szCs w:val="20"/>
                <w:color w:val="auto"/>
              </w:rPr>
            </w:pPr>
            <w:r>
              <w:rPr>
                <w:rFonts w:ascii="Arial" w:cs="Arial" w:eastAsia="Arial" w:hAnsi="Arial"/>
                <w:sz w:val="16"/>
                <w:szCs w:val="16"/>
                <w:color w:val="auto"/>
                <w:w w:val="87"/>
              </w:rPr>
              <w:t>February 2024 -</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8"/>
              </w:rPr>
              <w:t>October 2026</w:t>
            </w:r>
          </w:p>
        </w:tc>
        <w:tc>
          <w:tcPr>
            <w:tcW w:w="0" w:type="dxa"/>
            <w:vAlign w:val="bottom"/>
          </w:tcPr>
          <w:p>
            <w:pPr>
              <w:spacing w:after="0"/>
              <w:rPr>
                <w:sz w:val="1"/>
                <w:szCs w:val="1"/>
                <w:color w:val="auto"/>
              </w:rPr>
            </w:pPr>
          </w:p>
        </w:tc>
      </w:tr>
      <w:tr>
        <w:trPr>
          <w:trHeight w:val="206"/>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5,823,018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5,448,509</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Unamortized debt issuance costs</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(30,352)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(25,762)</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5,792,666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5,422,747</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188" w:lineRule="exact"/>
        <w:rPr>
          <w:sz w:val="20"/>
          <w:szCs w:val="20"/>
          <w:color w:val="auto"/>
        </w:rPr>
      </w:pPr>
    </w:p>
    <w:p>
      <w:pPr>
        <w:ind w:left="180" w:hanging="158"/>
        <w:spacing w:after="0"/>
        <w:tabs>
          <w:tab w:leader="none" w:pos="18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The loans are collateralized by mortgages on real estate assets and the assignment of rents.</w:t>
      </w:r>
    </w:p>
    <w:p>
      <w:pPr>
        <w:spacing w:after="0" w:line="20" w:lineRule="exact"/>
        <w:rPr>
          <w:rFonts w:ascii="Arial" w:cs="Arial" w:eastAsia="Arial" w:hAnsi="Arial"/>
          <w:sz w:val="19"/>
          <w:szCs w:val="19"/>
          <w:color w:val="auto"/>
          <w:vertAlign w:val="superscript"/>
        </w:rPr>
      </w:pPr>
    </w:p>
    <w:p>
      <w:pPr>
        <w:ind w:left="180" w:hanging="158"/>
        <w:spacing w:after="0" w:line="208" w:lineRule="auto"/>
        <w:tabs>
          <w:tab w:leader="none" w:pos="180"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Basis rate is 30-day USD LIBOR, 30-day SOFR look-forward and SOFR.</w:t>
      </w: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At March 31, 2022, the terms of the Second Amended and Restated Credit Agreement dated June 22, 2021 (the "Credit Agreement")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Debt Capacity</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Maturity Date</w:t>
            </w:r>
          </w:p>
        </w:tc>
      </w:tr>
      <w:tr>
        <w:trPr>
          <w:trHeight w:val="219"/>
        </w:trPr>
        <w:tc>
          <w:tcPr>
            <w:tcW w:w="7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Revolving Credit Facility</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2025</w:t>
            </w:r>
          </w:p>
        </w:tc>
      </w:tr>
      <w:tr>
        <w:trPr>
          <w:trHeight w:val="223"/>
        </w:trPr>
        <w:tc>
          <w:tcPr>
            <w:tcW w:w="716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Tranche 1 Term Loan Facility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January 2027</w:t>
            </w:r>
          </w:p>
        </w:tc>
      </w:tr>
      <w:tr>
        <w:trPr>
          <w:trHeight w:val="223"/>
        </w:trPr>
        <w:tc>
          <w:tcPr>
            <w:tcW w:w="71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Tranche 2 Term Loan Facility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October 2026</w:t>
            </w:r>
          </w:p>
        </w:tc>
      </w:tr>
      <w:tr>
        <w:trPr>
          <w:trHeight w:val="223"/>
        </w:trPr>
        <w:tc>
          <w:tcPr>
            <w:tcW w:w="716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Tranche 3 Term Loan Facility </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245,000</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January 2025</w:t>
            </w:r>
          </w:p>
        </w:tc>
      </w:tr>
      <w:tr>
        <w:trPr>
          <w:trHeight w:val="223"/>
        </w:trPr>
        <w:tc>
          <w:tcPr>
            <w:tcW w:w="71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Tranche 4 Term Loan Facility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255,000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2026</w:t>
            </w:r>
          </w:p>
        </w:tc>
      </w:tr>
      <w:tr>
        <w:trPr>
          <w:trHeight w:val="223"/>
        </w:trPr>
        <w:tc>
          <w:tcPr>
            <w:tcW w:w="716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7"/>
                <w:szCs w:val="17"/>
                <w:color w:val="auto"/>
              </w:rPr>
              <w:t xml:space="preserve">Tranche 5 Term Loan Facility </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425,000</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February 2024</w:t>
            </w:r>
          </w:p>
        </w:tc>
      </w:tr>
      <w:tr>
        <w:trPr>
          <w:trHeight w:val="241"/>
        </w:trPr>
        <w:tc>
          <w:tcPr>
            <w:tcW w:w="7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3,000,000</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(1) The term loan amounts have been fully drawn as of March 31, 2022.</w:t>
      </w:r>
    </w:p>
    <w:p>
      <w:pPr>
        <w:spacing w:after="0" w:line="224" w:lineRule="exact"/>
        <w:rPr>
          <w:sz w:val="20"/>
          <w:szCs w:val="20"/>
          <w:color w:val="auto"/>
        </w:rPr>
      </w:pPr>
    </w:p>
    <w:p>
      <w:pPr>
        <w:ind w:right="120" w:firstLine="393"/>
        <w:spacing w:after="0" w:line="257" w:lineRule="auto"/>
        <w:rPr>
          <w:sz w:val="20"/>
          <w:szCs w:val="20"/>
          <w:color w:val="auto"/>
        </w:rPr>
      </w:pPr>
      <w:r>
        <w:rPr>
          <w:rFonts w:ascii="Arial" w:cs="Arial" w:eastAsia="Arial" w:hAnsi="Arial"/>
          <w:sz w:val="17"/>
          <w:szCs w:val="17"/>
          <w:color w:val="auto"/>
        </w:rPr>
        <w:t>Pursuant to the terms of the Credit Agreement, the Company may request an extension of the term of the revolving credit facility for up to two additional periods of six months each, after satisfying certain conditions.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As of March 31, 2022, amounts outstanding under the revolving credit facility bore interest at floating rates, at the Company’s option, equal to either</w:t>
      </w:r>
    </w:p>
    <w:p>
      <w:pPr>
        <w:spacing w:after="0" w:line="27" w:lineRule="exact"/>
        <w:rPr>
          <w:sz w:val="20"/>
          <w:szCs w:val="20"/>
          <w:color w:val="auto"/>
        </w:rPr>
      </w:pPr>
    </w:p>
    <w:p>
      <w:pPr>
        <w:ind w:right="160" w:firstLine="5"/>
        <w:spacing w:after="0" w:line="246" w:lineRule="auto"/>
        <w:tabs>
          <w:tab w:leader="none" w:pos="209" w:val="left"/>
        </w:tabs>
        <w:numPr>
          <w:ilvl w:val="0"/>
          <w:numId w:val="6"/>
        </w:numPr>
        <w:rPr>
          <w:rFonts w:ascii="Arial" w:cs="Arial" w:eastAsia="Arial" w:hAnsi="Arial"/>
          <w:sz w:val="17"/>
          <w:szCs w:val="17"/>
          <w:color w:val="auto"/>
        </w:rPr>
      </w:pPr>
      <w:r>
        <w:rPr>
          <w:rFonts w:ascii="Arial" w:cs="Arial" w:eastAsia="Arial" w:hAnsi="Arial"/>
          <w:sz w:val="17"/>
          <w:szCs w:val="17"/>
          <w:color w:val="auto"/>
        </w:rPr>
        <w:t>LIBOR plus the applicable Eurodollar rate margin or (ii) the applicable base rate which is the applicable margin plus the highest of (a) 0.0%, (b) the federal funds rate plus 0.50%, (c) U.S. Bank’s prime rate or (d) the Eurodollar rate plus 1.00%. Per the Credit Agreement, the applicable Eurodollar rate margin and applicable base rate margin are based on the Company’s achieved debt rating, with the Eurodollar rate margin ranging from 0.7% to 1.6% per annum and the applicable base rate margin ranging from 0.00% to 0.60% per annum.</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The Credit Agreement is guaranteed by the Company and is not secured by any assets of the Company. The Company's unsecured debt is subject to certain financial covenants. As of March 31, 2022, the Company was in compliance with all of its financial covenants.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scheduled maturities of term debt, excluding available extensions, at March 31, 2022: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3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2022</w:t>
            </w:r>
          </w:p>
        </w:tc>
        <w:tc>
          <w:tcPr>
            <w:tcW w:w="82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232,486</w:t>
            </w:r>
          </w:p>
        </w:tc>
      </w:tr>
      <w:tr>
        <w:trPr>
          <w:trHeight w:val="223"/>
        </w:trPr>
        <w:tc>
          <w:tcPr>
            <w:tcW w:w="9360" w:type="dxa"/>
            <w:vAlign w:val="bottom"/>
          </w:tcPr>
          <w:p>
            <w:pPr>
              <w:ind w:left="460"/>
              <w:spacing w:after="0"/>
              <w:rPr>
                <w:sz w:val="20"/>
                <w:szCs w:val="20"/>
                <w:color w:val="auto"/>
              </w:rPr>
            </w:pPr>
            <w:r>
              <w:rPr>
                <w:rFonts w:ascii="Arial" w:cs="Arial" w:eastAsia="Arial" w:hAnsi="Arial"/>
                <w:sz w:val="17"/>
                <w:szCs w:val="17"/>
                <w:color w:val="auto"/>
              </w:rPr>
              <w:t>2023</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467,316</w:t>
            </w:r>
          </w:p>
        </w:tc>
      </w:tr>
      <w:tr>
        <w:trPr>
          <w:trHeight w:val="223"/>
        </w:trPr>
        <w:tc>
          <w:tcPr>
            <w:tcW w:w="93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2024</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425,000</w:t>
            </w:r>
          </w:p>
        </w:tc>
      </w:tr>
      <w:tr>
        <w:trPr>
          <w:trHeight w:val="223"/>
        </w:trPr>
        <w:tc>
          <w:tcPr>
            <w:tcW w:w="9360" w:type="dxa"/>
            <w:vAlign w:val="bottom"/>
          </w:tcPr>
          <w:p>
            <w:pPr>
              <w:ind w:left="460"/>
              <w:spacing w:after="0"/>
              <w:rPr>
                <w:sz w:val="20"/>
                <w:szCs w:val="20"/>
                <w:color w:val="auto"/>
              </w:rPr>
            </w:pPr>
            <w:r>
              <w:rPr>
                <w:rFonts w:ascii="Arial" w:cs="Arial" w:eastAsia="Arial" w:hAnsi="Arial"/>
                <w:sz w:val="17"/>
                <w:szCs w:val="17"/>
                <w:color w:val="auto"/>
              </w:rPr>
              <w:t>2025</w:t>
            </w: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399,531</w:t>
            </w:r>
          </w:p>
        </w:tc>
      </w:tr>
      <w:tr>
        <w:trPr>
          <w:trHeight w:val="223"/>
        </w:trPr>
        <w:tc>
          <w:tcPr>
            <w:tcW w:w="936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2026</w:t>
            </w: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803,537</w:t>
            </w:r>
          </w:p>
        </w:tc>
      </w:tr>
      <w:tr>
        <w:trPr>
          <w:trHeight w:val="223"/>
        </w:trPr>
        <w:tc>
          <w:tcPr>
            <w:tcW w:w="936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Thereafter</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3,495,148</w:t>
            </w:r>
          </w:p>
        </w:tc>
      </w:tr>
      <w:tr>
        <w:trPr>
          <w:trHeight w:val="241"/>
        </w:trPr>
        <w:tc>
          <w:tcPr>
            <w:tcW w:w="9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5,823,018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560" w:firstLine="433"/>
        <w:spacing w:after="0" w:line="289" w:lineRule="auto"/>
        <w:rPr>
          <w:sz w:val="20"/>
          <w:szCs w:val="20"/>
          <w:color w:val="auto"/>
        </w:rPr>
      </w:pPr>
      <w:r>
        <w:rPr>
          <w:rFonts w:ascii="Arial" w:cs="Arial" w:eastAsia="Arial" w:hAnsi="Arial"/>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1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w w:val="96"/>
              </w:rPr>
              <w:t>As of March 31, 2022</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28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rPr>
              <w:t>Revolving Lines of Credit</w:t>
            </w:r>
          </w:p>
        </w:tc>
        <w:tc>
          <w:tcPr>
            <w:tcW w:w="1680" w:type="dxa"/>
            <w:vAlign w:val="bottom"/>
            <w:gridSpan w:val="2"/>
            <w:vMerge w:val="restart"/>
          </w:tcPr>
          <w:p>
            <w:pPr>
              <w:ind w:left="480"/>
              <w:spacing w:after="0"/>
              <w:rPr>
                <w:sz w:val="20"/>
                <w:szCs w:val="20"/>
                <w:color w:val="auto"/>
              </w:rPr>
            </w:pPr>
            <w:r>
              <w:rPr>
                <w:rFonts w:ascii="Arial" w:cs="Arial" w:eastAsia="Arial" w:hAnsi="Arial"/>
                <w:sz w:val="17"/>
                <w:szCs w:val="17"/>
                <w:b w:val="1"/>
                <w:bCs w:val="1"/>
                <w:color w:val="auto"/>
                <w:w w:val="97"/>
              </w:rPr>
              <w:t>Amount Drawn</w:t>
            </w:r>
          </w:p>
        </w:tc>
        <w:tc>
          <w:tcPr>
            <w:tcW w:w="10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restart"/>
          </w:tcPr>
          <w:p>
            <w:pPr>
              <w:jc w:val="right"/>
              <w:ind w:right="233"/>
              <w:spacing w:after="0"/>
              <w:rPr>
                <w:sz w:val="20"/>
                <w:szCs w:val="20"/>
                <w:color w:val="auto"/>
              </w:rPr>
            </w:pPr>
            <w:r>
              <w:rPr>
                <w:rFonts w:ascii="Arial" w:cs="Arial" w:eastAsia="Arial" w:hAnsi="Arial"/>
                <w:sz w:val="17"/>
                <w:szCs w:val="17"/>
                <w:b w:val="1"/>
                <w:bCs w:val="1"/>
                <w:color w:val="auto"/>
              </w:rPr>
              <w:t>Capacity</w:t>
            </w:r>
          </w:p>
        </w:tc>
        <w:tc>
          <w:tcPr>
            <w:tcW w:w="100" w:type="dxa"/>
            <w:vAlign w:val="bottom"/>
          </w:tcPr>
          <w:p>
            <w:pPr>
              <w:spacing w:after="0"/>
              <w:rPr>
                <w:sz w:val="14"/>
                <w:szCs w:val="14"/>
                <w:color w:val="auto"/>
              </w:rPr>
            </w:pPr>
          </w:p>
        </w:tc>
        <w:tc>
          <w:tcPr>
            <w:tcW w:w="1180" w:type="dxa"/>
            <w:vAlign w:val="bottom"/>
          </w:tcPr>
          <w:p>
            <w:pPr>
              <w:jc w:val="center"/>
              <w:ind w:left="353"/>
              <w:spacing w:after="0" w:line="164" w:lineRule="exact"/>
              <w:rPr>
                <w:sz w:val="20"/>
                <w:szCs w:val="20"/>
                <w:color w:val="auto"/>
              </w:rPr>
            </w:pPr>
            <w:r>
              <w:rPr>
                <w:rFonts w:ascii="Arial" w:cs="Arial" w:eastAsia="Arial" w:hAnsi="Arial"/>
                <w:sz w:val="17"/>
                <w:szCs w:val="17"/>
                <w:b w:val="1"/>
                <w:bCs w:val="1"/>
                <w:color w:val="auto"/>
                <w:w w:val="94"/>
              </w:rPr>
              <w:t>Interest</w:t>
            </w:r>
          </w:p>
        </w:tc>
        <w:tc>
          <w:tcPr>
            <w:tcW w:w="120" w:type="dxa"/>
            <w:vAlign w:val="bottom"/>
          </w:tcPr>
          <w:p>
            <w:pPr>
              <w:spacing w:after="0"/>
              <w:rPr>
                <w:sz w:val="14"/>
                <w:szCs w:val="14"/>
                <w:color w:val="auto"/>
              </w:rPr>
            </w:pPr>
          </w:p>
        </w:tc>
        <w:tc>
          <w:tcPr>
            <w:tcW w:w="118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Maturity</w:t>
            </w:r>
          </w:p>
        </w:tc>
        <w:tc>
          <w:tcPr>
            <w:tcW w:w="100" w:type="dxa"/>
            <w:vAlign w:val="bottom"/>
            <w:vMerge w:val="restart"/>
          </w:tcPr>
          <w:p>
            <w:pPr>
              <w:spacing w:after="0"/>
              <w:rPr>
                <w:sz w:val="14"/>
                <w:szCs w:val="14"/>
                <w:color w:val="auto"/>
              </w:rPr>
            </w:pPr>
          </w:p>
        </w:tc>
        <w:tc>
          <w:tcPr>
            <w:tcW w:w="1420" w:type="dxa"/>
            <w:vAlign w:val="bottom"/>
            <w:vMerge w:val="restart"/>
          </w:tcPr>
          <w:p>
            <w:pPr>
              <w:ind w:left="620"/>
              <w:spacing w:after="0"/>
              <w:rPr>
                <w:sz w:val="20"/>
                <w:szCs w:val="20"/>
                <w:color w:val="auto"/>
              </w:rPr>
            </w:pPr>
            <w:r>
              <w:rPr>
                <w:rFonts w:ascii="Arial" w:cs="Arial" w:eastAsia="Arial" w:hAnsi="Arial"/>
                <w:sz w:val="17"/>
                <w:szCs w:val="17"/>
                <w:b w:val="1"/>
                <w:bCs w:val="1"/>
                <w:color w:val="auto"/>
                <w:w w:val="89"/>
              </w:rPr>
              <w:t>Basis Rate</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gridSpan w:val="2"/>
            <w:vMerge w:val="continue"/>
          </w:tcPr>
          <w:p>
            <w:pPr>
              <w:spacing w:after="0"/>
              <w:rPr>
                <w:sz w:val="19"/>
                <w:szCs w:val="19"/>
                <w:color w:val="auto"/>
              </w:rPr>
            </w:pPr>
          </w:p>
        </w:tc>
        <w:tc>
          <w:tcPr>
            <w:tcW w:w="168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rPr>
              <w:t>Rate</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400" w:type="dxa"/>
            <w:vAlign w:val="bottom"/>
            <w:shd w:val="clear" w:color="auto" w:fill="CCEEFF"/>
          </w:tcPr>
          <w:p>
            <w:pPr>
              <w:ind w:left="440"/>
              <w:spacing w:after="0" w:line="164" w:lineRule="exact"/>
              <w:rPr>
                <w:sz w:val="20"/>
                <w:szCs w:val="20"/>
                <w:color w:val="auto"/>
              </w:rPr>
            </w:pPr>
            <w:r>
              <w:rPr>
                <w:rFonts w:ascii="Arial" w:cs="Arial" w:eastAsia="Arial" w:hAnsi="Arial"/>
                <w:sz w:val="17"/>
                <w:szCs w:val="17"/>
                <w:color w:val="auto"/>
                <w:w w:val="97"/>
              </w:rPr>
              <w:t>Credit Line 1</w:t>
            </w:r>
          </w:p>
        </w:tc>
        <w:tc>
          <w:tcPr>
            <w:tcW w:w="1880" w:type="dxa"/>
            <w:vAlign w:val="bottom"/>
            <w:shd w:val="clear" w:color="auto" w:fill="CCEEFF"/>
          </w:tcPr>
          <w:p>
            <w:pPr>
              <w:ind w:left="20"/>
              <w:spacing w:after="0"/>
              <w:rPr>
                <w:sz w:val="20"/>
                <w:szCs w:val="20"/>
                <w:color w:val="auto"/>
              </w:rPr>
            </w:pPr>
            <w:r>
              <w:rPr>
                <w:rFonts w:ascii="Arial" w:cs="Arial" w:eastAsia="Arial" w:hAnsi="Arial"/>
                <w:sz w:val="11"/>
                <w:szCs w:val="11"/>
                <w:color w:val="auto"/>
              </w:rPr>
              <w:t>(2)</w:t>
            </w:r>
          </w:p>
        </w:tc>
        <w:tc>
          <w:tcPr>
            <w:tcW w:w="800" w:type="dxa"/>
            <w:vAlign w:val="bottom"/>
            <w:vMerge w:val="restart"/>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140,000</w:t>
            </w:r>
          </w:p>
        </w:tc>
        <w:tc>
          <w:tcPr>
            <w:tcW w:w="1280" w:type="dxa"/>
            <w:vAlign w:val="bottom"/>
            <w:gridSpan w:val="2"/>
            <w:vMerge w:val="restart"/>
            <w:shd w:val="clear" w:color="auto" w:fill="CCEEFF"/>
          </w:tcPr>
          <w:p>
            <w:pPr>
              <w:jc w:val="center"/>
              <w:ind w:left="473"/>
              <w:spacing w:after="0"/>
              <w:rPr>
                <w:sz w:val="20"/>
                <w:szCs w:val="20"/>
                <w:color w:val="auto"/>
              </w:rPr>
            </w:pPr>
            <w:r>
              <w:rPr>
                <w:rFonts w:ascii="Arial" w:cs="Arial" w:eastAsia="Arial" w:hAnsi="Arial"/>
                <w:sz w:val="17"/>
                <w:szCs w:val="17"/>
                <w:color w:val="auto"/>
                <w:w w:val="92"/>
              </w:rPr>
              <w:t>1.9%</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7/1/2023</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ind w:left="660"/>
              <w:spacing w:after="0" w:line="164" w:lineRule="exact"/>
              <w:rPr>
                <w:sz w:val="20"/>
                <w:szCs w:val="20"/>
                <w:color w:val="auto"/>
              </w:rPr>
            </w:pPr>
            <w:r>
              <w:rPr>
                <w:rFonts w:ascii="Arial" w:cs="Arial" w:eastAsia="Arial" w:hAnsi="Arial"/>
                <w:sz w:val="17"/>
                <w:szCs w:val="17"/>
                <w:color w:val="auto"/>
                <w:w w:val="94"/>
              </w:rPr>
              <w:t>LIBOR plu</w:t>
            </w:r>
          </w:p>
        </w:tc>
        <w:tc>
          <w:tcPr>
            <w:tcW w:w="0" w:type="dxa"/>
            <w:vAlign w:val="bottom"/>
          </w:tcPr>
          <w:p>
            <w:pPr>
              <w:spacing w:after="0"/>
              <w:rPr>
                <w:sz w:val="1"/>
                <w:szCs w:val="1"/>
                <w:color w:val="auto"/>
              </w:rPr>
            </w:pPr>
          </w:p>
        </w:tc>
      </w:tr>
      <w:tr>
        <w:trPr>
          <w:trHeight w:val="222"/>
        </w:trPr>
        <w:tc>
          <w:tcPr>
            <w:tcW w:w="14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171"/>
        </w:trPr>
        <w:tc>
          <w:tcPr>
            <w:tcW w:w="1400" w:type="dxa"/>
            <w:vAlign w:val="bottom"/>
          </w:tcPr>
          <w:p>
            <w:pPr>
              <w:ind w:left="440"/>
              <w:spacing w:after="0" w:line="172" w:lineRule="exact"/>
              <w:rPr>
                <w:sz w:val="20"/>
                <w:szCs w:val="20"/>
                <w:color w:val="auto"/>
              </w:rPr>
            </w:pPr>
            <w:r>
              <w:rPr>
                <w:rFonts w:ascii="Arial" w:cs="Arial" w:eastAsia="Arial" w:hAnsi="Arial"/>
                <w:sz w:val="17"/>
                <w:szCs w:val="17"/>
                <w:color w:val="auto"/>
                <w:w w:val="97"/>
              </w:rPr>
              <w:t>Credit Line 2</w:t>
            </w:r>
          </w:p>
        </w:tc>
        <w:tc>
          <w:tcPr>
            <w:tcW w:w="1880" w:type="dxa"/>
            <w:vAlign w:val="bottom"/>
          </w:tcPr>
          <w:p>
            <w:pPr>
              <w:ind w:left="20"/>
              <w:spacing w:after="0"/>
              <w:rPr>
                <w:sz w:val="20"/>
                <w:szCs w:val="20"/>
                <w:color w:val="auto"/>
              </w:rPr>
            </w:pPr>
            <w:r>
              <w:rPr>
                <w:rFonts w:ascii="Arial" w:cs="Arial" w:eastAsia="Arial" w:hAnsi="Arial"/>
                <w:sz w:val="11"/>
                <w:szCs w:val="11"/>
                <w:color w:val="auto"/>
              </w:rPr>
              <w:t>(3)(4)</w:t>
            </w:r>
          </w:p>
        </w:tc>
        <w:tc>
          <w:tcPr>
            <w:tcW w:w="8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1,250,000</w:t>
            </w:r>
          </w:p>
        </w:tc>
        <w:tc>
          <w:tcPr>
            <w:tcW w:w="1280" w:type="dxa"/>
            <w:vAlign w:val="bottom"/>
            <w:gridSpan w:val="2"/>
            <w:vMerge w:val="restart"/>
          </w:tcPr>
          <w:p>
            <w:pPr>
              <w:jc w:val="center"/>
              <w:ind w:left="473"/>
              <w:spacing w:after="0"/>
              <w:rPr>
                <w:sz w:val="20"/>
                <w:szCs w:val="20"/>
                <w:color w:val="auto"/>
              </w:rPr>
            </w:pPr>
            <w:r>
              <w:rPr>
                <w:rFonts w:ascii="Arial" w:cs="Arial" w:eastAsia="Arial" w:hAnsi="Arial"/>
                <w:sz w:val="17"/>
                <w:szCs w:val="17"/>
                <w:color w:val="auto"/>
                <w:w w:val="92"/>
              </w:rPr>
              <w:t>1.3%</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6/20/2025</w:t>
            </w:r>
          </w:p>
        </w:tc>
        <w:tc>
          <w:tcPr>
            <w:tcW w:w="100" w:type="dxa"/>
            <w:vAlign w:val="bottom"/>
          </w:tcPr>
          <w:p>
            <w:pPr>
              <w:spacing w:after="0"/>
              <w:rPr>
                <w:sz w:val="14"/>
                <w:szCs w:val="14"/>
                <w:color w:val="auto"/>
              </w:rPr>
            </w:pPr>
          </w:p>
        </w:tc>
        <w:tc>
          <w:tcPr>
            <w:tcW w:w="1420" w:type="dxa"/>
            <w:vAlign w:val="bottom"/>
          </w:tcPr>
          <w:p>
            <w:pPr>
              <w:ind w:left="660"/>
              <w:spacing w:after="0" w:line="172" w:lineRule="exact"/>
              <w:rPr>
                <w:sz w:val="20"/>
                <w:szCs w:val="20"/>
                <w:color w:val="auto"/>
              </w:rPr>
            </w:pPr>
            <w:r>
              <w:rPr>
                <w:rFonts w:ascii="Arial" w:cs="Arial" w:eastAsia="Arial" w:hAnsi="Arial"/>
                <w:sz w:val="17"/>
                <w:szCs w:val="17"/>
                <w:color w:val="auto"/>
                <w:w w:val="94"/>
              </w:rPr>
              <w:t>LIBOR plu</w:t>
            </w:r>
          </w:p>
        </w:tc>
        <w:tc>
          <w:tcPr>
            <w:tcW w:w="0" w:type="dxa"/>
            <w:vAlign w:val="bottom"/>
          </w:tcPr>
          <w:p>
            <w:pPr>
              <w:spacing w:after="0"/>
              <w:rPr>
                <w:sz w:val="1"/>
                <w:szCs w:val="1"/>
                <w:color w:val="auto"/>
              </w:rPr>
            </w:pPr>
          </w:p>
        </w:tc>
      </w:tr>
      <w:tr>
        <w:trPr>
          <w:trHeight w:val="222"/>
        </w:trPr>
        <w:tc>
          <w:tcPr>
            <w:tcW w:w="14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CCEEFF"/>
            </w:tcBorders>
            <w:gridSpan w:val="2"/>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0.85%</w:t>
            </w:r>
          </w:p>
        </w:tc>
        <w:tc>
          <w:tcPr>
            <w:tcW w:w="0" w:type="dxa"/>
            <w:vAlign w:val="bottom"/>
          </w:tcPr>
          <w:p>
            <w:pPr>
              <w:spacing w:after="0"/>
              <w:rPr>
                <w:sz w:val="1"/>
                <w:szCs w:val="1"/>
                <w:color w:val="auto"/>
              </w:rPr>
            </w:pPr>
          </w:p>
        </w:tc>
      </w:tr>
      <w:tr>
        <w:trPr>
          <w:trHeight w:val="222"/>
        </w:trPr>
        <w:tc>
          <w:tcPr>
            <w:tcW w:w="14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220,000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1,390,000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1120" w:hanging="232"/>
        <w:spacing w:after="0"/>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30-day USD LIBOR</w:t>
      </w:r>
    </w:p>
    <w:p>
      <w:pPr>
        <w:spacing w:after="0" w:line="25" w:lineRule="exact"/>
        <w:rPr>
          <w:rFonts w:ascii="Arial" w:cs="Arial" w:eastAsia="Arial" w:hAnsi="Arial"/>
          <w:sz w:val="16"/>
          <w:szCs w:val="16"/>
          <w:color w:val="auto"/>
        </w:rPr>
      </w:pPr>
    </w:p>
    <w:p>
      <w:pPr>
        <w:ind w:left="1120" w:hanging="232"/>
        <w:spacing w:after="0"/>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Secured by mortgages on certain real estate assets. No remaining extensions available.</w:t>
      </w:r>
    </w:p>
    <w:p>
      <w:pPr>
        <w:spacing w:after="0" w:line="25" w:lineRule="exact"/>
        <w:rPr>
          <w:rFonts w:ascii="Arial" w:cs="Arial" w:eastAsia="Arial" w:hAnsi="Arial"/>
          <w:sz w:val="16"/>
          <w:szCs w:val="16"/>
          <w:color w:val="auto"/>
        </w:rPr>
      </w:pPr>
    </w:p>
    <w:p>
      <w:pPr>
        <w:ind w:left="1120" w:hanging="232"/>
        <w:spacing w:after="0"/>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Unsecured. Two six-month extensions available.</w:t>
      </w:r>
    </w:p>
    <w:p>
      <w:pPr>
        <w:spacing w:after="0" w:line="25" w:lineRule="exact"/>
        <w:rPr>
          <w:rFonts w:ascii="Arial" w:cs="Arial" w:eastAsia="Arial" w:hAnsi="Arial"/>
          <w:sz w:val="16"/>
          <w:szCs w:val="16"/>
          <w:color w:val="auto"/>
        </w:rPr>
      </w:pPr>
    </w:p>
    <w:p>
      <w:pPr>
        <w:ind w:left="1120" w:hanging="232"/>
        <w:spacing w:after="0"/>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Basis Rate as of March 31, 2022. Rate is subject to change based on the Company's investment grade rating.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3" w:lineRule="exact"/>
        <w:rPr>
          <w:rFonts w:ascii="Arial" w:cs="Arial" w:eastAsia="Arial" w:hAnsi="Arial"/>
          <w:sz w:val="16"/>
          <w:szCs w:val="16"/>
          <w:color w:val="auto"/>
        </w:rPr>
      </w:pPr>
    </w:p>
    <w:p>
      <w:pPr>
        <w:ind w:left="400" w:hanging="395"/>
        <w:spacing w:after="0"/>
        <w:tabs>
          <w:tab w:leader="none" w:pos="4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-1036320</wp:posOffset>
            </wp:positionV>
            <wp:extent cx="223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31390" cy="8255"/>
                    </a:xfrm>
                    <a:prstGeom prst="rect">
                      <a:avLst/>
                    </a:prstGeom>
                    <a:noFill/>
                  </pic:spPr>
                </pic:pic>
              </a:graphicData>
            </a:graphic>
          </wp:anchor>
        </w:drawing>
      </w:r>
    </w:p>
    <w:p>
      <w:pPr>
        <w:spacing w:after="0" w:line="236" w:lineRule="exact"/>
        <w:rPr>
          <w:sz w:val="20"/>
          <w:szCs w:val="20"/>
          <w:color w:val="auto"/>
        </w:rPr>
      </w:pPr>
    </w:p>
    <w:p>
      <w:pPr>
        <w:ind w:right="360" w:firstLine="433"/>
        <w:spacing w:after="0" w:line="281" w:lineRule="auto"/>
        <w:rPr>
          <w:sz w:val="20"/>
          <w:szCs w:val="20"/>
          <w:color w:val="auto"/>
        </w:rPr>
      </w:pPr>
      <w:r>
        <w:rPr>
          <w:rFonts w:ascii="Arial" w:cs="Arial" w:eastAsia="Arial" w:hAnsi="Arial"/>
          <w:sz w:val="16"/>
          <w:szCs w:val="16"/>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Hedges of Interest Rate Risk</w:t>
      </w:r>
    </w:p>
    <w:p>
      <w:pPr>
        <w:spacing w:after="0" w:line="125" w:lineRule="exact"/>
        <w:rPr>
          <w:sz w:val="20"/>
          <w:szCs w:val="20"/>
          <w:color w:val="auto"/>
        </w:rPr>
      </w:pPr>
    </w:p>
    <w:p>
      <w:pPr>
        <w:ind w:right="200" w:firstLine="433"/>
        <w:spacing w:after="0" w:line="268" w:lineRule="auto"/>
        <w:rPr>
          <w:sz w:val="20"/>
          <w:szCs w:val="20"/>
          <w:color w:val="auto"/>
        </w:rPr>
      </w:pPr>
      <w:r>
        <w:rPr>
          <w:rFonts w:ascii="Arial" w:cs="Arial" w:eastAsia="Arial" w:hAnsi="Arial"/>
          <w:sz w:val="17"/>
          <w:szCs w:val="17"/>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7"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months ended March 31, 2022 and 2021, such derivatives were used to hedge the variable cash flows associated with existing variable-rate debt. In the coming 12 months, the Company estimates that $5,472 will be reclassified as an increase to interest expense.</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held 19 derivative financial instruments which had a total combined notional amount of $1,934,369 as of March 31, 2022.</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Values of Derivative Instruments</w:t>
      </w:r>
    </w:p>
    <w:p>
      <w:pPr>
        <w:spacing w:after="0" w:line="125" w:lineRule="exact"/>
        <w:rPr>
          <w:sz w:val="20"/>
          <w:szCs w:val="20"/>
          <w:color w:val="auto"/>
        </w:rPr>
      </w:pPr>
    </w:p>
    <w:p>
      <w:pPr>
        <w:ind w:right="320" w:firstLine="433"/>
        <w:spacing w:after="0" w:line="275" w:lineRule="auto"/>
        <w:rPr>
          <w:sz w:val="20"/>
          <w:szCs w:val="20"/>
          <w:color w:val="auto"/>
        </w:rPr>
      </w:pPr>
      <w:r>
        <w:rPr>
          <w:rFonts w:ascii="Arial" w:cs="Arial" w:eastAsia="Arial" w:hAnsi="Arial"/>
          <w:sz w:val="17"/>
          <w:szCs w:val="17"/>
          <w:color w:val="auto"/>
        </w:rPr>
        <w:t>The table below presents the fair value of the Company’s derivative financial instruments as well as their classification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898"/>
              <w:spacing w:after="0"/>
              <w:rPr>
                <w:sz w:val="20"/>
                <w:szCs w:val="20"/>
                <w:color w:val="auto"/>
              </w:rPr>
            </w:pPr>
            <w:r>
              <w:rPr>
                <w:rFonts w:ascii="Arial" w:cs="Arial" w:eastAsia="Arial" w:hAnsi="Arial"/>
                <w:sz w:val="14"/>
                <w:szCs w:val="14"/>
                <w:b w:val="1"/>
                <w:bCs w:val="1"/>
                <w:color w:val="auto"/>
              </w:rPr>
              <w:t>Asset / Liability Derivatives</w:t>
            </w:r>
          </w:p>
        </w:tc>
      </w:tr>
      <w:tr>
        <w:trPr>
          <w:trHeight w:val="193"/>
        </w:trPr>
        <w:tc>
          <w:tcPr>
            <w:tcW w:w="7180" w:type="dxa"/>
            <w:vAlign w:val="bottom"/>
          </w:tcPr>
          <w:p>
            <w:pPr>
              <w:ind w:left="4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64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600" w:type="dxa"/>
            <w:vAlign w:val="bottom"/>
          </w:tcPr>
          <w:p>
            <w:pPr>
              <w:spacing w:after="0"/>
              <w:rPr>
                <w:sz w:val="16"/>
                <w:szCs w:val="16"/>
                <w:color w:val="auto"/>
              </w:rPr>
            </w:pPr>
          </w:p>
        </w:tc>
        <w:tc>
          <w:tcPr>
            <w:tcW w:w="1380" w:type="dxa"/>
            <w:vAlign w:val="bottom"/>
          </w:tcPr>
          <w:p>
            <w:pPr>
              <w:jc w:val="right"/>
              <w:ind w:right="118"/>
              <w:spacing w:after="0"/>
              <w:rPr>
                <w:sz w:val="20"/>
                <w:szCs w:val="20"/>
                <w:color w:val="auto"/>
              </w:rPr>
            </w:pPr>
            <w:r>
              <w:rPr>
                <w:rFonts w:ascii="Arial" w:cs="Arial" w:eastAsia="Arial" w:hAnsi="Arial"/>
                <w:sz w:val="14"/>
                <w:szCs w:val="14"/>
                <w:b w:val="1"/>
                <w:bCs w:val="1"/>
                <w:color w:val="auto"/>
                <w:w w:val="91"/>
              </w:rPr>
              <w:t>December 31, 2021</w:t>
            </w:r>
          </w:p>
        </w:tc>
      </w:tr>
      <w:tr>
        <w:trPr>
          <w:trHeight w:val="219"/>
        </w:trPr>
        <w:tc>
          <w:tcPr>
            <w:tcW w:w="718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Other assets</w:t>
            </w: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13,981</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r>
      <w:tr>
        <w:trPr>
          <w:trHeight w:val="222"/>
        </w:trPr>
        <w:tc>
          <w:tcPr>
            <w:tcW w:w="7180" w:type="dxa"/>
            <w:vAlign w:val="bottom"/>
          </w:tcPr>
          <w:p>
            <w:pPr>
              <w:ind w:left="460"/>
              <w:spacing w:after="0"/>
              <w:rPr>
                <w:sz w:val="20"/>
                <w:szCs w:val="20"/>
                <w:color w:val="auto"/>
              </w:rPr>
            </w:pPr>
            <w:r>
              <w:rPr>
                <w:rFonts w:ascii="Arial" w:cs="Arial" w:eastAsia="Arial" w:hAnsi="Arial"/>
                <w:sz w:val="17"/>
                <w:szCs w:val="17"/>
                <w:color w:val="auto"/>
              </w:rPr>
              <w:t>Other liabilities</w:t>
            </w:r>
          </w:p>
        </w:tc>
        <w:tc>
          <w:tcPr>
            <w:tcW w:w="6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
              <w:spacing w:after="0"/>
              <w:rPr>
                <w:sz w:val="20"/>
                <w:szCs w:val="20"/>
                <w:color w:val="auto"/>
              </w:rPr>
            </w:pPr>
            <w:r>
              <w:rPr>
                <w:rFonts w:ascii="Arial" w:cs="Arial" w:eastAsia="Arial" w:hAnsi="Arial"/>
                <w:sz w:val="17"/>
                <w:szCs w:val="17"/>
                <w:color w:val="auto"/>
              </w:rPr>
              <w:t>2,189</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39,569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Derivative Instruments</w:t>
      </w:r>
    </w:p>
    <w:p>
      <w:pPr>
        <w:spacing w:after="0" w:line="125" w:lineRule="exact"/>
        <w:rPr>
          <w:sz w:val="20"/>
          <w:szCs w:val="20"/>
          <w:color w:val="auto"/>
        </w:rPr>
      </w:pPr>
    </w:p>
    <w:p>
      <w:pPr>
        <w:ind w:right="380" w:firstLine="433"/>
        <w:spacing w:after="0" w:line="289" w:lineRule="auto"/>
        <w:rPr>
          <w:sz w:val="20"/>
          <w:szCs w:val="20"/>
          <w:color w:val="auto"/>
        </w:rPr>
      </w:pPr>
      <w:r>
        <w:rPr>
          <w:rFonts w:ascii="Arial" w:cs="Arial" w:eastAsia="Arial" w:hAnsi="Arial"/>
          <w:sz w:val="17"/>
          <w:szCs w:val="17"/>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740" w:type="dxa"/>
            <w:vAlign w:val="bottom"/>
            <w:gridSpan w:val="6"/>
          </w:tcPr>
          <w:p>
            <w:pPr>
              <w:jc w:val="right"/>
              <w:ind w:right="1"/>
              <w:spacing w:after="0"/>
              <w:rPr>
                <w:sz w:val="20"/>
                <w:szCs w:val="20"/>
                <w:color w:val="auto"/>
              </w:rPr>
            </w:pPr>
            <w:r>
              <w:rPr>
                <w:rFonts w:ascii="Arial" w:cs="Arial" w:eastAsia="Arial" w:hAnsi="Arial"/>
                <w:sz w:val="14"/>
                <w:szCs w:val="14"/>
                <w:b w:val="1"/>
                <w:bCs w:val="1"/>
                <w:color w:val="auto"/>
              </w:rPr>
              <w:t>Gain (loss) recognized in OCI For the Three Months</w:t>
            </w:r>
          </w:p>
        </w:tc>
        <w:tc>
          <w:tcPr>
            <w:tcW w:w="100" w:type="dxa"/>
            <w:vAlign w:val="bottom"/>
          </w:tcPr>
          <w:p>
            <w:pPr>
              <w:spacing w:after="0"/>
              <w:rPr>
                <w:sz w:val="14"/>
                <w:szCs w:val="14"/>
                <w:color w:val="auto"/>
              </w:rPr>
            </w:pPr>
          </w:p>
        </w:tc>
        <w:tc>
          <w:tcPr>
            <w:tcW w:w="1500" w:type="dxa"/>
            <w:vAlign w:val="bottom"/>
            <w:gridSpan w:val="2"/>
            <w:vMerge w:val="restart"/>
          </w:tcPr>
          <w:p>
            <w:pPr>
              <w:jc w:val="center"/>
              <w:ind w:left="264"/>
              <w:spacing w:after="0"/>
              <w:rPr>
                <w:sz w:val="20"/>
                <w:szCs w:val="20"/>
                <w:color w:val="auto"/>
              </w:rPr>
            </w:pPr>
            <w:r>
              <w:rPr>
                <w:rFonts w:ascii="Arial" w:cs="Arial" w:eastAsia="Arial" w:hAnsi="Arial"/>
                <w:sz w:val="14"/>
                <w:szCs w:val="14"/>
                <w:b w:val="1"/>
                <w:bCs w:val="1"/>
                <w:color w:val="auto"/>
                <w:w w:val="90"/>
              </w:rPr>
              <w:t>Location of</w:t>
            </w:r>
          </w:p>
        </w:tc>
        <w:tc>
          <w:tcPr>
            <w:tcW w:w="600" w:type="dxa"/>
            <w:vAlign w:val="bottom"/>
          </w:tcPr>
          <w:p>
            <w:pPr>
              <w:spacing w:after="0"/>
              <w:rPr>
                <w:sz w:val="14"/>
                <w:szCs w:val="14"/>
                <w:color w:val="auto"/>
              </w:rPr>
            </w:pPr>
          </w:p>
        </w:tc>
        <w:tc>
          <w:tcPr>
            <w:tcW w:w="312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w w:val="92"/>
              </w:rPr>
              <w:t>Gain (loss) reclassified from OCI For the Three</w:t>
            </w: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gridSpan w:val="3"/>
          </w:tcPr>
          <w:p>
            <w:pPr>
              <w:ind w:left="580"/>
              <w:spacing w:after="0" w:line="131" w:lineRule="exact"/>
              <w:rPr>
                <w:sz w:val="20"/>
                <w:szCs w:val="20"/>
                <w:color w:val="auto"/>
              </w:rPr>
            </w:pPr>
            <w:r>
              <w:rPr>
                <w:rFonts w:ascii="Arial" w:cs="Arial" w:eastAsia="Arial" w:hAnsi="Arial"/>
                <w:sz w:val="14"/>
                <w:szCs w:val="14"/>
                <w:b w:val="1"/>
                <w:bCs w:val="1"/>
                <w:color w:val="auto"/>
                <w:w w:val="89"/>
              </w:rPr>
              <w:t>Ended March 31,</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2160" w:type="dxa"/>
            <w:vAlign w:val="bottom"/>
            <w:gridSpan w:val="3"/>
          </w:tcPr>
          <w:p>
            <w:pPr>
              <w:jc w:val="right"/>
              <w:ind w:right="53"/>
              <w:spacing w:after="0" w:line="131" w:lineRule="exact"/>
              <w:rPr>
                <w:sz w:val="20"/>
                <w:szCs w:val="20"/>
                <w:color w:val="auto"/>
              </w:rPr>
            </w:pPr>
            <w:r>
              <w:rPr>
                <w:rFonts w:ascii="Arial" w:cs="Arial" w:eastAsia="Arial" w:hAnsi="Arial"/>
                <w:sz w:val="14"/>
                <w:szCs w:val="14"/>
                <w:b w:val="1"/>
                <w:bCs w:val="1"/>
                <w:color w:val="auto"/>
              </w:rPr>
              <w:t>Months Ended March 31,</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500" w:type="dxa"/>
            <w:vAlign w:val="bottom"/>
            <w:gridSpan w:val="2"/>
            <w:vMerge w:val="restart"/>
          </w:tcPr>
          <w:p>
            <w:pPr>
              <w:jc w:val="center"/>
              <w:ind w:right="120"/>
              <w:spacing w:after="0" w:line="118" w:lineRule="exact"/>
              <w:rPr>
                <w:sz w:val="20"/>
                <w:szCs w:val="20"/>
                <w:color w:val="auto"/>
              </w:rPr>
            </w:pPr>
            <w:r>
              <w:rPr>
                <w:rFonts w:ascii="Arial" w:cs="Arial" w:eastAsia="Arial" w:hAnsi="Arial"/>
                <w:sz w:val="13"/>
                <w:szCs w:val="13"/>
                <w:b w:val="1"/>
                <w:bCs w:val="1"/>
                <w:color w:val="auto"/>
                <w:w w:val="94"/>
              </w:rPr>
              <w:t>amounts reclassified</w:t>
            </w:r>
          </w:p>
        </w:tc>
        <w:tc>
          <w:tcPr>
            <w:tcW w:w="6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8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Type</w:t>
            </w:r>
          </w:p>
        </w:tc>
        <w:tc>
          <w:tcPr>
            <w:tcW w:w="1060" w:type="dxa"/>
            <w:vAlign w:val="bottom"/>
            <w:vMerge w:val="restart"/>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260" w:type="dxa"/>
            <w:vAlign w:val="bottom"/>
            <w:vMerge w:val="restart"/>
          </w:tcPr>
          <w:p>
            <w:pPr>
              <w:jc w:val="right"/>
              <w:ind w:right="50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4"/>
        </w:trPr>
        <w:tc>
          <w:tcPr>
            <w:tcW w:w="2860" w:type="dxa"/>
            <w:vAlign w:val="bottom"/>
            <w:gridSpan w:val="4"/>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from OCI into income</w:t>
            </w:r>
          </w:p>
        </w:tc>
        <w:tc>
          <w:tcPr>
            <w:tcW w:w="6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80" w:type="dxa"/>
            <w:vAlign w:val="bottom"/>
            <w:gridSpan w:val="3"/>
            <w:shd w:val="clear" w:color="auto" w:fill="CCEEFF"/>
          </w:tcPr>
          <w:p>
            <w:pPr>
              <w:ind w:left="460"/>
              <w:spacing w:after="0" w:line="163" w:lineRule="exact"/>
              <w:rPr>
                <w:sz w:val="20"/>
                <w:szCs w:val="20"/>
                <w:color w:val="auto"/>
              </w:rPr>
            </w:pPr>
            <w:r>
              <w:rPr>
                <w:rFonts w:ascii="Arial" w:cs="Arial" w:eastAsia="Arial" w:hAnsi="Arial"/>
                <w:sz w:val="17"/>
                <w:szCs w:val="17"/>
                <w:color w:val="auto"/>
              </w:rPr>
              <w:t>Swap Agreements</w:t>
            </w:r>
          </w:p>
        </w:tc>
        <w:tc>
          <w:tcPr>
            <w:tcW w:w="7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42,741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14,176</w:t>
            </w:r>
          </w:p>
        </w:tc>
        <w:tc>
          <w:tcPr>
            <w:tcW w:w="10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center"/>
              <w:ind w:left="244"/>
              <w:spacing w:after="0" w:line="163" w:lineRule="exact"/>
              <w:rPr>
                <w:sz w:val="20"/>
                <w:szCs w:val="20"/>
                <w:color w:val="auto"/>
              </w:rPr>
            </w:pPr>
            <w:r>
              <w:rPr>
                <w:rFonts w:ascii="Arial" w:cs="Arial" w:eastAsia="Arial" w:hAnsi="Arial"/>
                <w:sz w:val="17"/>
                <w:szCs w:val="17"/>
                <w:color w:val="auto"/>
                <w:w w:val="95"/>
              </w:rPr>
              <w:t>Interest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(8,912)</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(8,845)</w:t>
            </w:r>
          </w:p>
        </w:tc>
        <w:tc>
          <w:tcPr>
            <w:tcW w:w="0" w:type="dxa"/>
            <w:vAlign w:val="bottom"/>
          </w:tcPr>
          <w:p>
            <w:pPr>
              <w:spacing w:after="0"/>
              <w:rPr>
                <w:sz w:val="1"/>
                <w:szCs w:val="1"/>
                <w:color w:val="auto"/>
              </w:rPr>
            </w:pPr>
          </w:p>
        </w:tc>
      </w:tr>
      <w:tr>
        <w:trPr>
          <w:trHeight w:val="217"/>
        </w:trPr>
        <w:tc>
          <w:tcPr>
            <w:tcW w:w="2860" w:type="dxa"/>
            <w:vAlign w:val="bottom"/>
            <w:gridSpan w:val="4"/>
            <w:shd w:val="clear" w:color="auto" w:fill="CCEEFF"/>
          </w:tcPr>
          <w:p>
            <w:pPr>
              <w:jc w:val="right"/>
              <w:ind w:right="170"/>
              <w:spacing w:after="0"/>
              <w:rPr>
                <w:sz w:val="20"/>
                <w:szCs w:val="20"/>
                <w:color w:val="auto"/>
              </w:rPr>
            </w:pPr>
            <w:r>
              <w:rPr>
                <w:rFonts w:ascii="Arial" w:cs="Arial" w:eastAsia="Arial" w:hAnsi="Arial"/>
                <w:sz w:val="17"/>
                <w:szCs w:val="17"/>
                <w:color w:val="auto"/>
              </w:rPr>
              <w:t>$</w:t>
            </w: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expense</w:t>
            </w:r>
          </w:p>
        </w:tc>
        <w:tc>
          <w:tcPr>
            <w:tcW w:w="60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Credit-risk-related Contingent Features</w:t>
      </w:r>
    </w:p>
    <w:p>
      <w:pPr>
        <w:spacing w:after="0" w:line="125" w:lineRule="exact"/>
        <w:rPr>
          <w:sz w:val="20"/>
          <w:szCs w:val="20"/>
          <w:color w:val="auto"/>
        </w:rPr>
      </w:pPr>
    </w:p>
    <w:p>
      <w:pPr>
        <w:jc w:val="both"/>
        <w:ind w:right="360" w:firstLine="433"/>
        <w:spacing w:after="0" w:line="273" w:lineRule="auto"/>
        <w:rPr>
          <w:sz w:val="20"/>
          <w:szCs w:val="20"/>
          <w:color w:val="auto"/>
        </w:rPr>
      </w:pPr>
      <w:r>
        <w:rPr>
          <w:rFonts w:ascii="Arial" w:cs="Arial" w:eastAsia="Arial" w:hAnsi="Arial"/>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98" w:lineRule="exact"/>
        <w:rPr>
          <w:sz w:val="20"/>
          <w:szCs w:val="20"/>
          <w:color w:val="auto"/>
        </w:rPr>
      </w:pPr>
    </w:p>
    <w:p>
      <w:pPr>
        <w:ind w:right="280" w:firstLine="433"/>
        <w:spacing w:after="0" w:line="273" w:lineRule="auto"/>
        <w:rPr>
          <w:sz w:val="20"/>
          <w:szCs w:val="20"/>
          <w:color w:val="auto"/>
        </w:rPr>
      </w:pPr>
      <w:r>
        <w:rPr>
          <w:rFonts w:ascii="Arial" w:cs="Arial" w:eastAsia="Arial" w:hAnsi="Arial"/>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98"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As of March 31, 2022, the fair value of derivatives in a net liability position, which includes accrued interest but excludes any adjustment for nonperformance risk, related to these agreements was $1,743. As of March 31, 2022, the Company had not posted any collateral related to these agreements. If the Company had breached any of these provisions as of March 31, 2022, it could have been required to cash settle its obligations under the agreements at their termination value of $1,743, including accrued interest.</w:t>
      </w: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tab/>
        <w:t>STOCKHOLDERS’ EQUITY</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January 7, 2022, the Company issued 186,766 shares of its common stock to acquire two stores for $40,965.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396" w:lineRule="exact"/>
        <w:rPr>
          <w:sz w:val="20"/>
          <w:szCs w:val="20"/>
          <w:color w:val="auto"/>
        </w:rPr>
      </w:pPr>
    </w:p>
    <w:p>
      <w:pPr>
        <w:ind w:right="220" w:firstLine="433"/>
        <w:spacing w:after="0" w:line="268" w:lineRule="auto"/>
        <w:rPr>
          <w:sz w:val="20"/>
          <w:szCs w:val="20"/>
          <w:color w:val="auto"/>
        </w:rPr>
      </w:pPr>
      <w:r>
        <w:rPr>
          <w:rFonts w:ascii="Arial" w:cs="Arial" w:eastAsia="Arial" w:hAnsi="Arial"/>
          <w:sz w:val="17"/>
          <w:szCs w:val="17"/>
          <w:color w:val="auto"/>
        </w:rPr>
        <w:t>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$66,617.</w:t>
      </w:r>
    </w:p>
    <w:p>
      <w:pPr>
        <w:spacing w:after="0" w:line="202"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On March 23, 2021, the Company sold 1,600,000 shares of its common stock in a registered offering structured as a bought deal at a price of $129.13 per share resulting in net proceeds of $206,572.</w:t>
      </w:r>
    </w:p>
    <w:p>
      <w:pPr>
        <w:spacing w:after="0" w:line="185" w:lineRule="exact"/>
        <w:rPr>
          <w:sz w:val="20"/>
          <w:szCs w:val="20"/>
          <w:color w:val="auto"/>
        </w:rPr>
      </w:pPr>
    </w:p>
    <w:p>
      <w:pPr>
        <w:ind w:right="640" w:firstLine="433"/>
        <w:spacing w:after="0" w:line="289" w:lineRule="auto"/>
        <w:rPr>
          <w:sz w:val="20"/>
          <w:szCs w:val="20"/>
          <w:color w:val="auto"/>
        </w:rPr>
      </w:pPr>
      <w:r>
        <w:rPr>
          <w:rFonts w:ascii="Arial" w:cs="Arial" w:eastAsia="Arial" w:hAnsi="Arial"/>
          <w:sz w:val="17"/>
          <w:szCs w:val="17"/>
          <w:color w:val="auto"/>
        </w:rPr>
        <w:t>On October 15, 2020, the Company's board of directors authorized a new share repurchase program allowing for the repurchase of shares with an aggregate value up to $400,000. No shares have been repurchased under the current program.</w:t>
      </w:r>
    </w:p>
    <w:p>
      <w:pPr>
        <w:spacing w:after="0" w:line="258"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12.</w:t>
        <w:tab/>
        <w:t>NONCONTROLLING INTEREST REPRESENTED BY PREFERRED OPERATING PARTNERSHIP UNITS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Classification of Noncontrolling Interests</w:t>
      </w:r>
    </w:p>
    <w:p>
      <w:pPr>
        <w:spacing w:after="0" w:line="119"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6" w:lineRule="exact"/>
        <w:rPr>
          <w:sz w:val="20"/>
          <w:szCs w:val="20"/>
          <w:color w:val="auto"/>
        </w:rPr>
      </w:pPr>
    </w:p>
    <w:p>
      <w:pPr>
        <w:ind w:right="280" w:firstLine="433"/>
        <w:spacing w:after="0" w:line="286" w:lineRule="auto"/>
        <w:rPr>
          <w:sz w:val="20"/>
          <w:szCs w:val="20"/>
          <w:color w:val="auto"/>
        </w:rPr>
      </w:pPr>
      <w:r>
        <w:rPr>
          <w:rFonts w:ascii="Arial" w:cs="Arial" w:eastAsia="Arial" w:hAnsi="Arial"/>
          <w:sz w:val="16"/>
          <w:szCs w:val="16"/>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89" w:lineRule="exact"/>
        <w:rPr>
          <w:sz w:val="20"/>
          <w:szCs w:val="20"/>
          <w:color w:val="auto"/>
        </w:rPr>
      </w:pPr>
    </w:p>
    <w:p>
      <w:pPr>
        <w:ind w:right="40" w:firstLine="433"/>
        <w:spacing w:after="0" w:line="286" w:lineRule="auto"/>
        <w:rPr>
          <w:sz w:val="20"/>
          <w:szCs w:val="20"/>
          <w:color w:val="auto"/>
        </w:rPr>
      </w:pPr>
      <w:r>
        <w:rPr>
          <w:rFonts w:ascii="Arial" w:cs="Arial" w:eastAsia="Arial" w:hAnsi="Arial"/>
          <w:sz w:val="16"/>
          <w:szCs w:val="16"/>
          <w:color w:val="auto"/>
        </w:rPr>
        <w:t>At March 31, 2022 and December 31, 2021,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March 31, 2022 and December 31, 2021,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6"/>
                <w:szCs w:val="16"/>
                <w:color w:val="auto"/>
              </w:rPr>
            </w:pPr>
          </w:p>
        </w:tc>
        <w:tc>
          <w:tcPr>
            <w:tcW w:w="186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 2021</w:t>
            </w:r>
          </w:p>
        </w:tc>
      </w:tr>
      <w:tr>
        <w:trPr>
          <w:trHeight w:val="221"/>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Series A Units</w:t>
            </w:r>
          </w:p>
        </w:tc>
        <w:tc>
          <w:tcPr>
            <w:tcW w:w="36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15,922</w:t>
            </w: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15,606</w:t>
            </w:r>
          </w:p>
        </w:tc>
      </w:tr>
      <w:tr>
        <w:trPr>
          <w:trHeight w:val="223"/>
        </w:trPr>
        <w:tc>
          <w:tcPr>
            <w:tcW w:w="6700" w:type="dxa"/>
            <w:vAlign w:val="bottom"/>
          </w:tcPr>
          <w:p>
            <w:pPr>
              <w:ind w:left="20"/>
              <w:spacing w:after="0"/>
              <w:rPr>
                <w:sz w:val="20"/>
                <w:szCs w:val="20"/>
                <w:color w:val="auto"/>
              </w:rPr>
            </w:pPr>
            <w:r>
              <w:rPr>
                <w:rFonts w:ascii="Arial" w:cs="Arial" w:eastAsia="Arial" w:hAnsi="Arial"/>
                <w:sz w:val="17"/>
                <w:szCs w:val="17"/>
                <w:color w:val="auto"/>
              </w:rPr>
              <w:t>Series B Units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34,693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38,068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Series D Units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205,436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205,436</w:t>
            </w:r>
          </w:p>
        </w:tc>
      </w:tr>
      <w:tr>
        <w:trPr>
          <w:trHeight w:val="216"/>
        </w:trPr>
        <w:tc>
          <w:tcPr>
            <w:tcW w:w="67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w w:val="84"/>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256,051</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259,110</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A Participating Redeemable Preferred Units</w:t>
      </w:r>
    </w:p>
    <w:p>
      <w:pPr>
        <w:spacing w:after="0" w:line="250" w:lineRule="exact"/>
        <w:rPr>
          <w:sz w:val="20"/>
          <w:szCs w:val="20"/>
          <w:color w:val="auto"/>
        </w:rPr>
      </w:pPr>
    </w:p>
    <w:p>
      <w:pPr>
        <w:ind w:right="260" w:firstLine="433"/>
        <w:spacing w:after="0" w:line="289" w:lineRule="auto"/>
        <w:rPr>
          <w:sz w:val="20"/>
          <w:szCs w:val="20"/>
          <w:color w:val="auto"/>
        </w:rPr>
      </w:pPr>
      <w:r>
        <w:rPr>
          <w:rFonts w:ascii="Arial" w:cs="Arial" w:eastAsia="Arial" w:hAnsi="Arial"/>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301" w:lineRule="exact"/>
        <w:rPr>
          <w:sz w:val="20"/>
          <w:szCs w:val="20"/>
          <w:color w:val="auto"/>
        </w:rPr>
      </w:pPr>
    </w:p>
    <w:p>
      <w:pPr>
        <w:ind w:right="60" w:firstLine="433"/>
        <w:spacing w:after="0" w:line="265" w:lineRule="auto"/>
        <w:rPr>
          <w:sz w:val="20"/>
          <w:szCs w:val="20"/>
          <w:color w:val="auto"/>
        </w:rPr>
      </w:pPr>
      <w:r>
        <w:rPr>
          <w:rFonts w:ascii="Arial" w:cs="Arial" w:eastAsia="Arial" w:hAnsi="Arial"/>
          <w:sz w:val="17"/>
          <w:szCs w:val="17"/>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OP Units. The Series A Units are redeemable at the option of the holder, which redemption obligation may be satisfied, at the Company’s option, in cash or shares of its common stock. As a result of the redemption of 114,500 Series A Units in October 2014, the remaining fixed liquidation value was reduced to $101,700, which represents 875,480 Series A Units.</w:t>
      </w:r>
    </w:p>
    <w:p>
      <w:pPr>
        <w:spacing w:after="0" w:line="206" w:lineRule="exact"/>
        <w:rPr>
          <w:sz w:val="20"/>
          <w:szCs w:val="20"/>
          <w:color w:val="auto"/>
        </w:rPr>
      </w:pPr>
    </w:p>
    <w:p>
      <w:pPr>
        <w:jc w:val="both"/>
        <w:ind w:right="60" w:firstLine="433"/>
        <w:spacing w:after="0" w:line="298" w:lineRule="auto"/>
        <w:rPr>
          <w:sz w:val="20"/>
          <w:szCs w:val="20"/>
          <w:color w:val="auto"/>
        </w:rPr>
      </w:pPr>
      <w:r>
        <w:rPr>
          <w:rFonts w:ascii="Arial" w:cs="Arial" w:eastAsia="Arial" w:hAnsi="Arial"/>
          <w:sz w:val="16"/>
          <w:szCs w:val="16"/>
          <w:color w:val="auto"/>
        </w:rPr>
        <w:t>On June 25, 2007, the Operating Partnership loaned the holder of the Series A Units $100,000. The loan bears interest at 2.1%.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B Redeemable Preferred Units</w:t>
      </w:r>
    </w:p>
    <w:p>
      <w:pPr>
        <w:spacing w:after="0" w:line="250" w:lineRule="exact"/>
        <w:rPr>
          <w:sz w:val="20"/>
          <w:szCs w:val="20"/>
          <w:color w:val="auto"/>
        </w:rPr>
      </w:pPr>
    </w:p>
    <w:p>
      <w:pPr>
        <w:jc w:val="both"/>
        <w:ind w:firstLine="433"/>
        <w:spacing w:after="0" w:line="360" w:lineRule="auto"/>
        <w:rPr>
          <w:sz w:val="20"/>
          <w:szCs w:val="20"/>
          <w:color w:val="auto"/>
        </w:rPr>
      </w:pPr>
      <w:r>
        <w:rPr>
          <w:rFonts w:ascii="Arial" w:cs="Arial" w:eastAsia="Arial" w:hAnsi="Arial"/>
          <w:sz w:val="15"/>
          <w:szCs w:val="15"/>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38"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Series B Units were issued in 2013 and 2014. The Series B Units have a liquidation value of $25.00 per unit for a fixed liquidation value of $34,693 which represents 1,387,727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February 15, 2022, 135,000 Series B Units were redeemed for $3,375 in cash.</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C Redeemable Preferred Units</w:t>
      </w:r>
    </w:p>
    <w:p>
      <w:pPr>
        <w:spacing w:after="0" w:line="237" w:lineRule="exact"/>
        <w:rPr>
          <w:sz w:val="20"/>
          <w:szCs w:val="20"/>
          <w:color w:val="auto"/>
        </w:rPr>
      </w:pPr>
    </w:p>
    <w:p>
      <w:pPr>
        <w:ind w:right="280" w:firstLine="433"/>
        <w:spacing w:after="0" w:line="241" w:lineRule="auto"/>
        <w:rPr>
          <w:sz w:val="20"/>
          <w:szCs w:val="20"/>
          <w:color w:val="auto"/>
        </w:rPr>
      </w:pPr>
      <w:r>
        <w:rPr>
          <w:rFonts w:ascii="Arial" w:cs="Arial" w:eastAsia="Arial" w:hAnsi="Arial"/>
          <w:sz w:val="17"/>
          <w:szCs w:val="17"/>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March 31, 2022 and December 31, 2021, there were no outstanding Series C Units.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Series D Redeemable Preferred Units</w:t>
      </w:r>
    </w:p>
    <w:p>
      <w:pPr>
        <w:spacing w:after="0" w:line="250" w:lineRule="exact"/>
        <w:rPr>
          <w:sz w:val="20"/>
          <w:szCs w:val="20"/>
          <w:color w:val="auto"/>
        </w:rPr>
      </w:pPr>
    </w:p>
    <w:p>
      <w:pPr>
        <w:jc w:val="both"/>
        <w:ind w:right="420" w:firstLine="433"/>
        <w:spacing w:after="0" w:line="273" w:lineRule="auto"/>
        <w:rPr>
          <w:sz w:val="20"/>
          <w:szCs w:val="20"/>
          <w:color w:val="auto"/>
        </w:rPr>
      </w:pPr>
      <w:r>
        <w:rPr>
          <w:rFonts w:ascii="Arial" w:cs="Arial" w:eastAsia="Arial" w:hAnsi="Arial"/>
          <w:sz w:val="17"/>
          <w:szCs w:val="17"/>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67" w:lineRule="exact"/>
        <w:rPr>
          <w:sz w:val="20"/>
          <w:szCs w:val="20"/>
          <w:color w:val="auto"/>
        </w:rPr>
      </w:pPr>
    </w:p>
    <w:p>
      <w:pPr>
        <w:ind w:right="80" w:firstLine="433"/>
        <w:spacing w:after="0" w:line="264" w:lineRule="auto"/>
        <w:rPr>
          <w:sz w:val="20"/>
          <w:szCs w:val="20"/>
          <w:color w:val="auto"/>
        </w:rPr>
      </w:pPr>
      <w:r>
        <w:rPr>
          <w:rFonts w:ascii="Arial" w:cs="Arial" w:eastAsia="Arial" w:hAnsi="Arial"/>
          <w:sz w:val="17"/>
          <w:szCs w:val="17"/>
          <w:color w:val="auto"/>
        </w:rPr>
        <w:t>The Series D Units have a liquidation value of $25.00 per unit, for a fixed liquidation value of $205,435, which represents 8,217,422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74" w:lineRule="exact"/>
        <w:rPr>
          <w:sz w:val="20"/>
          <w:szCs w:val="20"/>
          <w:color w:val="auto"/>
        </w:rPr>
      </w:pPr>
    </w:p>
    <w:p>
      <w:pPr>
        <w:ind w:right="200" w:firstLine="433"/>
        <w:spacing w:after="0" w:line="289" w:lineRule="auto"/>
        <w:rPr>
          <w:sz w:val="20"/>
          <w:szCs w:val="20"/>
          <w:color w:val="auto"/>
        </w:rPr>
      </w:pPr>
      <w:r>
        <w:rPr>
          <w:rFonts w:ascii="Arial" w:cs="Arial" w:eastAsia="Arial" w:hAnsi="Arial"/>
          <w:sz w:val="17"/>
          <w:szCs w:val="17"/>
          <w:color w:val="auto"/>
        </w:rPr>
        <w:t>The Series D Units have been issued at various times from 2014 to 2021. During the year ended December 31, 2021, the Operating Partnership issued a total of 3,522,937 Series D units valued at $88,073.</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13.</w:t>
        <w:tab/>
        <w:t>NONCONTROLLING INTEREST IN OPERATING PARTNERSHIP AND OTHER NONCONTROLLING INTERESTS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 in Operating Partnership</w:t>
      </w:r>
    </w:p>
    <w:p>
      <w:pPr>
        <w:spacing w:after="0" w:line="250" w:lineRule="exact"/>
        <w:rPr>
          <w:sz w:val="20"/>
          <w:szCs w:val="20"/>
          <w:color w:val="auto"/>
        </w:rPr>
      </w:pPr>
    </w:p>
    <w:p>
      <w:pPr>
        <w:ind w:firstLine="433"/>
        <w:spacing w:after="0" w:line="309" w:lineRule="auto"/>
        <w:rPr>
          <w:sz w:val="20"/>
          <w:szCs w:val="20"/>
          <w:color w:val="auto"/>
        </w:rPr>
      </w:pPr>
      <w:r>
        <w:rPr>
          <w:rFonts w:ascii="Arial" w:cs="Arial" w:eastAsia="Arial" w:hAnsi="Arial"/>
          <w:sz w:val="15"/>
          <w:szCs w:val="15"/>
          <w:color w:val="auto"/>
        </w:rPr>
        <w:t>The Company’s interest in its stores is held through the Operating Partnership. Between its general partner and limited partner interests, the Company held a 94.0% ownership interest in the Operating Partnership as of March 31, 2022. The remaining ownership interests in the Operating Partnership (including Preferred OP Units) of 6.0% are held by certain former owners of assets acquired by the Operating Partnership. As of March 31, 2022 and December 31, 2021,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175" w:lineRule="exact"/>
        <w:rPr>
          <w:sz w:val="20"/>
          <w:szCs w:val="20"/>
          <w:color w:val="auto"/>
        </w:rPr>
      </w:pPr>
    </w:p>
    <w:p>
      <w:pPr>
        <w:ind w:right="160" w:firstLine="433"/>
        <w:spacing w:after="0" w:line="262" w:lineRule="auto"/>
        <w:rPr>
          <w:sz w:val="20"/>
          <w:szCs w:val="20"/>
          <w:color w:val="auto"/>
        </w:rPr>
      </w:pPr>
      <w:r>
        <w:rPr>
          <w:rFonts w:ascii="Arial" w:cs="Arial" w:eastAsia="Arial" w:hAnsi="Arial"/>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March 31, 2022, the ten-day average closing price of the Company's common stock was $199.65 and there were 6,515,408 OP Units outstanding. Assuming that all of the OP Unit holders exercised their right to redeem all of their OP Units on March 31, 2022 and the Company elected to pay the OP Unit holders cash, the Company would have paid $1,300,801 in cash consideration to redeem the units.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OP Unit activity is summarized as follows for the periods presented: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39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6"/>
                <w:szCs w:val="16"/>
                <w:b w:val="1"/>
                <w:bCs w:val="1"/>
                <w:color w:val="auto"/>
              </w:rPr>
              <w:t>For the Three Months Ended March 31,</w:t>
            </w:r>
          </w:p>
        </w:tc>
        <w:tc>
          <w:tcPr>
            <w:tcW w:w="580" w:type="dxa"/>
            <w:vAlign w:val="bottom"/>
            <w:tcBorders>
              <w:bottom w:val="single" w:sz="8" w:color="auto"/>
            </w:tcBorders>
          </w:tcPr>
          <w:p>
            <w:pPr>
              <w:spacing w:after="0"/>
              <w:rPr>
                <w:sz w:val="18"/>
                <w:szCs w:val="18"/>
                <w:color w:val="auto"/>
              </w:rPr>
            </w:pPr>
          </w:p>
        </w:tc>
      </w:tr>
      <w:tr>
        <w:trPr>
          <w:trHeight w:val="203"/>
        </w:trPr>
        <w:tc>
          <w:tcPr>
            <w:tcW w:w="674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219"/>
        </w:trPr>
        <w:tc>
          <w:tcPr>
            <w:tcW w:w="67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OP Units redeemed for common stock</w:t>
            </w:r>
          </w:p>
        </w:tc>
        <w:tc>
          <w:tcPr>
            <w:tcW w:w="15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23"/>
        </w:trPr>
        <w:tc>
          <w:tcPr>
            <w:tcW w:w="6740" w:type="dxa"/>
            <w:vAlign w:val="bottom"/>
          </w:tcPr>
          <w:p>
            <w:pPr>
              <w:ind w:left="460"/>
              <w:spacing w:after="0"/>
              <w:rPr>
                <w:sz w:val="20"/>
                <w:szCs w:val="20"/>
                <w:color w:val="auto"/>
              </w:rPr>
            </w:pPr>
            <w:r>
              <w:rPr>
                <w:rFonts w:ascii="Arial" w:cs="Arial" w:eastAsia="Arial" w:hAnsi="Arial"/>
                <w:sz w:val="17"/>
                <w:szCs w:val="17"/>
                <w:color w:val="auto"/>
              </w:rPr>
              <w:t>OP Units redeemed for cash</w:t>
            </w:r>
          </w:p>
        </w:tc>
        <w:tc>
          <w:tcPr>
            <w:tcW w:w="156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7"/>
                <w:szCs w:val="17"/>
                <w:color w:val="auto"/>
              </w:rPr>
              <w:t>13,028</w:t>
            </w: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67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Cash paid for OP Units redeemed</w:t>
            </w:r>
          </w:p>
        </w:tc>
        <w:tc>
          <w:tcPr>
            <w:tcW w:w="1560" w:type="dxa"/>
            <w:vAlign w:val="bottom"/>
            <w:shd w:val="clear" w:color="auto" w:fill="CCEEFF"/>
          </w:tcPr>
          <w:p>
            <w:pPr>
              <w:jc w:val="right"/>
              <w:ind w:right="958"/>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2,672</w:t>
            </w:r>
          </w:p>
        </w:tc>
        <w:tc>
          <w:tcPr>
            <w:tcW w:w="1460" w:type="dxa"/>
            <w:vAlign w:val="bottom"/>
            <w:shd w:val="clear" w:color="auto" w:fill="CCEEFF"/>
          </w:tcPr>
          <w:p>
            <w:pPr>
              <w:jc w:val="right"/>
              <w:ind w:right="97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315"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206"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Noncontrolling Interests</w:t>
      </w:r>
    </w:p>
    <w:p>
      <w:pPr>
        <w:spacing w:after="0" w:line="250" w:lineRule="exact"/>
        <w:rPr>
          <w:sz w:val="20"/>
          <w:szCs w:val="20"/>
          <w:color w:val="auto"/>
        </w:rPr>
      </w:pPr>
    </w:p>
    <w:p>
      <w:pPr>
        <w:ind w:right="20" w:firstLine="433"/>
        <w:spacing w:after="0" w:line="289" w:lineRule="auto"/>
        <w:rPr>
          <w:sz w:val="20"/>
          <w:szCs w:val="20"/>
          <w:color w:val="auto"/>
        </w:rPr>
      </w:pPr>
      <w:r>
        <w:rPr>
          <w:rFonts w:ascii="Arial" w:cs="Arial" w:eastAsia="Arial" w:hAnsi="Arial"/>
          <w:sz w:val="17"/>
          <w:szCs w:val="17"/>
          <w:color w:val="auto"/>
        </w:rPr>
        <w:t>Other noncontrolling interests represent the ownership interests of third parties in one consolidated joint ventures as of March 31, 2022. This joint venture owns one property that is under development in Florida. The voting interests of the third-party owners are 10.0%.</w:t>
      </w:r>
    </w:p>
    <w:p>
      <w:pPr>
        <w:spacing w:after="0" w:line="258"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14.</w:t>
        <w:tab/>
        <w:t>SEGMENT INFORMATION</w:t>
      </w:r>
    </w:p>
    <w:p>
      <w:pPr>
        <w:spacing w:after="0" w:line="256" w:lineRule="exact"/>
        <w:rPr>
          <w:sz w:val="20"/>
          <w:szCs w:val="20"/>
          <w:color w:val="auto"/>
        </w:rPr>
      </w:pPr>
    </w:p>
    <w:p>
      <w:pPr>
        <w:ind w:right="140" w:firstLine="433"/>
        <w:spacing w:after="0" w:line="262" w:lineRule="auto"/>
        <w:rPr>
          <w:sz w:val="20"/>
          <w:szCs w:val="20"/>
          <w:color w:val="auto"/>
        </w:rPr>
      </w:pPr>
      <w:r>
        <w:rPr>
          <w:rFonts w:ascii="Arial" w:cs="Arial" w:eastAsia="Arial" w:hAnsi="Arial"/>
          <w:sz w:val="17"/>
          <w:szCs w:val="17"/>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reportable operating segments. NOI for the Company's self-storage operations represents total property revenue less direct property operating expenses. NOI for the Company's tenant reinsurance segment represents tenant reinsurance revenues less tenant reinsurance expense.</w:t>
      </w:r>
    </w:p>
    <w:p>
      <w:pPr>
        <w:spacing w:after="0" w:line="196" w:lineRule="exact"/>
        <w:rPr>
          <w:sz w:val="20"/>
          <w:szCs w:val="20"/>
          <w:color w:val="auto"/>
        </w:rPr>
      </w:pPr>
    </w:p>
    <w:p>
      <w:pPr>
        <w:ind w:right="320" w:firstLine="433"/>
        <w:spacing w:after="0" w:line="290" w:lineRule="auto"/>
        <w:rPr>
          <w:sz w:val="20"/>
          <w:szCs w:val="20"/>
          <w:color w:val="auto"/>
        </w:rPr>
      </w:pPr>
      <w:r>
        <w:rPr>
          <w:rFonts w:ascii="Arial" w:cs="Arial" w:eastAsia="Arial" w:hAnsi="Arial"/>
          <w:sz w:val="16"/>
          <w:szCs w:val="16"/>
          <w:color w:val="auto"/>
        </w:rPr>
        <w:t>The Company has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86" w:lineRule="exact"/>
        <w:rPr>
          <w:sz w:val="20"/>
          <w:szCs w:val="20"/>
          <w:color w:val="auto"/>
        </w:rPr>
      </w:pPr>
    </w:p>
    <w:p>
      <w:pPr>
        <w:ind w:right="700" w:firstLine="433"/>
        <w:spacing w:after="0" w:line="322" w:lineRule="auto"/>
        <w:rPr>
          <w:sz w:val="20"/>
          <w:szCs w:val="20"/>
          <w:color w:val="auto"/>
        </w:rPr>
      </w:pPr>
      <w:r>
        <w:rPr>
          <w:rFonts w:ascii="Arial" w:cs="Arial" w:eastAsia="Arial" w:hAnsi="Arial"/>
          <w:sz w:val="16"/>
          <w:szCs w:val="16"/>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p>
      <w:pPr>
        <w:sectPr>
          <w:pgSz w:w="11900" w:h="16838" w:orient="portrait"/>
          <w:cols w:equalWidth="0" w:num="1">
            <w:col w:w="11240"/>
          </w:cols>
          <w:pgMar w:left="320" w:top="3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7300" w:type="dxa"/>
            <w:vAlign w:val="bottom"/>
          </w:tcPr>
          <w:p>
            <w:pPr>
              <w:spacing w:after="0"/>
              <w:rPr>
                <w:sz w:val="18"/>
                <w:szCs w:val="18"/>
                <w:color w:val="auto"/>
              </w:rPr>
            </w:pPr>
          </w:p>
        </w:tc>
        <w:tc>
          <w:tcPr>
            <w:tcW w:w="394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01"/>
        </w:trPr>
        <w:tc>
          <w:tcPr>
            <w:tcW w:w="7300" w:type="dxa"/>
            <w:vAlign w:val="bottom"/>
          </w:tcPr>
          <w:p>
            <w:pPr>
              <w:spacing w:after="0"/>
              <w:rPr>
                <w:sz w:val="17"/>
                <w:szCs w:val="17"/>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2021</w:t>
            </w:r>
          </w:p>
        </w:tc>
      </w:tr>
      <w:tr>
        <w:trPr>
          <w:trHeight w:val="192"/>
        </w:trPr>
        <w:tc>
          <w:tcPr>
            <w:tcW w:w="7300" w:type="dxa"/>
            <w:vAlign w:val="bottom"/>
          </w:tcPr>
          <w:p>
            <w:pPr>
              <w:ind w:left="20"/>
              <w:spacing w:after="0"/>
              <w:rPr>
                <w:sz w:val="20"/>
                <w:szCs w:val="20"/>
                <w:color w:val="auto"/>
              </w:rPr>
            </w:pPr>
            <w:r>
              <w:rPr>
                <w:rFonts w:ascii="Arial" w:cs="Arial" w:eastAsia="Arial" w:hAnsi="Arial"/>
                <w:sz w:val="16"/>
                <w:szCs w:val="16"/>
                <w:color w:val="auto"/>
              </w:rPr>
              <w:t>Revenues:</w:t>
            </w: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Self-Storage Operations</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379,808</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303,593</w:t>
            </w:r>
          </w:p>
        </w:tc>
      </w:tr>
      <w:tr>
        <w:trPr>
          <w:trHeight w:val="22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Tenant Reinsurance</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43,797</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39,619</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revenues</w:t>
            </w: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423,605</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343,212</w:t>
            </w:r>
          </w:p>
        </w:tc>
      </w:tr>
      <w:tr>
        <w:trPr>
          <w:trHeight w:val="229"/>
        </w:trPr>
        <w:tc>
          <w:tcPr>
            <w:tcW w:w="7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3"/>
        </w:trPr>
        <w:tc>
          <w:tcPr>
            <w:tcW w:w="7300" w:type="dxa"/>
            <w:vAlign w:val="bottom"/>
          </w:tcPr>
          <w:p>
            <w:pPr>
              <w:ind w:left="20"/>
              <w:spacing w:after="0"/>
              <w:rPr>
                <w:sz w:val="20"/>
                <w:szCs w:val="20"/>
                <w:color w:val="auto"/>
              </w:rPr>
            </w:pPr>
            <w:r>
              <w:rPr>
                <w:rFonts w:ascii="Arial" w:cs="Arial" w:eastAsia="Arial" w:hAnsi="Arial"/>
                <w:sz w:val="16"/>
                <w:szCs w:val="16"/>
                <w:color w:val="auto"/>
              </w:rPr>
              <w:t>Self-Storage Operations</w:t>
            </w:r>
          </w:p>
        </w:tc>
        <w:tc>
          <w:tcPr>
            <w:tcW w:w="1240" w:type="dxa"/>
            <w:vAlign w:val="bottom"/>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103,542</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92,367</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Reinsurance</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7,042</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7,161</w:t>
            </w:r>
          </w:p>
        </w:tc>
      </w:tr>
      <w:tr>
        <w:trPr>
          <w:trHeight w:val="216"/>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segment operating expenses</w:t>
            </w: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110,584</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99,528</w:t>
            </w:r>
          </w:p>
        </w:tc>
      </w:tr>
      <w:tr>
        <w:trPr>
          <w:trHeight w:val="229"/>
        </w:trPr>
        <w:tc>
          <w:tcPr>
            <w:tcW w:w="7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Net operating income:</w:t>
            </w:r>
          </w:p>
        </w:tc>
        <w:tc>
          <w:tcPr>
            <w:tcW w:w="1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Self-Storage Operations</w:t>
            </w:r>
          </w:p>
        </w:tc>
        <w:tc>
          <w:tcPr>
            <w:tcW w:w="1240" w:type="dxa"/>
            <w:vAlign w:val="bottom"/>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276,266</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211,226</w:t>
            </w:r>
          </w:p>
        </w:tc>
      </w:tr>
      <w:tr>
        <w:trPr>
          <w:trHeight w:val="22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Tenant Reinsurance</w:t>
            </w:r>
          </w:p>
        </w:tc>
        <w:tc>
          <w:tcPr>
            <w:tcW w:w="1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36,755</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32,458</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segment net operating income:</w:t>
            </w:r>
          </w:p>
        </w:tc>
        <w:tc>
          <w:tcPr>
            <w:tcW w:w="1240" w:type="dxa"/>
            <w:vAlign w:val="bottom"/>
            <w:tcBorders>
              <w:bottom w:val="single" w:sz="8" w:color="auto"/>
            </w:tcBorders>
            <w:shd w:val="clear" w:color="auto" w:fill="CCEEFF"/>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313,021</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243,684</w:t>
            </w:r>
          </w:p>
        </w:tc>
      </w:tr>
      <w:tr>
        <w:trPr>
          <w:trHeight w:val="242"/>
        </w:trPr>
        <w:tc>
          <w:tcPr>
            <w:tcW w:w="7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components of net income:</w:t>
            </w:r>
          </w:p>
        </w:tc>
        <w:tc>
          <w:tcPr>
            <w:tcW w:w="1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3"/>
        </w:trPr>
        <w:tc>
          <w:tcPr>
            <w:tcW w:w="7300" w:type="dxa"/>
            <w:vAlign w:val="bottom"/>
          </w:tcPr>
          <w:p>
            <w:pPr>
              <w:ind w:left="220"/>
              <w:spacing w:after="0"/>
              <w:rPr>
                <w:sz w:val="20"/>
                <w:szCs w:val="20"/>
                <w:color w:val="auto"/>
              </w:rPr>
            </w:pPr>
            <w:r>
              <w:rPr>
                <w:rFonts w:ascii="Arial" w:cs="Arial" w:eastAsia="Arial" w:hAnsi="Arial"/>
                <w:sz w:val="16"/>
                <w:szCs w:val="16"/>
                <w:color w:val="auto"/>
              </w:rPr>
              <w:t>Management fees and other income</w:t>
            </w:r>
          </w:p>
        </w:tc>
        <w:tc>
          <w:tcPr>
            <w:tcW w:w="1240" w:type="dxa"/>
            <w:vAlign w:val="bottom"/>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19,957</w:t>
            </w:r>
          </w:p>
        </w:tc>
        <w:tc>
          <w:tcPr>
            <w:tcW w:w="480" w:type="dxa"/>
            <w:vAlign w:val="bottom"/>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15,645</w:t>
            </w:r>
          </w:p>
        </w:tc>
      </w:tr>
      <w:tr>
        <w:trPr>
          <w:trHeight w:val="223"/>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 expense</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(29,762)</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(23,540)</w:t>
            </w:r>
          </w:p>
        </w:tc>
      </w:tr>
      <w:tr>
        <w:trPr>
          <w:trHeight w:val="223"/>
        </w:trPr>
        <w:tc>
          <w:tcPr>
            <w:tcW w:w="73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(67,906)</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(58,599)</w:t>
            </w:r>
          </w:p>
        </w:tc>
      </w:tr>
      <w:tr>
        <w:trPr>
          <w:trHeight w:val="223"/>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real estate transactions</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63,883</w:t>
            </w:r>
          </w:p>
        </w:tc>
      </w:tr>
      <w:tr>
        <w:trPr>
          <w:trHeight w:val="223"/>
        </w:trPr>
        <w:tc>
          <w:tcPr>
            <w:tcW w:w="73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(42,538)</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(40,695)</w:t>
            </w:r>
          </w:p>
        </w:tc>
      </w:tr>
      <w:tr>
        <w:trPr>
          <w:trHeight w:val="223"/>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18,989</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12,304</w:t>
            </w:r>
          </w:p>
        </w:tc>
      </w:tr>
      <w:tr>
        <w:trPr>
          <w:trHeight w:val="223"/>
        </w:trPr>
        <w:tc>
          <w:tcPr>
            <w:tcW w:w="7300" w:type="dxa"/>
            <w:vAlign w:val="bottom"/>
          </w:tcPr>
          <w:p>
            <w:pPr>
              <w:ind w:left="220"/>
              <w:spacing w:after="0"/>
              <w:rPr>
                <w:sz w:val="20"/>
                <w:szCs w:val="20"/>
                <w:color w:val="auto"/>
              </w:rPr>
            </w:pPr>
            <w:r>
              <w:rPr>
                <w:rFonts w:ascii="Arial" w:cs="Arial" w:eastAsia="Arial" w:hAnsi="Arial"/>
                <w:sz w:val="16"/>
                <w:szCs w:val="16"/>
                <w:color w:val="auto"/>
              </w:rPr>
              <w:t>Equity in earnings and dividend income from unconsolidated real estate entities</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9,097</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6,956</w:t>
            </w:r>
          </w:p>
        </w:tc>
      </w:tr>
      <w:tr>
        <w:trPr>
          <w:trHeight w:val="223"/>
        </w:trPr>
        <w:tc>
          <w:tcPr>
            <w:tcW w:w="7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expense</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(4,137)</w:t>
            </w:r>
          </w:p>
        </w:tc>
      </w:tr>
      <w:tr>
        <w:trPr>
          <w:trHeight w:val="216"/>
        </w:trPr>
        <w:tc>
          <w:tcPr>
            <w:tcW w:w="7300" w:type="dxa"/>
            <w:vAlign w:val="bottom"/>
          </w:tcPr>
          <w:p>
            <w:pPr>
              <w:ind w:left="44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ind w:right="1054"/>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217,717</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215,501</w:t>
            </w:r>
          </w:p>
        </w:tc>
      </w:tr>
      <w:tr>
        <w:trPr>
          <w:trHeight w:val="20"/>
        </w:trPr>
        <w:tc>
          <w:tcPr>
            <w:tcW w:w="7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6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EXTRA SPACE STORAGE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NOTES TO CONDENSED CONSOLIDATED FINANCIAL STATEMENTS </w:t>
      </w:r>
      <w:r>
        <w:rPr>
          <w:rFonts w:ascii="Arial" w:cs="Arial" w:eastAsia="Arial" w:hAnsi="Arial"/>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15.</w:t>
        <w:tab/>
        <w:t>COMMITMENTS AND CONTINGENCIES</w:t>
      </w:r>
    </w:p>
    <w:p>
      <w:pPr>
        <w:spacing w:after="0" w:line="256" w:lineRule="exact"/>
        <w:rPr>
          <w:sz w:val="20"/>
          <w:szCs w:val="20"/>
          <w:color w:val="auto"/>
        </w:rPr>
      </w:pPr>
    </w:p>
    <w:p>
      <w:pPr>
        <w:ind w:right="120" w:firstLine="433"/>
        <w:spacing w:after="0" w:line="281" w:lineRule="auto"/>
        <w:rPr>
          <w:sz w:val="20"/>
          <w:szCs w:val="20"/>
          <w:color w:val="auto"/>
        </w:rPr>
      </w:pPr>
      <w:r>
        <w:rPr>
          <w:rFonts w:ascii="Arial" w:cs="Arial" w:eastAsia="Arial" w:hAnsi="Arial"/>
          <w:sz w:val="16"/>
          <w:szCs w:val="16"/>
          <w:color w:val="auto"/>
        </w:rPr>
        <w:t>As of March 31, 2022,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197" w:lineRule="exact"/>
        <w:rPr>
          <w:sz w:val="20"/>
          <w:szCs w:val="20"/>
          <w:color w:val="auto"/>
        </w:rPr>
      </w:pPr>
    </w:p>
    <w:p>
      <w:pPr>
        <w:jc w:val="both"/>
        <w:ind w:firstLine="433"/>
        <w:spacing w:after="0" w:line="273" w:lineRule="auto"/>
        <w:rPr>
          <w:sz w:val="20"/>
          <w:szCs w:val="20"/>
          <w:color w:val="auto"/>
        </w:rPr>
      </w:pPr>
      <w:r>
        <w:rPr>
          <w:rFonts w:ascii="Arial" w:cs="Arial" w:eastAsia="Arial" w:hAnsi="Arial"/>
          <w:sz w:val="17"/>
          <w:szCs w:val="17"/>
          <w:color w:val="auto"/>
        </w:rPr>
        <w:t>As of March 31, 2022, the Company was under agreement to acquire 18 stores at a total purchase price of $266,595. Twelve stores are scheduled to close in 2022 and six stores are scheduled to close in 2023. Additionally, the Company is under agreement to acquire four stores with joint venture partners, for a total investment of $13,010. Three stores are scheduled to close in 2022 and one store is scheduled to close in 2023.</w:t>
      </w:r>
    </w:p>
    <w:p>
      <w:pPr>
        <w:spacing w:after="0" w:line="198"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7" w:right="359" w:bottom="1440" w:gutter="0" w:footer="0" w:header="0"/>
        </w:sectPr>
      </w:pPr>
    </w:p>
    <w:bookmarkStart w:id="28" w:name="page29"/>
    <w:bookmarkEnd w:id="28"/>
    <w:p>
      <w:pPr>
        <w:spacing w:after="0"/>
        <w:tabs>
          <w:tab w:leader="none" w:pos="800" w:val="left"/>
        </w:tabs>
        <w:rPr>
          <w:sz w:val="20"/>
          <w:szCs w:val="20"/>
          <w:color w:val="auto"/>
        </w:rPr>
      </w:pPr>
      <w:r>
        <w:rPr>
          <w:rFonts w:ascii="Arial" w:cs="Arial" w:eastAsia="Arial" w:hAnsi="Arial"/>
          <w:sz w:val="17"/>
          <w:szCs w:val="17"/>
          <w:b w:val="1"/>
          <w:bCs w:val="1"/>
          <w:color w:val="auto"/>
        </w:rPr>
        <w:t>ITEM 2.</w:t>
        <w:tab/>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Amounts in thousands, except store and share data</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LANGUAGE</w:t>
      </w:r>
    </w:p>
    <w:p>
      <w:pPr>
        <w:spacing w:after="0" w:line="256" w:lineRule="exact"/>
        <w:rPr>
          <w:sz w:val="20"/>
          <w:szCs w:val="20"/>
          <w:color w:val="auto"/>
        </w:rPr>
      </w:pPr>
    </w:p>
    <w:p>
      <w:pPr>
        <w:ind w:right="60" w:firstLine="433"/>
        <w:spacing w:after="0" w:line="278" w:lineRule="auto"/>
        <w:rPr>
          <w:sz w:val="20"/>
          <w:szCs w:val="20"/>
          <w:color w:val="auto"/>
        </w:rPr>
      </w:pPr>
      <w:r>
        <w:rPr>
          <w:rFonts w:ascii="Arial" w:cs="Arial" w:eastAsia="Arial" w:hAnsi="Arial"/>
          <w:sz w:val="16"/>
          <w:szCs w:val="16"/>
          <w:color w:val="auto"/>
        </w:rPr>
        <w:t xml:space="preserve">The following discussion and analysis should be read in conjunction with our unaudited </w:t>
      </w:r>
      <w:r>
        <w:rPr>
          <w:rFonts w:ascii="Arial" w:cs="Arial" w:eastAsia="Arial" w:hAnsi="Arial"/>
          <w:sz w:val="16"/>
          <w:szCs w:val="16"/>
          <w:i w:val="1"/>
          <w:iCs w:val="1"/>
          <w:color w:val="auto"/>
        </w:rPr>
        <w:t>“Condensed Consolidated Financial Statements”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Notes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Condensed Consolidated Financial Statements (unaudited)” </w:t>
      </w:r>
      <w:r>
        <w:rPr>
          <w:rFonts w:ascii="Arial" w:cs="Arial" w:eastAsia="Arial" w:hAnsi="Arial"/>
          <w:sz w:val="16"/>
          <w:szCs w:val="16"/>
          <w:color w:val="auto"/>
        </w:rPr>
        <w:t>appearing elsewhere in this report and the</w:t>
      </w:r>
      <w:r>
        <w:rPr>
          <w:rFonts w:ascii="Arial" w:cs="Arial" w:eastAsia="Arial" w:hAnsi="Arial"/>
          <w:sz w:val="16"/>
          <w:szCs w:val="16"/>
          <w:i w:val="1"/>
          <w:iCs w:val="1"/>
          <w:color w:val="auto"/>
        </w:rPr>
        <w:t xml:space="preserve"> “Consolidated Financial Statements,” “Notes to Consolidated Financial Statements” </w:t>
      </w:r>
      <w:r>
        <w:rPr>
          <w:rFonts w:ascii="Arial" w:cs="Arial" w:eastAsia="Arial" w:hAnsi="Arial"/>
          <w:sz w:val="16"/>
          <w:szCs w:val="16"/>
          <w:color w:val="auto"/>
        </w:rPr>
        <w:t>and</w:t>
      </w:r>
      <w:r>
        <w:rPr>
          <w:rFonts w:ascii="Arial" w:cs="Arial" w:eastAsia="Arial" w:hAnsi="Arial"/>
          <w:sz w:val="16"/>
          <w:szCs w:val="16"/>
          <w:i w:val="1"/>
          <w:iCs w:val="1"/>
          <w:color w:val="auto"/>
        </w:rPr>
        <w:t xml:space="preserve"> “Management’s Discussion and Analysis of Financial Condition and Results of Operations” </w:t>
      </w:r>
      <w:r>
        <w:rPr>
          <w:rFonts w:ascii="Arial" w:cs="Arial" w:eastAsia="Arial" w:hAnsi="Arial"/>
          <w:sz w:val="16"/>
          <w:szCs w:val="16"/>
          <w:color w:val="auto"/>
        </w:rPr>
        <w:t>contained in our</w:t>
      </w:r>
    </w:p>
    <w:p>
      <w:pPr>
        <w:spacing w:after="0" w:line="2"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Form 10-K for the year ended December 31, 2021. We make statements in this section that are forward-looking statements within the meaning of the federal securities laws. For a complete discussion of forward-looking statements, see the section in this Form 10-Q entitled “</w:t>
      </w:r>
      <w:r>
        <w:rPr>
          <w:rFonts w:ascii="Arial" w:cs="Arial" w:eastAsia="Arial" w:hAnsi="Arial"/>
          <w:sz w:val="17"/>
          <w:szCs w:val="17"/>
          <w:i w:val="1"/>
          <w:iCs w:val="1"/>
          <w:color w:val="auto"/>
        </w:rPr>
        <w:t>Statement on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w:t>
      </w:r>
      <w:r>
        <w:rPr>
          <w:rFonts w:ascii="Arial" w:cs="Arial" w:eastAsia="Arial" w:hAnsi="Arial"/>
          <w:sz w:val="17"/>
          <w:szCs w:val="17"/>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56" w:lineRule="exact"/>
        <w:rPr>
          <w:sz w:val="20"/>
          <w:szCs w:val="20"/>
          <w:color w:val="auto"/>
        </w:rPr>
      </w:pPr>
    </w:p>
    <w:p>
      <w:pPr>
        <w:ind w:firstLine="433"/>
        <w:spacing w:after="0" w:line="28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2021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197" w:lineRule="exact"/>
        <w:rPr>
          <w:sz w:val="20"/>
          <w:szCs w:val="20"/>
          <w:color w:val="auto"/>
        </w:rPr>
      </w:pPr>
    </w:p>
    <w:p>
      <w:pPr>
        <w:ind w:right="20" w:firstLine="433"/>
        <w:spacing w:after="0" w:line="268" w:lineRule="auto"/>
        <w:rPr>
          <w:sz w:val="20"/>
          <w:szCs w:val="20"/>
          <w:color w:val="auto"/>
        </w:rPr>
      </w:pPr>
      <w:r>
        <w:rPr>
          <w:rFonts w:ascii="Arial" w:cs="Arial" w:eastAsia="Arial" w:hAnsi="Arial"/>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100" w:firstLine="433"/>
        <w:spacing w:after="0" w:line="262" w:lineRule="auto"/>
        <w:rPr>
          <w:sz w:val="20"/>
          <w:szCs w:val="20"/>
          <w:color w:val="auto"/>
        </w:rPr>
      </w:pPr>
      <w:r>
        <w:rPr>
          <w:rFonts w:ascii="Arial" w:cs="Arial" w:eastAsia="Arial" w:hAnsi="Arial"/>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185"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spacing w:after="0" w:line="180" w:lineRule="exact"/>
        <w:rPr>
          <w:sz w:val="20"/>
          <w:szCs w:val="20"/>
          <w:color w:val="auto"/>
        </w:rPr>
      </w:pPr>
    </w:p>
    <w:p>
      <w:pPr>
        <w:ind w:right="240" w:firstLine="433"/>
        <w:spacing w:after="0" w:line="273" w:lineRule="auto"/>
        <w:rPr>
          <w:sz w:val="20"/>
          <w:szCs w:val="20"/>
          <w:color w:val="auto"/>
        </w:rPr>
      </w:pPr>
      <w:r>
        <w:rPr>
          <w:rFonts w:ascii="Arial" w:cs="Arial" w:eastAsia="Arial" w:hAnsi="Arial"/>
          <w:sz w:val="17"/>
          <w:szCs w:val="17"/>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29" w:name="page30"/>
    <w:bookmarkEnd w:id="29"/>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UPDATE</w:t>
      </w:r>
    </w:p>
    <w:p>
      <w:pPr>
        <w:spacing w:after="0" w:line="243" w:lineRule="exact"/>
        <w:rPr>
          <w:sz w:val="20"/>
          <w:szCs w:val="20"/>
          <w:color w:val="auto"/>
        </w:rPr>
      </w:pPr>
    </w:p>
    <w:p>
      <w:pPr>
        <w:ind w:right="120" w:firstLine="433"/>
        <w:spacing w:after="0" w:line="244" w:lineRule="auto"/>
        <w:rPr>
          <w:sz w:val="20"/>
          <w:szCs w:val="20"/>
          <w:color w:val="auto"/>
        </w:rPr>
      </w:pPr>
      <w:r>
        <w:rPr>
          <w:rFonts w:ascii="Arial" w:cs="Arial" w:eastAsia="Arial" w:hAnsi="Arial"/>
          <w:sz w:val="16"/>
          <w:szCs w:val="16"/>
          <w:color w:val="auto"/>
        </w:rPr>
        <w:t>The United States and other countries around the world continue to be impacted by the COVID-19 pandemic, which has created considerable instability and disruption in the U.S. and world economies. Governmental authorities in impacted regions have taken various actions in an effort to slow the spread of COVID-19, including issuance of varying forms of states of emergency orders. In response to these evolving orders and the COVID-19 pandemic, we have implemented a wide range of practices to protect and support our employees and customers. Such measures include instituting “work from home” measures at our corporate offices and call center, instituting a contactless rental process that allows our on-site employees to continue to rent storage units without physical interaction, and providing personal protective equipment to on-site employees providing essential functions so that hygiene and “social distancing” standards can be effectively managed and applied. Although many governmental restrictions have lifted and certain work practices return to normal, our customers may continue to be impacted by the COVID-19 pandemic and related governmental responses, including through unemployment, which may impact their ability to pay rent or renew their leases. However, given the uncertainty resulting from the pandemic, our business may be impacted by the COVID-19 pandemic including additional governmental restrictions.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56" w:lineRule="exact"/>
        <w:rPr>
          <w:sz w:val="20"/>
          <w:szCs w:val="20"/>
          <w:color w:val="auto"/>
        </w:rPr>
      </w:pPr>
    </w:p>
    <w:p>
      <w:pPr>
        <w:ind w:right="180" w:firstLine="433"/>
        <w:spacing w:after="0" w:line="309" w:lineRule="auto"/>
        <w:rPr>
          <w:sz w:val="20"/>
          <w:szCs w:val="20"/>
          <w:color w:val="auto"/>
        </w:rPr>
      </w:pPr>
      <w:r>
        <w:rPr>
          <w:rFonts w:ascii="Arial" w:cs="Arial" w:eastAsia="Arial" w:hAnsi="Arial"/>
          <w:sz w:val="15"/>
          <w:szCs w:val="15"/>
          <w:color w:val="auto"/>
        </w:rPr>
        <w:t>As of March 31, 2022, we owned or had ownership interests in 1,283 operating stores. Of these stores, 995 are wholly-owned, none of which are in consolidated joint ventures, and 288 are in unconsolidated joint ventures. In addition, we managed an additional 847 stores for third parties bringing the total number of stores which we own and/or manage to 2,130.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75"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As of March 31, 2022, approximately 1,265,000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March 31, 2022, the average length of stay was approximately 14.9 months.</w:t>
      </w:r>
    </w:p>
    <w:p>
      <w:pPr>
        <w:spacing w:after="0" w:line="206" w:lineRule="exact"/>
        <w:rPr>
          <w:sz w:val="20"/>
          <w:szCs w:val="20"/>
          <w:color w:val="auto"/>
        </w:rPr>
      </w:pPr>
    </w:p>
    <w:p>
      <w:pPr>
        <w:ind w:firstLine="433"/>
        <w:spacing w:after="0" w:line="268" w:lineRule="auto"/>
        <w:rPr>
          <w:sz w:val="20"/>
          <w:szCs w:val="20"/>
          <w:color w:val="auto"/>
        </w:rPr>
      </w:pPr>
      <w:r>
        <w:rPr>
          <w:rFonts w:ascii="Arial" w:cs="Arial" w:eastAsia="Arial" w:hAnsi="Arial"/>
          <w:sz w:val="17"/>
          <w:szCs w:val="17"/>
          <w:color w:val="auto"/>
        </w:rPr>
        <w:t>The average annual rent per square foot for our existing customers at stabilized stores, net of discounts and bad debt, was $20.04 for the three months ended March 31, 2022, compared to $16.21 for the three months ended March 31, 2021. Average annual rent per square foot for new leases was $19.68 for the three months ended March 31, 2022, compared to $16.54 for the three months ended March 31, 2021. The average discounts, as a percentage of rental revenues, at all stabilized properties during these periods were 2.9% and 2.9%, respectively.</w:t>
      </w:r>
    </w:p>
    <w:p>
      <w:pPr>
        <w:spacing w:after="0" w:line="202" w:lineRule="exact"/>
        <w:rPr>
          <w:sz w:val="20"/>
          <w:szCs w:val="20"/>
          <w:color w:val="auto"/>
        </w:rPr>
      </w:pPr>
    </w:p>
    <w:p>
      <w:pPr>
        <w:ind w:right="40" w:firstLine="433"/>
        <w:spacing w:after="0" w:line="273" w:lineRule="auto"/>
        <w:rPr>
          <w:sz w:val="20"/>
          <w:szCs w:val="20"/>
          <w:color w:val="auto"/>
        </w:rPr>
      </w:pPr>
      <w:r>
        <w:rPr>
          <w:rFonts w:ascii="Arial" w:cs="Arial" w:eastAsia="Arial" w:hAnsi="Arial"/>
          <w:sz w:val="17"/>
          <w:szCs w:val="17"/>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additional information regarding net rentable square feet and the number of stores by state.</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441"/>
              <w:spacing w:after="0"/>
              <w:rPr>
                <w:sz w:val="20"/>
                <w:szCs w:val="20"/>
                <w:color w:val="auto"/>
              </w:rPr>
            </w:pPr>
            <w:r>
              <w:rPr>
                <w:rFonts w:ascii="Arial" w:cs="Arial" w:eastAsia="Arial" w:hAnsi="Arial"/>
                <w:sz w:val="16"/>
                <w:szCs w:val="16"/>
                <w:b w:val="1"/>
                <w:bCs w:val="1"/>
                <w:color w:val="auto"/>
              </w:rPr>
              <w:t>March 31, 2022</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6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16"/>
                <w:szCs w:val="16"/>
                <w:b w:val="1"/>
                <w:bCs w:val="1"/>
                <w:color w:val="auto"/>
              </w:rPr>
              <w:t>REIT Owned</w:t>
            </w:r>
          </w:p>
        </w:tc>
        <w:tc>
          <w:tcPr>
            <w:tcW w:w="222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6"/>
                <w:szCs w:val="16"/>
                <w:b w:val="1"/>
                <w:bCs w:val="1"/>
                <w:color w:val="auto"/>
              </w:rPr>
              <w:t>Joint Venture Owned</w:t>
            </w:r>
          </w:p>
        </w:tc>
        <w:tc>
          <w:tcPr>
            <w:tcW w:w="2220" w:type="dxa"/>
            <w:vAlign w:val="bottom"/>
            <w:tcBorders>
              <w:bottom w:val="single" w:sz="8" w:color="auto"/>
            </w:tcBorders>
            <w:gridSpan w:val="2"/>
          </w:tcPr>
          <w:p>
            <w:pPr>
              <w:jc w:val="right"/>
              <w:ind w:right="781"/>
              <w:spacing w:after="0"/>
              <w:rPr>
                <w:sz w:val="20"/>
                <w:szCs w:val="20"/>
                <w:color w:val="auto"/>
              </w:rPr>
            </w:pPr>
            <w:r>
              <w:rPr>
                <w:rFonts w:ascii="Arial" w:cs="Arial" w:eastAsia="Arial" w:hAnsi="Arial"/>
                <w:sz w:val="16"/>
                <w:szCs w:val="16"/>
                <w:b w:val="1"/>
                <w:bCs w:val="1"/>
                <w:color w:val="auto"/>
              </w:rPr>
              <w:t>Managed</w:t>
            </w: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3"/>
        </w:trPr>
        <w:tc>
          <w:tcPr>
            <w:tcW w:w="2360" w:type="dxa"/>
            <w:vAlign w:val="bottom"/>
            <w:vMerge w:val="restart"/>
          </w:tcPr>
          <w:p>
            <w:pPr>
              <w:ind w:left="880"/>
              <w:spacing w:after="0"/>
              <w:rPr>
                <w:sz w:val="20"/>
                <w:szCs w:val="20"/>
                <w:color w:val="auto"/>
              </w:rPr>
            </w:pPr>
            <w:r>
              <w:rPr>
                <w:rFonts w:ascii="Arial" w:cs="Arial" w:eastAsia="Arial" w:hAnsi="Arial"/>
                <w:sz w:val="16"/>
                <w:szCs w:val="16"/>
                <w:b w:val="1"/>
                <w:bCs w:val="1"/>
                <w:color w:val="auto"/>
              </w:rPr>
              <w:t>Location</w:t>
            </w:r>
          </w:p>
        </w:tc>
        <w:tc>
          <w:tcPr>
            <w:tcW w:w="10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Net Rentable</w:t>
            </w:r>
          </w:p>
        </w:tc>
        <w:tc>
          <w:tcPr>
            <w:tcW w:w="980" w:type="dxa"/>
            <w:vAlign w:val="bottom"/>
          </w:tcPr>
          <w:p>
            <w:pPr>
              <w:jc w:val="right"/>
              <w:ind w:right="181"/>
              <w:spacing w:after="0" w:line="153" w:lineRule="exact"/>
              <w:rPr>
                <w:sz w:val="20"/>
                <w:szCs w:val="20"/>
                <w:color w:val="auto"/>
              </w:rPr>
            </w:pPr>
            <w:r>
              <w:rPr>
                <w:rFonts w:ascii="Arial" w:cs="Arial" w:eastAsia="Arial" w:hAnsi="Arial"/>
                <w:sz w:val="16"/>
                <w:szCs w:val="16"/>
                <w:b w:val="1"/>
                <w:bCs w:val="1"/>
                <w:color w:val="auto"/>
              </w:rPr>
              <w:t>Property</w:t>
            </w:r>
          </w:p>
        </w:tc>
        <w:tc>
          <w:tcPr>
            <w:tcW w:w="1240" w:type="dxa"/>
            <w:vAlign w:val="bottom"/>
          </w:tcPr>
          <w:p>
            <w:pPr>
              <w:jc w:val="right"/>
              <w:ind w:right="161"/>
              <w:spacing w:after="0" w:line="153" w:lineRule="exact"/>
              <w:rPr>
                <w:sz w:val="20"/>
                <w:szCs w:val="20"/>
                <w:color w:val="auto"/>
              </w:rPr>
            </w:pPr>
            <w:r>
              <w:rPr>
                <w:rFonts w:ascii="Arial" w:cs="Arial" w:eastAsia="Arial" w:hAnsi="Arial"/>
                <w:sz w:val="16"/>
                <w:szCs w:val="16"/>
                <w:b w:val="1"/>
                <w:bCs w:val="1"/>
                <w:color w:val="auto"/>
              </w:rPr>
              <w:t>Net Rentable</w:t>
            </w:r>
          </w:p>
        </w:tc>
        <w:tc>
          <w:tcPr>
            <w:tcW w:w="860" w:type="dxa"/>
            <w:vAlign w:val="bottom"/>
          </w:tcPr>
          <w:p>
            <w:pPr>
              <w:jc w:val="right"/>
              <w:ind w:right="61"/>
              <w:spacing w:after="0" w:line="153" w:lineRule="exact"/>
              <w:rPr>
                <w:sz w:val="20"/>
                <w:szCs w:val="20"/>
                <w:color w:val="auto"/>
              </w:rPr>
            </w:pPr>
            <w:r>
              <w:rPr>
                <w:rFonts w:ascii="Arial" w:cs="Arial" w:eastAsia="Arial" w:hAnsi="Arial"/>
                <w:sz w:val="16"/>
                <w:szCs w:val="16"/>
                <w:b w:val="1"/>
                <w:bCs w:val="1"/>
                <w:color w:val="auto"/>
              </w:rPr>
              <w:t>Property</w:t>
            </w:r>
          </w:p>
        </w:tc>
        <w:tc>
          <w:tcPr>
            <w:tcW w:w="1300" w:type="dxa"/>
            <w:vAlign w:val="bottom"/>
          </w:tcPr>
          <w:p>
            <w:pPr>
              <w:jc w:val="right"/>
              <w:ind w:right="101"/>
              <w:spacing w:after="0" w:line="153" w:lineRule="exact"/>
              <w:rPr>
                <w:sz w:val="20"/>
                <w:szCs w:val="20"/>
                <w:color w:val="auto"/>
              </w:rPr>
            </w:pPr>
            <w:r>
              <w:rPr>
                <w:rFonts w:ascii="Arial" w:cs="Arial" w:eastAsia="Arial" w:hAnsi="Arial"/>
                <w:sz w:val="16"/>
                <w:szCs w:val="16"/>
                <w:b w:val="1"/>
                <w:bCs w:val="1"/>
                <w:color w:val="auto"/>
              </w:rPr>
              <w:t>Net Rentable</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01"/>
              <w:spacing w:after="0" w:line="209" w:lineRule="exact"/>
              <w:rPr>
                <w:sz w:val="20"/>
                <w:szCs w:val="20"/>
                <w:color w:val="auto"/>
              </w:rPr>
            </w:pPr>
            <w:r>
              <w:rPr>
                <w:rFonts w:ascii="Arial" w:cs="Arial" w:eastAsia="Arial" w:hAnsi="Arial"/>
                <w:sz w:val="16"/>
                <w:szCs w:val="16"/>
                <w:b w:val="1"/>
                <w:bCs w:val="1"/>
                <w:color w:val="auto"/>
              </w:rPr>
              <w:t>Count</w:t>
            </w:r>
            <w:r>
              <w:rPr>
                <w:rFonts w:ascii="Arial" w:cs="Arial" w:eastAsia="Arial" w:hAnsi="Arial"/>
                <w:sz w:val="20"/>
                <w:szCs w:val="20"/>
                <w:b w:val="1"/>
                <w:bCs w:val="1"/>
                <w:color w:val="auto"/>
                <w:vertAlign w:val="superscript"/>
              </w:rPr>
              <w:t>(1)</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Square Feet</w:t>
            </w:r>
          </w:p>
        </w:tc>
        <w:tc>
          <w:tcPr>
            <w:tcW w:w="8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Count</w:t>
            </w: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Square Feet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Alabama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594,384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75,711</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393,202</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1,063,297</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Arizona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1,624,381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673,854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1,797,997</w:t>
            </w: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4,096,232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California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13,438,621</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3,594,254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82</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7,696,360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24,729,235</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Colorado</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1,150,241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270,604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1,791,449</w:t>
            </w: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3,212,294</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Connecticut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469,426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575,774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553,888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1,599,088</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Delaware</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76,645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138,474</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215,119</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Florida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8,389,054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3,057,198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8,840,510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20,286,762</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Georgia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5,173,562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1,143,974</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1,761,986</w:t>
            </w:r>
          </w:p>
        </w:tc>
        <w:tc>
          <w:tcPr>
            <w:tcW w:w="860" w:type="dxa"/>
            <w:vAlign w:val="bottom"/>
          </w:tcPr>
          <w:p>
            <w:pPr>
              <w:jc w:val="right"/>
              <w:spacing w:after="0"/>
              <w:rPr>
                <w:sz w:val="20"/>
                <w:szCs w:val="20"/>
                <w:color w:val="auto"/>
              </w:rPr>
            </w:pPr>
            <w:r>
              <w:rPr>
                <w:rFonts w:ascii="Arial" w:cs="Arial" w:eastAsia="Arial" w:hAnsi="Arial"/>
                <w:sz w:val="16"/>
                <w:szCs w:val="16"/>
                <w:color w:val="auto"/>
              </w:rPr>
              <w:t>104</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8,079,522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Hawaii</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863,968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159,393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1,023,361</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Idaho</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182,604</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182,604</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Illinois</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2,888,984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741,733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2,192,133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5,822,850</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Indiana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923,749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58,291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1,095,214</w:t>
            </w: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2,077,254</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Kansas</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50,209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108,920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466,374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625,503</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Kentucky</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827,900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51,569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754,134</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1,633,603</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Louisiana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387,234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656,126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1,043,360</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Maine</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576,086</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576,086</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Maryland</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2,848,067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552,898</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39</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2,801,287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6,202,252</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Massachusetts</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46</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2,970,522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640,970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27</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1,734,690</w:t>
            </w:r>
          </w:p>
        </w:tc>
        <w:tc>
          <w:tcPr>
            <w:tcW w:w="860" w:type="dxa"/>
            <w:vAlign w:val="bottom"/>
          </w:tcPr>
          <w:p>
            <w:pPr>
              <w:jc w:val="right"/>
              <w:spacing w:after="0"/>
              <w:rPr>
                <w:sz w:val="20"/>
                <w:szCs w:val="20"/>
                <w:color w:val="auto"/>
              </w:rPr>
            </w:pPr>
            <w:r>
              <w:rPr>
                <w:rFonts w:ascii="Arial" w:cs="Arial" w:eastAsia="Arial" w:hAnsi="Arial"/>
                <w:sz w:val="16"/>
                <w:szCs w:val="16"/>
                <w:color w:val="auto"/>
              </w:rPr>
              <w:t>83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5,346,182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Michigan</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641,490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302,526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459,823</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1,403,839</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Minnesota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584,859</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305,376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1,130,324</w:t>
            </w: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2,020,559</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Mississippi</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233,645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233,645</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Missouri</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260,700</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119,275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1,131,941</w:t>
            </w: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1,511,916</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Nebraska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278,191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278,191</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Nevada</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1,038,492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474,231</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743,439</w:t>
            </w:r>
          </w:p>
        </w:tc>
        <w:tc>
          <w:tcPr>
            <w:tcW w:w="860" w:type="dxa"/>
            <w:vAlign w:val="bottom"/>
          </w:tcPr>
          <w:p>
            <w:pPr>
              <w:jc w:val="right"/>
              <w:spacing w:after="0"/>
              <w:rPr>
                <w:sz w:val="20"/>
                <w:szCs w:val="20"/>
                <w:color w:val="auto"/>
              </w:rPr>
            </w:pPr>
            <w:r>
              <w:rPr>
                <w:rFonts w:ascii="Arial" w:cs="Arial" w:eastAsia="Arial" w:hAnsi="Arial"/>
                <w:sz w:val="16"/>
                <w:szCs w:val="16"/>
                <w:color w:val="auto"/>
              </w:rPr>
              <w:t>25</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2,256,162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Hampshire</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134,564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84,165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359,388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578,117</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New Jersey</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62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4,927,802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1,144,467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34</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2,655,238</w:t>
            </w:r>
          </w:p>
        </w:tc>
        <w:tc>
          <w:tcPr>
            <w:tcW w:w="860" w:type="dxa"/>
            <w:vAlign w:val="bottom"/>
          </w:tcPr>
          <w:p>
            <w:pPr>
              <w:jc w:val="right"/>
              <w:spacing w:after="0"/>
              <w:rPr>
                <w:sz w:val="20"/>
                <w:szCs w:val="20"/>
                <w:color w:val="auto"/>
              </w:rPr>
            </w:pPr>
            <w:r>
              <w:rPr>
                <w:rFonts w:ascii="Arial" w:cs="Arial" w:eastAsia="Arial" w:hAnsi="Arial"/>
                <w:sz w:val="16"/>
                <w:szCs w:val="16"/>
                <w:color w:val="auto"/>
              </w:rPr>
              <w:t>112</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8,727,507</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Mexico</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700,007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683,870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901,849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2,285,726</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New York</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2,042,622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1,503,778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2,212,373</w:t>
            </w: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5,758,773</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Carolina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1,732,706</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401,432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1,298,304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3,432,442</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Ohio</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1,242,902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325,163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614,157</w:t>
            </w: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2,182,222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Oklahoma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1,457,486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1,457,486</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Oregon</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548,408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65,245</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738,238</w:t>
            </w: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1,351,891</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Pennsylvania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1,603,390</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679,824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2,471,474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4,754,688</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Rhode Island</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134,802</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422,173</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556,975</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Carolina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1,713,672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709,744</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2,078,681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4,502,097</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Tennessee</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1,849,138</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810,696</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564,284</w:t>
            </w: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3,224,118</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Texas</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8,371,945</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1,843,882</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6,769,854</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16,985,681</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Utah</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697,407</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1,841,885</w:t>
            </w: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2,539,292</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Virginia</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4,128,223</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702,941</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2,222,081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7,053,245</w:t>
            </w:r>
          </w:p>
        </w:tc>
        <w:tc>
          <w:tcPr>
            <w:tcW w:w="0" w:type="dxa"/>
            <w:vAlign w:val="bottom"/>
          </w:tcPr>
          <w:p>
            <w:pPr>
              <w:spacing w:after="0"/>
              <w:rPr>
                <w:sz w:val="1"/>
                <w:szCs w:val="1"/>
                <w:color w:val="auto"/>
              </w:rPr>
            </w:pPr>
          </w:p>
        </w:tc>
      </w:tr>
      <w:tr>
        <w:trPr>
          <w:trHeight w:val="207"/>
        </w:trPr>
        <w:tc>
          <w:tcPr>
            <w:tcW w:w="2360" w:type="dxa"/>
            <w:vAlign w:val="bottom"/>
          </w:tcPr>
          <w:p>
            <w:pPr>
              <w:ind w:left="20"/>
              <w:spacing w:after="0"/>
              <w:rPr>
                <w:sz w:val="20"/>
                <w:szCs w:val="20"/>
                <w:color w:val="auto"/>
              </w:rPr>
            </w:pPr>
            <w:r>
              <w:rPr>
                <w:rFonts w:ascii="Arial" w:cs="Arial" w:eastAsia="Arial" w:hAnsi="Arial"/>
                <w:sz w:val="16"/>
                <w:szCs w:val="16"/>
                <w:color w:val="auto"/>
              </w:rPr>
              <w:t>Washington</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683,913</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1,083,540</w:t>
            </w: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1,767,453</w:t>
            </w:r>
          </w:p>
        </w:tc>
        <w:tc>
          <w:tcPr>
            <w:tcW w:w="0" w:type="dxa"/>
            <w:vAlign w:val="bottom"/>
          </w:tcPr>
          <w:p>
            <w:pPr>
              <w:spacing w:after="0"/>
              <w:rPr>
                <w:sz w:val="1"/>
                <w:szCs w:val="1"/>
                <w:color w:val="auto"/>
              </w:rPr>
            </w:pPr>
          </w:p>
        </w:tc>
      </w:tr>
      <w:tr>
        <w:trPr>
          <w:trHeight w:val="213"/>
        </w:trPr>
        <w:tc>
          <w:tcPr>
            <w:tcW w:w="2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Washington, DC</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100,039</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103,707</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539,501</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743,247</w:t>
            </w:r>
          </w:p>
        </w:tc>
        <w:tc>
          <w:tcPr>
            <w:tcW w:w="0" w:type="dxa"/>
            <w:vAlign w:val="bottom"/>
          </w:tcPr>
          <w:p>
            <w:pPr>
              <w:spacing w:after="0"/>
              <w:rPr>
                <w:sz w:val="1"/>
                <w:szCs w:val="1"/>
                <w:color w:val="auto"/>
              </w:rPr>
            </w:pPr>
          </w:p>
        </w:tc>
      </w:tr>
      <w:tr>
        <w:trPr>
          <w:trHeight w:val="207"/>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Wisconsin</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730,742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730,742</w:t>
            </w:r>
          </w:p>
        </w:tc>
        <w:tc>
          <w:tcPr>
            <w:tcW w:w="0" w:type="dxa"/>
            <w:vAlign w:val="bottom"/>
          </w:tcPr>
          <w:p>
            <w:pPr>
              <w:spacing w:after="0"/>
              <w:rPr>
                <w:sz w:val="1"/>
                <w:szCs w:val="1"/>
                <w:color w:val="auto"/>
              </w:rPr>
            </w:pPr>
          </w:p>
        </w:tc>
      </w:tr>
      <w:tr>
        <w:trPr>
          <w:trHeight w:val="228"/>
        </w:trPr>
        <w:tc>
          <w:tcPr>
            <w:tcW w:w="2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Totals</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995</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75,971,028</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288</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21,882,717</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847</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66,296,873</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164,150,618</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Includes zero consolidated joint venture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March 31, 2022 and 2021</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25" w:lineRule="exact"/>
        <w:rPr>
          <w:sz w:val="20"/>
          <w:szCs w:val="20"/>
          <w:color w:val="auto"/>
        </w:rPr>
      </w:pPr>
    </w:p>
    <w:p>
      <w:pPr>
        <w:ind w:right="80" w:firstLine="433"/>
        <w:spacing w:after="0" w:line="298" w:lineRule="auto"/>
        <w:rPr>
          <w:sz w:val="20"/>
          <w:szCs w:val="20"/>
          <w:color w:val="auto"/>
        </w:rPr>
      </w:pPr>
      <w:r>
        <w:rPr>
          <w:rFonts w:ascii="Arial" w:cs="Arial" w:eastAsia="Arial" w:hAnsi="Arial"/>
          <w:sz w:val="16"/>
          <w:szCs w:val="16"/>
          <w:color w:val="auto"/>
        </w:rPr>
        <w:t>Results for the three months ended March 31, 2022 included the operations of 1,283 stores (995 wholly-owned, none in consolidated joint ventures, and 288 in joint ventures accounted for using the equity method) compared to the results for the three months ended March 31, 2021, which included the operations of 1,206 stores (937 wholly-owned, six in consolidated joint ventures, and 263 in joint ventures accounted for using the equity method).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Revenues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on revenues earned for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3"/>
        </w:trPr>
        <w:tc>
          <w:tcPr>
            <w:tcW w:w="7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7"/>
        </w:trPr>
        <w:tc>
          <w:tcPr>
            <w:tcW w:w="7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jc w:val="right"/>
              <w:ind w:right="28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rPr>
              <w:t>% Change</w:t>
            </w:r>
          </w:p>
        </w:tc>
      </w:tr>
      <w:tr>
        <w:trPr>
          <w:trHeight w:val="203"/>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3"/>
        </w:trPr>
        <w:tc>
          <w:tcPr>
            <w:tcW w:w="7000" w:type="dxa"/>
            <w:vAlign w:val="bottom"/>
          </w:tcPr>
          <w:p>
            <w:pPr>
              <w:ind w:left="340"/>
              <w:spacing w:after="0"/>
              <w:rPr>
                <w:sz w:val="20"/>
                <w:szCs w:val="20"/>
                <w:color w:val="auto"/>
              </w:rPr>
            </w:pPr>
            <w:r>
              <w:rPr>
                <w:rFonts w:ascii="Arial" w:cs="Arial" w:eastAsia="Arial" w:hAnsi="Arial"/>
                <w:sz w:val="17"/>
                <w:szCs w:val="17"/>
                <w:color w:val="auto"/>
              </w:rPr>
              <w:t>Property rental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379,808</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303,593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76,215</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25.1 %</w:t>
            </w:r>
          </w:p>
        </w:tc>
      </w:tr>
      <w:tr>
        <w:trPr>
          <w:trHeight w:val="223"/>
        </w:trPr>
        <w:tc>
          <w:tcPr>
            <w:tcW w:w="70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Tenant reinsurance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43,797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r>
      <w:tr>
        <w:trPr>
          <w:trHeight w:val="223"/>
        </w:trPr>
        <w:tc>
          <w:tcPr>
            <w:tcW w:w="70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Management fees and other income</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19,957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27.6 %</w:t>
            </w:r>
          </w:p>
        </w:tc>
      </w:tr>
      <w:tr>
        <w:trPr>
          <w:trHeight w:val="228"/>
        </w:trPr>
        <w:tc>
          <w:tcPr>
            <w:tcW w:w="7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443,562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358,857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84,705</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23.6 %</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20" w:firstLine="433"/>
        <w:spacing w:after="0" w:line="265" w:lineRule="auto"/>
        <w:rPr>
          <w:sz w:val="20"/>
          <w:szCs w:val="20"/>
          <w:color w:val="auto"/>
        </w:rPr>
      </w:pPr>
      <w:r>
        <w:rPr>
          <w:rFonts w:ascii="Arial" w:cs="Arial" w:eastAsia="Arial" w:hAnsi="Arial"/>
          <w:sz w:val="17"/>
          <w:szCs w:val="17"/>
          <w:b w:val="1"/>
          <w:bCs w:val="1"/>
          <w:color w:val="auto"/>
        </w:rPr>
        <w:t>Property Rental—</w:t>
      </w:r>
      <w:r>
        <w:rPr>
          <w:rFonts w:ascii="Arial" w:cs="Arial" w:eastAsia="Arial" w:hAnsi="Arial"/>
          <w:sz w:val="17"/>
          <w:szCs w:val="17"/>
          <w:color w:val="auto"/>
        </w:rPr>
        <w:t>The increase in property rental revenues for the three months ended March 31, 2022 was primarily the result of an increase of $62,695</w:t>
      </w:r>
      <w:r>
        <w:rPr>
          <w:rFonts w:ascii="Arial" w:cs="Arial" w:eastAsia="Arial" w:hAnsi="Arial"/>
          <w:sz w:val="17"/>
          <w:szCs w:val="17"/>
          <w:b w:val="1"/>
          <w:bCs w:val="1"/>
          <w:color w:val="auto"/>
        </w:rPr>
        <w:t xml:space="preserve"> </w:t>
      </w:r>
      <w:r>
        <w:rPr>
          <w:rFonts w:ascii="Arial" w:cs="Arial" w:eastAsia="Arial" w:hAnsi="Arial"/>
          <w:sz w:val="17"/>
          <w:szCs w:val="17"/>
          <w:color w:val="auto"/>
        </w:rPr>
        <w:t>at our stabilized stores related to higher average rates to new and existing customers. Property rental revenue also increased by $18,897 associated with acquisitions completed in 2022 and 2021. We acquired 14 wholly-owned stores during the three months ended March 31, 2022 and a total of 74 stores during the year ended December 31, 2021. Property rental revenue also increased by $1,245 during the three months ended March 31, 2022 as a result of increase in occupancy at our lease-up stores. These increases were offset by approximately $6,622 related to the sale of 16 stores into a new joint venture and 16 stores to a third party during 2021.</w:t>
      </w:r>
    </w:p>
    <w:p>
      <w:pPr>
        <w:spacing w:after="0" w:line="200" w:lineRule="exact"/>
        <w:rPr>
          <w:sz w:val="20"/>
          <w:szCs w:val="20"/>
          <w:color w:val="auto"/>
        </w:rPr>
      </w:pPr>
    </w:p>
    <w:p>
      <w:pPr>
        <w:ind w:right="240" w:firstLine="433"/>
        <w:spacing w:after="0" w:line="297" w:lineRule="auto"/>
        <w:rPr>
          <w:sz w:val="20"/>
          <w:szCs w:val="20"/>
          <w:color w:val="auto"/>
        </w:rPr>
      </w:pPr>
      <w:r>
        <w:rPr>
          <w:rFonts w:ascii="Arial" w:cs="Arial" w:eastAsia="Arial" w:hAnsi="Arial"/>
          <w:sz w:val="17"/>
          <w:szCs w:val="17"/>
          <w:b w:val="1"/>
          <w:bCs w:val="1"/>
          <w:color w:val="auto"/>
        </w:rPr>
        <w:t>Tenant Reinsurance—</w:t>
      </w:r>
      <w:r>
        <w:rPr>
          <w:rFonts w:ascii="Arial" w:cs="Arial" w:eastAsia="Arial" w:hAnsi="Arial"/>
          <w:sz w:val="17"/>
          <w:szCs w:val="17"/>
          <w:color w:val="auto"/>
        </w:rPr>
        <w:t>The increase in our tenant reinsurance revenues was due primarily to an increase in the number of stores operated. We operated</w:t>
      </w:r>
      <w:r>
        <w:rPr>
          <w:rFonts w:ascii="Arial" w:cs="Arial" w:eastAsia="Arial" w:hAnsi="Arial"/>
          <w:sz w:val="17"/>
          <w:szCs w:val="17"/>
          <w:b w:val="1"/>
          <w:bCs w:val="1"/>
          <w:color w:val="auto"/>
        </w:rPr>
        <w:t xml:space="preserve"> </w:t>
      </w:r>
      <w:r>
        <w:rPr>
          <w:rFonts w:ascii="Arial" w:cs="Arial" w:eastAsia="Arial" w:hAnsi="Arial"/>
          <w:sz w:val="17"/>
          <w:szCs w:val="17"/>
          <w:color w:val="auto"/>
        </w:rPr>
        <w:t>2,130 stores at March 31, 2022 compared to 1,969 stores at March 31, 2021.</w:t>
      </w:r>
    </w:p>
    <w:p>
      <w:pPr>
        <w:spacing w:after="0" w:line="172" w:lineRule="exact"/>
        <w:rPr>
          <w:sz w:val="20"/>
          <w:szCs w:val="20"/>
          <w:color w:val="auto"/>
        </w:rPr>
      </w:pPr>
    </w:p>
    <w:p>
      <w:pPr>
        <w:ind w:right="100" w:firstLine="433"/>
        <w:spacing w:after="0" w:line="270" w:lineRule="auto"/>
        <w:rPr>
          <w:sz w:val="20"/>
          <w:szCs w:val="20"/>
          <w:color w:val="auto"/>
        </w:rPr>
      </w:pPr>
      <w:r>
        <w:rPr>
          <w:rFonts w:ascii="Arial" w:cs="Arial" w:eastAsia="Arial" w:hAnsi="Arial"/>
          <w:sz w:val="17"/>
          <w:szCs w:val="17"/>
          <w:b w:val="1"/>
          <w:bCs w:val="1"/>
          <w:color w:val="auto"/>
        </w:rPr>
        <w:t>Management Fees and Other Income—</w:t>
      </w:r>
      <w:r>
        <w:rPr>
          <w:rFonts w:ascii="Arial" w:cs="Arial" w:eastAsia="Arial" w:hAnsi="Arial"/>
          <w:sz w:val="17"/>
          <w:szCs w:val="17"/>
          <w:color w:val="auto"/>
        </w:rPr>
        <w:t>Management fees and other income primarily represent the fees collected for our management of stores owned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third parties and unconsolidated joint ventures and other transaction fee income. The increase for the three months ended March 31, 2022 was primarily due to an increase in the number of stores managed and other transaction fee income. As of March 31, 2022, we managed 1,135 stores for joint ventures and third parties, compared to 1,032 stores as of March 31,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auto"/>
        </w:rPr>
        <w:t>Expenses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on expenses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March 31,</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3"/>
        </w:trPr>
        <w:tc>
          <w:tcPr>
            <w:tcW w:w="490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ind w:left="64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5"/>
                <w:szCs w:val="15"/>
                <w:color w:val="auto"/>
              </w:rPr>
            </w:pPr>
          </w:p>
        </w:tc>
      </w:tr>
      <w:tr>
        <w:trPr>
          <w:trHeight w:val="203"/>
        </w:trPr>
        <w:tc>
          <w:tcPr>
            <w:tcW w:w="4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Expenses:</w:t>
            </w:r>
          </w:p>
        </w:tc>
        <w:tc>
          <w:tcPr>
            <w:tcW w:w="5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r>
      <w:tr>
        <w:trPr>
          <w:trHeight w:val="223"/>
        </w:trPr>
        <w:tc>
          <w:tcPr>
            <w:tcW w:w="4900" w:type="dxa"/>
            <w:vAlign w:val="bottom"/>
          </w:tcPr>
          <w:p>
            <w:pPr>
              <w:ind w:left="760"/>
              <w:spacing w:after="0"/>
              <w:rPr>
                <w:sz w:val="20"/>
                <w:szCs w:val="20"/>
                <w:color w:val="auto"/>
              </w:rPr>
            </w:pPr>
            <w:r>
              <w:rPr>
                <w:rFonts w:ascii="Arial" w:cs="Arial" w:eastAsia="Arial" w:hAnsi="Arial"/>
                <w:sz w:val="17"/>
                <w:szCs w:val="17"/>
                <w:color w:val="auto"/>
              </w:rPr>
              <w:t>Property operations</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103,542</w:t>
            </w:r>
          </w:p>
        </w:tc>
        <w:tc>
          <w:tcPr>
            <w:tcW w:w="100" w:type="dxa"/>
            <w:vAlign w:val="bottom"/>
          </w:tcPr>
          <w:p>
            <w:pPr>
              <w:spacing w:after="0"/>
              <w:rPr>
                <w:sz w:val="19"/>
                <w:szCs w:val="19"/>
                <w:color w:val="auto"/>
              </w:rPr>
            </w:pPr>
          </w:p>
        </w:tc>
        <w:tc>
          <w:tcPr>
            <w:tcW w:w="7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92,367</w:t>
            </w:r>
          </w:p>
        </w:tc>
        <w:tc>
          <w:tcPr>
            <w:tcW w:w="120" w:type="dxa"/>
            <w:vAlign w:val="bottom"/>
          </w:tcPr>
          <w:p>
            <w:pPr>
              <w:spacing w:after="0"/>
              <w:rPr>
                <w:sz w:val="19"/>
                <w:szCs w:val="19"/>
                <w:color w:val="auto"/>
              </w:rPr>
            </w:pPr>
          </w:p>
        </w:tc>
        <w:tc>
          <w:tcPr>
            <w:tcW w:w="760" w:type="dxa"/>
            <w:vAlign w:val="bottom"/>
          </w:tcPr>
          <w:p>
            <w:pPr>
              <w:jc w:val="right"/>
              <w:ind w:right="16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11,175</w:t>
            </w:r>
          </w:p>
        </w:tc>
        <w:tc>
          <w:tcPr>
            <w:tcW w:w="100" w:type="dxa"/>
            <w:vAlign w:val="bottom"/>
          </w:tcPr>
          <w:p>
            <w:pPr>
              <w:spacing w:after="0"/>
              <w:rPr>
                <w:sz w:val="19"/>
                <w:szCs w:val="19"/>
                <w:color w:val="auto"/>
              </w:rPr>
            </w:pPr>
          </w:p>
        </w:tc>
        <w:tc>
          <w:tcPr>
            <w:tcW w:w="1300" w:type="dxa"/>
            <w:vAlign w:val="bottom"/>
          </w:tcPr>
          <w:p>
            <w:pPr>
              <w:ind w:left="560"/>
              <w:spacing w:after="0"/>
              <w:rPr>
                <w:sz w:val="20"/>
                <w:szCs w:val="20"/>
                <w:color w:val="auto"/>
              </w:rPr>
            </w:pPr>
            <w:r>
              <w:rPr>
                <w:rFonts w:ascii="Arial" w:cs="Arial" w:eastAsia="Arial" w:hAnsi="Arial"/>
                <w:sz w:val="16"/>
                <w:szCs w:val="16"/>
                <w:color w:val="auto"/>
              </w:rPr>
              <w:t>12.1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49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Tenant reinsurance</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4900" w:type="dxa"/>
            <w:vAlign w:val="bottom"/>
          </w:tcPr>
          <w:p>
            <w:pPr>
              <w:ind w:left="760"/>
              <w:spacing w:after="0"/>
              <w:rPr>
                <w:sz w:val="20"/>
                <w:szCs w:val="20"/>
                <w:color w:val="auto"/>
              </w:rPr>
            </w:pPr>
            <w:r>
              <w:rPr>
                <w:rFonts w:ascii="Arial" w:cs="Arial" w:eastAsia="Arial" w:hAnsi="Arial"/>
                <w:sz w:val="17"/>
                <w:szCs w:val="17"/>
                <w:color w:val="auto"/>
              </w:rPr>
              <w:t>General and administrative</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29,762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23,540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6,222</w:t>
            </w:r>
          </w:p>
        </w:tc>
        <w:tc>
          <w:tcPr>
            <w:tcW w:w="100" w:type="dxa"/>
            <w:vAlign w:val="bottom"/>
          </w:tcPr>
          <w:p>
            <w:pPr>
              <w:spacing w:after="0"/>
              <w:rPr>
                <w:sz w:val="19"/>
                <w:szCs w:val="19"/>
                <w:color w:val="auto"/>
              </w:rPr>
            </w:pPr>
          </w:p>
        </w:tc>
        <w:tc>
          <w:tcPr>
            <w:tcW w:w="1300" w:type="dxa"/>
            <w:vAlign w:val="bottom"/>
          </w:tcPr>
          <w:p>
            <w:pPr>
              <w:ind w:left="560"/>
              <w:spacing w:after="0"/>
              <w:rPr>
                <w:sz w:val="20"/>
                <w:szCs w:val="20"/>
                <w:color w:val="auto"/>
              </w:rPr>
            </w:pPr>
            <w:r>
              <w:rPr>
                <w:rFonts w:ascii="Arial" w:cs="Arial" w:eastAsia="Arial" w:hAnsi="Arial"/>
                <w:sz w:val="16"/>
                <w:szCs w:val="16"/>
                <w:color w:val="auto"/>
              </w:rPr>
              <w:t>26.4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4900" w:type="dxa"/>
            <w:vAlign w:val="bottom"/>
            <w:shd w:val="clear" w:color="auto" w:fill="CCEEFF"/>
          </w:tcPr>
          <w:p>
            <w:pPr>
              <w:ind w:left="760"/>
              <w:spacing w:after="0"/>
              <w:rPr>
                <w:sz w:val="20"/>
                <w:szCs w:val="20"/>
                <w:color w:val="auto"/>
              </w:rPr>
            </w:pPr>
            <w:r>
              <w:rPr>
                <w:rFonts w:ascii="Arial" w:cs="Arial" w:eastAsia="Arial" w:hAnsi="Arial"/>
                <w:sz w:val="17"/>
                <w:szCs w:val="17"/>
                <w:color w:val="auto"/>
              </w:rPr>
              <w:t>Depreciation and amortization</w:t>
            </w: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67,906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58,599</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4900" w:type="dxa"/>
            <w:vAlign w:val="bottom"/>
          </w:tcPr>
          <w:p>
            <w:pPr>
              <w:ind w:left="1080"/>
              <w:spacing w:after="0"/>
              <w:rPr>
                <w:sz w:val="20"/>
                <w:szCs w:val="20"/>
                <w:color w:val="auto"/>
              </w:rPr>
            </w:pPr>
            <w:r>
              <w:rPr>
                <w:rFonts w:ascii="Arial" w:cs="Arial" w:eastAsia="Arial" w:hAnsi="Arial"/>
                <w:sz w:val="17"/>
                <w:szCs w:val="17"/>
                <w:color w:val="auto"/>
              </w:rPr>
              <w:t>Total expenses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208,252</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181,667</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26,585</w:t>
            </w:r>
          </w:p>
        </w:tc>
        <w:tc>
          <w:tcPr>
            <w:tcW w:w="100" w:type="dxa"/>
            <w:vAlign w:val="bottom"/>
          </w:tcPr>
          <w:p>
            <w:pPr>
              <w:spacing w:after="0"/>
              <w:rPr>
                <w:sz w:val="17"/>
                <w:szCs w:val="17"/>
                <w:color w:val="auto"/>
              </w:rPr>
            </w:pPr>
          </w:p>
        </w:tc>
        <w:tc>
          <w:tcPr>
            <w:tcW w:w="13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14.6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w:t>
            </w:r>
          </w:p>
        </w:tc>
      </w:tr>
      <w:tr>
        <w:trPr>
          <w:trHeight w:val="20"/>
        </w:trPr>
        <w:tc>
          <w:tcPr>
            <w:tcW w:w="4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right="180" w:firstLine="433"/>
        <w:spacing w:after="0" w:line="270" w:lineRule="auto"/>
        <w:rPr>
          <w:sz w:val="20"/>
          <w:szCs w:val="20"/>
          <w:color w:val="auto"/>
        </w:rPr>
      </w:pPr>
      <w:r>
        <w:rPr>
          <w:rFonts w:ascii="Arial" w:cs="Arial" w:eastAsia="Arial" w:hAnsi="Arial"/>
          <w:sz w:val="17"/>
          <w:szCs w:val="17"/>
          <w:b w:val="1"/>
          <w:bCs w:val="1"/>
          <w:color w:val="auto"/>
        </w:rPr>
        <w:t>Property Operations—</w:t>
      </w:r>
      <w:r>
        <w:rPr>
          <w:rFonts w:ascii="Arial" w:cs="Arial" w:eastAsia="Arial" w:hAnsi="Arial"/>
          <w:sz w:val="17"/>
          <w:szCs w:val="17"/>
          <w:color w:val="auto"/>
        </w:rPr>
        <w:t>The increase in property operations expense during the three months ended March 31, 2022 consists primarily of an increase of</w:t>
      </w:r>
      <w:r>
        <w:rPr>
          <w:rFonts w:ascii="Arial" w:cs="Arial" w:eastAsia="Arial" w:hAnsi="Arial"/>
          <w:sz w:val="17"/>
          <w:szCs w:val="17"/>
          <w:b w:val="1"/>
          <w:bCs w:val="1"/>
          <w:color w:val="auto"/>
        </w:rPr>
        <w:t xml:space="preserve"> </w:t>
      </w:r>
      <w:r>
        <w:rPr>
          <w:rFonts w:ascii="Arial" w:cs="Arial" w:eastAsia="Arial" w:hAnsi="Arial"/>
          <w:sz w:val="17"/>
          <w:szCs w:val="17"/>
          <w:color w:val="auto"/>
        </w:rPr>
        <w:t>$7,053 related to acquisitions completed in 2022 and 2021. We acquired 14 wholly-owned stores during the three months ended March 31, 2022 and a total of 74 stores during the year ended December 31, 2021. There was also an increase of $5,912 at stabilized stores, which was partially offset by a decrease in expense of $2,101 related to property sales.</w:t>
      </w:r>
    </w:p>
    <w:p>
      <w:pPr>
        <w:spacing w:after="0" w:line="196" w:lineRule="exact"/>
        <w:rPr>
          <w:sz w:val="20"/>
          <w:szCs w:val="20"/>
          <w:color w:val="auto"/>
        </w:rPr>
      </w:pPr>
    </w:p>
    <w:p>
      <w:pPr>
        <w:ind w:right="520" w:firstLine="433"/>
        <w:spacing w:after="0" w:line="368" w:lineRule="auto"/>
        <w:rPr>
          <w:sz w:val="20"/>
          <w:szCs w:val="20"/>
          <w:color w:val="auto"/>
        </w:rPr>
      </w:pPr>
      <w:r>
        <w:rPr>
          <w:rFonts w:ascii="Arial" w:cs="Arial" w:eastAsia="Arial" w:hAnsi="Arial"/>
          <w:sz w:val="15"/>
          <w:szCs w:val="15"/>
          <w:b w:val="1"/>
          <w:bCs w:val="1"/>
          <w:color w:val="auto"/>
        </w:rPr>
        <w:t>Tenant Reinsurance—</w:t>
      </w:r>
      <w:r>
        <w:rPr>
          <w:rFonts w:ascii="Arial" w:cs="Arial" w:eastAsia="Arial" w:hAnsi="Arial"/>
          <w:sz w:val="15"/>
          <w:szCs w:val="15"/>
          <w:color w:val="auto"/>
        </w:rPr>
        <w:t>Tenant reinsurance expense represents the costs that are incurred to provide tenant reinsurance. We operated 2,130 stores at</w:t>
      </w:r>
      <w:r>
        <w:rPr>
          <w:rFonts w:ascii="Arial" w:cs="Arial" w:eastAsia="Arial" w:hAnsi="Arial"/>
          <w:sz w:val="15"/>
          <w:szCs w:val="15"/>
          <w:b w:val="1"/>
          <w:bCs w:val="1"/>
          <w:color w:val="auto"/>
        </w:rPr>
        <w:t xml:space="preserve"> </w:t>
      </w:r>
      <w:r>
        <w:rPr>
          <w:rFonts w:ascii="Arial" w:cs="Arial" w:eastAsia="Arial" w:hAnsi="Arial"/>
          <w:sz w:val="15"/>
          <w:szCs w:val="15"/>
          <w:color w:val="auto"/>
        </w:rPr>
        <w:t>March 31, 2022 compared to 1,969 stores at March 31, 2021. Tenant reinsurance expense decreased due to lower loss control and acquisition expenses.</w:t>
      </w:r>
    </w:p>
    <w:p>
      <w:pPr>
        <w:spacing w:after="0" w:line="127" w:lineRule="exact"/>
        <w:rPr>
          <w:sz w:val="20"/>
          <w:szCs w:val="20"/>
          <w:color w:val="auto"/>
        </w:rPr>
      </w:pPr>
    </w:p>
    <w:p>
      <w:pPr>
        <w:jc w:val="both"/>
        <w:ind w:right="100" w:firstLine="433"/>
        <w:spacing w:after="0" w:line="330" w:lineRule="auto"/>
        <w:rPr>
          <w:sz w:val="20"/>
          <w:szCs w:val="20"/>
          <w:color w:val="auto"/>
        </w:rPr>
      </w:pPr>
      <w:r>
        <w:rPr>
          <w:rFonts w:ascii="Arial" w:cs="Arial" w:eastAsia="Arial" w:hAnsi="Arial"/>
          <w:sz w:val="15"/>
          <w:szCs w:val="15"/>
          <w:b w:val="1"/>
          <w:bCs w:val="1"/>
          <w:color w:val="auto"/>
        </w:rPr>
        <w:t>General and Administrative—</w:t>
      </w:r>
      <w:r>
        <w:rPr>
          <w:rFonts w:ascii="Arial" w:cs="Arial" w:eastAsia="Arial" w:hAnsi="Arial"/>
          <w:sz w:val="15"/>
          <w:szCs w:val="15"/>
          <w:color w:val="auto"/>
        </w:rPr>
        <w:t>General and administrative expenses primarily include all expenses not directly related to our stores, including corporate</w:t>
      </w:r>
      <w:r>
        <w:rPr>
          <w:rFonts w:ascii="Arial" w:cs="Arial" w:eastAsia="Arial" w:hAnsi="Arial"/>
          <w:sz w:val="15"/>
          <w:szCs w:val="15"/>
          <w:b w:val="1"/>
          <w:bCs w:val="1"/>
          <w:color w:val="auto"/>
        </w:rPr>
        <w:t xml:space="preserve"> </w:t>
      </w:r>
      <w:r>
        <w:rPr>
          <w:rFonts w:ascii="Arial" w:cs="Arial" w:eastAsia="Arial" w:hAnsi="Arial"/>
          <w:sz w:val="15"/>
          <w:szCs w:val="15"/>
          <w:color w:val="auto"/>
        </w:rPr>
        <w:t>payroll, office expense, office rent, travel and professional fees. Payroll has continued to increase as we have seen wages nationwide grow faster than inflation. We did not observe any material trends in specific travel or other expenses apart from the increase due to the management of additional stores.</w:t>
      </w:r>
    </w:p>
    <w:p>
      <w:pPr>
        <w:spacing w:after="0" w:line="154" w:lineRule="exact"/>
        <w:rPr>
          <w:sz w:val="20"/>
          <w:szCs w:val="20"/>
          <w:color w:val="auto"/>
        </w:rPr>
      </w:pPr>
    </w:p>
    <w:p>
      <w:pPr>
        <w:ind w:right="120" w:firstLine="433"/>
        <w:spacing w:after="0" w:line="297" w:lineRule="auto"/>
        <w:rPr>
          <w:sz w:val="20"/>
          <w:szCs w:val="20"/>
          <w:color w:val="auto"/>
        </w:rPr>
      </w:pPr>
      <w:r>
        <w:rPr>
          <w:rFonts w:ascii="Arial" w:cs="Arial" w:eastAsia="Arial" w:hAnsi="Arial"/>
          <w:sz w:val="17"/>
          <w:szCs w:val="17"/>
          <w:b w:val="1"/>
          <w:bCs w:val="1"/>
          <w:color w:val="auto"/>
        </w:rPr>
        <w:t>Depreciation and Amortization—</w:t>
      </w:r>
      <w:r>
        <w:rPr>
          <w:rFonts w:ascii="Arial" w:cs="Arial" w:eastAsia="Arial" w:hAnsi="Arial"/>
          <w:sz w:val="17"/>
          <w:szCs w:val="17"/>
          <w:color w:val="auto"/>
        </w:rPr>
        <w:t>Depreciation and amortization expense increased as a result of the acquisition of new stores. We acquired 14 wholly-owned stores during the three months ended March 31, 2022 and a total of 74 stores during the year ended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Revenues and Expenses</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information about other revenues and expenses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60" w:type="dxa"/>
            <w:vAlign w:val="bottom"/>
            <w:gridSpan w:val="5"/>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486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5"/>
                <w:szCs w:val="15"/>
                <w:color w:val="auto"/>
              </w:rPr>
            </w:pPr>
          </w:p>
        </w:tc>
      </w:tr>
      <w:tr>
        <w:trPr>
          <w:trHeight w:val="203"/>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real estate transactions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(63,883)</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7"/>
        </w:trPr>
        <w:tc>
          <w:tcPr>
            <w:tcW w:w="4860" w:type="dxa"/>
            <w:vAlign w:val="bottom"/>
          </w:tcPr>
          <w:p>
            <w:pPr>
              <w:ind w:left="460"/>
              <w:spacing w:after="0"/>
              <w:rPr>
                <w:sz w:val="20"/>
                <w:szCs w:val="20"/>
                <w:color w:val="auto"/>
              </w:rPr>
            </w:pPr>
            <w:r>
              <w:rPr>
                <w:rFonts w:ascii="Arial" w:cs="Arial" w:eastAsia="Arial" w:hAnsi="Arial"/>
                <w:sz w:val="16"/>
                <w:szCs w:val="16"/>
                <w:color w:val="auto"/>
              </w:rPr>
              <w:t>Interest expense</w:t>
            </w:r>
          </w:p>
        </w:tc>
        <w:tc>
          <w:tcPr>
            <w:tcW w:w="5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(42,538)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(40,695)</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(1,843)</w:t>
            </w:r>
          </w:p>
        </w:tc>
        <w:tc>
          <w:tcPr>
            <w:tcW w:w="100" w:type="dxa"/>
            <w:vAlign w:val="bottom"/>
          </w:tcPr>
          <w:p>
            <w:pPr>
              <w:spacing w:after="0"/>
              <w:rPr>
                <w:sz w:val="17"/>
                <w:szCs w:val="17"/>
                <w:color w:val="auto"/>
              </w:rPr>
            </w:pPr>
          </w:p>
        </w:tc>
        <w:tc>
          <w:tcPr>
            <w:tcW w:w="1340" w:type="dxa"/>
            <w:vAlign w:val="bottom"/>
          </w:tcPr>
          <w:p>
            <w:pPr>
              <w:jc w:val="right"/>
              <w:ind w:right="363"/>
              <w:spacing w:after="0"/>
              <w:rPr>
                <w:sz w:val="20"/>
                <w:szCs w:val="20"/>
                <w:color w:val="auto"/>
              </w:rPr>
            </w:pPr>
            <w:r>
              <w:rPr>
                <w:rFonts w:ascii="Arial" w:cs="Arial" w:eastAsia="Arial" w:hAnsi="Arial"/>
                <w:sz w:val="16"/>
                <w:szCs w:val="16"/>
                <w:color w:val="auto"/>
              </w:rPr>
              <w:t>4.5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13"/>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income</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18,989</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54.3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161"/>
        </w:trPr>
        <w:tc>
          <w:tcPr>
            <w:tcW w:w="4860" w:type="dxa"/>
            <w:vAlign w:val="bottom"/>
          </w:tcPr>
          <w:p>
            <w:pPr>
              <w:ind w:left="460"/>
              <w:spacing w:after="0" w:line="161" w:lineRule="exact"/>
              <w:rPr>
                <w:sz w:val="20"/>
                <w:szCs w:val="20"/>
                <w:color w:val="auto"/>
              </w:rPr>
            </w:pPr>
            <w:r>
              <w:rPr>
                <w:rFonts w:ascii="Arial" w:cs="Arial" w:eastAsia="Arial" w:hAnsi="Arial"/>
                <w:sz w:val="16"/>
                <w:szCs w:val="16"/>
                <w:color w:val="auto"/>
                <w:w w:val="95"/>
              </w:rPr>
              <w:t>Equity in earnings and dividend income from unconsolidated real</w:t>
            </w:r>
          </w:p>
        </w:tc>
        <w:tc>
          <w:tcPr>
            <w:tcW w:w="560" w:type="dxa"/>
            <w:vAlign w:val="bottom"/>
          </w:tcPr>
          <w:p>
            <w:pPr>
              <w:spacing w:after="0"/>
              <w:rPr>
                <w:sz w:val="13"/>
                <w:szCs w:val="13"/>
                <w:color w:val="auto"/>
              </w:rPr>
            </w:pPr>
          </w:p>
        </w:tc>
        <w:tc>
          <w:tcPr>
            <w:tcW w:w="980" w:type="dxa"/>
            <w:vAlign w:val="bottom"/>
          </w:tcPr>
          <w:p>
            <w:pPr>
              <w:jc w:val="right"/>
              <w:spacing w:after="0" w:line="161" w:lineRule="exact"/>
              <w:rPr>
                <w:sz w:val="20"/>
                <w:szCs w:val="20"/>
                <w:color w:val="auto"/>
              </w:rPr>
            </w:pPr>
            <w:r>
              <w:rPr>
                <w:rFonts w:ascii="Arial" w:cs="Arial" w:eastAsia="Arial" w:hAnsi="Arial"/>
                <w:sz w:val="16"/>
                <w:szCs w:val="16"/>
                <w:color w:val="auto"/>
              </w:rPr>
              <w:t>9,097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jc w:val="right"/>
              <w:spacing w:after="0" w:line="161" w:lineRule="exact"/>
              <w:rPr>
                <w:sz w:val="20"/>
                <w:szCs w:val="20"/>
                <w:color w:val="auto"/>
              </w:rPr>
            </w:pPr>
            <w:r>
              <w:rPr>
                <w:rFonts w:ascii="Arial" w:cs="Arial" w:eastAsia="Arial" w:hAnsi="Arial"/>
                <w:sz w:val="16"/>
                <w:szCs w:val="16"/>
                <w:color w:val="auto"/>
              </w:rPr>
              <w:t>6,956</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jc w:val="right"/>
              <w:spacing w:after="0" w:line="161" w:lineRule="exact"/>
              <w:rPr>
                <w:sz w:val="20"/>
                <w:szCs w:val="20"/>
                <w:color w:val="auto"/>
              </w:rPr>
            </w:pPr>
            <w:r>
              <w:rPr>
                <w:rFonts w:ascii="Arial" w:cs="Arial" w:eastAsia="Arial" w:hAnsi="Arial"/>
                <w:sz w:val="16"/>
                <w:szCs w:val="16"/>
                <w:color w:val="auto"/>
              </w:rPr>
              <w:t>2,141</w:t>
            </w:r>
          </w:p>
        </w:tc>
        <w:tc>
          <w:tcPr>
            <w:tcW w:w="100" w:type="dxa"/>
            <w:vAlign w:val="bottom"/>
          </w:tcPr>
          <w:p>
            <w:pPr>
              <w:spacing w:after="0"/>
              <w:rPr>
                <w:sz w:val="13"/>
                <w:szCs w:val="13"/>
                <w:color w:val="auto"/>
              </w:rPr>
            </w:pPr>
          </w:p>
        </w:tc>
        <w:tc>
          <w:tcPr>
            <w:tcW w:w="1340" w:type="dxa"/>
            <w:vAlign w:val="bottom"/>
          </w:tcPr>
          <w:p>
            <w:pPr>
              <w:jc w:val="right"/>
              <w:ind w:right="363"/>
              <w:spacing w:after="0" w:line="161" w:lineRule="exact"/>
              <w:rPr>
                <w:sz w:val="20"/>
                <w:szCs w:val="20"/>
                <w:color w:val="auto"/>
              </w:rPr>
            </w:pPr>
            <w:r>
              <w:rPr>
                <w:rFonts w:ascii="Arial" w:cs="Arial" w:eastAsia="Arial" w:hAnsi="Arial"/>
                <w:sz w:val="16"/>
                <w:szCs w:val="16"/>
                <w:color w:val="auto"/>
              </w:rPr>
              <w:t>30.8</w:t>
            </w:r>
          </w:p>
        </w:tc>
        <w:tc>
          <w:tcPr>
            <w:tcW w:w="180" w:type="dxa"/>
            <w:vAlign w:val="bottom"/>
          </w:tcPr>
          <w:p>
            <w:pPr>
              <w:jc w:val="right"/>
              <w:spacing w:after="0" w:line="161" w:lineRule="exact"/>
              <w:rPr>
                <w:sz w:val="20"/>
                <w:szCs w:val="20"/>
                <w:color w:val="auto"/>
              </w:rPr>
            </w:pPr>
            <w:r>
              <w:rPr>
                <w:rFonts w:ascii="Arial" w:cs="Arial" w:eastAsia="Arial" w:hAnsi="Arial"/>
                <w:sz w:val="16"/>
                <w:szCs w:val="16"/>
                <w:color w:val="auto"/>
                <w:w w:val="98"/>
              </w:rPr>
              <w:t>%</w:t>
            </w:r>
          </w:p>
        </w:tc>
      </w:tr>
      <w:tr>
        <w:trPr>
          <w:trHeight w:val="203"/>
        </w:trPr>
        <w:tc>
          <w:tcPr>
            <w:tcW w:w="4860" w:type="dxa"/>
            <w:vAlign w:val="bottom"/>
          </w:tcPr>
          <w:p>
            <w:pPr>
              <w:ind w:left="20"/>
              <w:spacing w:after="0"/>
              <w:rPr>
                <w:sz w:val="20"/>
                <w:szCs w:val="20"/>
                <w:color w:val="auto"/>
              </w:rPr>
            </w:pPr>
            <w:r>
              <w:rPr>
                <w:rFonts w:ascii="Arial" w:cs="Arial" w:eastAsia="Arial" w:hAnsi="Arial"/>
                <w:sz w:val="16"/>
                <w:szCs w:val="16"/>
                <w:color w:val="auto"/>
              </w:rPr>
              <w:t>estate entities</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3"/>
        </w:trPr>
        <w:tc>
          <w:tcPr>
            <w:tcW w:w="4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tax expense</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(4,137)</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6"/>
                <w:szCs w:val="16"/>
                <w:color w:val="auto"/>
              </w:rPr>
              <w:t>(24.1)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00"/>
        </w:trPr>
        <w:tc>
          <w:tcPr>
            <w:tcW w:w="4860" w:type="dxa"/>
            <w:vAlign w:val="bottom"/>
          </w:tcPr>
          <w:p>
            <w:pPr>
              <w:ind w:left="560"/>
              <w:spacing w:after="0"/>
              <w:rPr>
                <w:sz w:val="20"/>
                <w:szCs w:val="20"/>
                <w:color w:val="auto"/>
              </w:rPr>
            </w:pPr>
            <w:r>
              <w:rPr>
                <w:rFonts w:ascii="Arial" w:cs="Arial" w:eastAsia="Arial" w:hAnsi="Arial"/>
                <w:sz w:val="16"/>
                <w:szCs w:val="16"/>
                <w:color w:val="auto"/>
              </w:rPr>
              <w:t>Total other revenues &amp; expenses, net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(17,593)</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38,311</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(55,904)</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(145.9)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w:t>
            </w:r>
          </w:p>
        </w:tc>
      </w:tr>
      <w:tr>
        <w:trPr>
          <w:trHeight w:val="23"/>
        </w:trPr>
        <w:tc>
          <w:tcPr>
            <w:tcW w:w="4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firstLine="433"/>
        <w:spacing w:after="0" w:line="277" w:lineRule="auto"/>
        <w:rPr>
          <w:sz w:val="20"/>
          <w:szCs w:val="20"/>
          <w:color w:val="auto"/>
        </w:rPr>
      </w:pPr>
      <w:r>
        <w:rPr>
          <w:rFonts w:ascii="Arial" w:cs="Arial" w:eastAsia="Arial" w:hAnsi="Arial"/>
          <w:sz w:val="17"/>
          <w:szCs w:val="17"/>
          <w:b w:val="1"/>
          <w:bCs w:val="1"/>
          <w:color w:val="auto"/>
        </w:rPr>
        <w:t xml:space="preserve">Gain on Real Estate Transactions— </w:t>
      </w:r>
      <w:r>
        <w:rPr>
          <w:rFonts w:ascii="Arial" w:cs="Arial" w:eastAsia="Arial" w:hAnsi="Arial"/>
          <w:sz w:val="17"/>
          <w:szCs w:val="17"/>
          <w:color w:val="auto"/>
        </w:rPr>
        <w:t>During the three months ended March 31, 2021, we sold 16 stores to a newly established unconsolidated joint</w:t>
      </w:r>
      <w:r>
        <w:rPr>
          <w:rFonts w:ascii="Arial" w:cs="Arial" w:eastAsia="Arial" w:hAnsi="Arial"/>
          <w:sz w:val="17"/>
          <w:szCs w:val="17"/>
          <w:b w:val="1"/>
          <w:bCs w:val="1"/>
          <w:color w:val="auto"/>
        </w:rPr>
        <w:t xml:space="preserve"> </w:t>
      </w:r>
      <w:r>
        <w:rPr>
          <w:rFonts w:ascii="Arial" w:cs="Arial" w:eastAsia="Arial" w:hAnsi="Arial"/>
          <w:sz w:val="17"/>
          <w:szCs w:val="17"/>
          <w:color w:val="auto"/>
        </w:rPr>
        <w:t>venture. We recognized a total gain of $64,424 related to this transaction. This gain was partially offset by losses related to the sale of notes receivable and solar assets.</w:t>
      </w:r>
    </w:p>
    <w:p>
      <w:pPr>
        <w:spacing w:after="0" w:line="189" w:lineRule="exact"/>
        <w:rPr>
          <w:sz w:val="20"/>
          <w:szCs w:val="20"/>
          <w:color w:val="auto"/>
        </w:rPr>
      </w:pPr>
    </w:p>
    <w:p>
      <w:pPr>
        <w:ind w:right="60" w:firstLine="433"/>
        <w:spacing w:after="0" w:line="297"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color w:val="auto"/>
        </w:rPr>
        <w:t>The increase in interest expense during the three months ended March 31, 2022 was primarily the result of a higher weighted average</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rate and debt balance compared to the same period in the prior year.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3" w:name="page34"/>
    <w:bookmarkEnd w:id="33"/>
    <w:p>
      <w:pPr>
        <w:spacing w:after="0" w:line="177" w:lineRule="exact"/>
        <w:rPr>
          <w:sz w:val="20"/>
          <w:szCs w:val="20"/>
          <w:color w:val="auto"/>
        </w:rPr>
      </w:pPr>
    </w:p>
    <w:p>
      <w:pPr>
        <w:ind w:right="100" w:firstLine="433"/>
        <w:spacing w:after="0" w:line="317" w:lineRule="auto"/>
        <w:rPr>
          <w:sz w:val="20"/>
          <w:szCs w:val="20"/>
          <w:color w:val="auto"/>
        </w:rPr>
      </w:pPr>
      <w:r>
        <w:rPr>
          <w:rFonts w:ascii="Arial" w:cs="Arial" w:eastAsia="Arial" w:hAnsi="Arial"/>
          <w:sz w:val="15"/>
          <w:szCs w:val="15"/>
          <w:b w:val="1"/>
          <w:bCs w:val="1"/>
          <w:color w:val="auto"/>
        </w:rPr>
        <w:t>Interest Income—</w:t>
      </w:r>
      <w:r>
        <w:rPr>
          <w:rFonts w:ascii="Arial" w:cs="Arial" w:eastAsia="Arial" w:hAnsi="Arial"/>
          <w:sz w:val="15"/>
          <w:szCs w:val="15"/>
          <w:color w:val="auto"/>
        </w:rPr>
        <w:t>Interest income represents interest earned on bridge loans, notes receivable and debt securities and income earned on notes receivable</w:t>
      </w:r>
      <w:r>
        <w:rPr>
          <w:rFonts w:ascii="Arial" w:cs="Arial" w:eastAsia="Arial" w:hAnsi="Arial"/>
          <w:sz w:val="15"/>
          <w:szCs w:val="15"/>
          <w:b w:val="1"/>
          <w:bCs w:val="1"/>
          <w:color w:val="auto"/>
        </w:rPr>
        <w:t xml:space="preserve"> </w:t>
      </w:r>
      <w:r>
        <w:rPr>
          <w:rFonts w:ascii="Arial" w:cs="Arial" w:eastAsia="Arial" w:hAnsi="Arial"/>
          <w:sz w:val="15"/>
          <w:szCs w:val="15"/>
          <w:color w:val="auto"/>
        </w:rPr>
        <w:t>from Common and Preferred Operating Partnership unit holders. The increase in interest income during the three months ended March 31, 2022 was primarily the result of interest earned on these loans as well as interest earned from the repayment of the senior mezzanine note receivable with a principal and interest amount of $103,315, which was purchased in July 2020 and includes the recording and the remaining balance of unamortized discount into interest income.</w:t>
      </w:r>
    </w:p>
    <w:p>
      <w:pPr>
        <w:spacing w:after="0" w:line="164" w:lineRule="exact"/>
        <w:rPr>
          <w:sz w:val="20"/>
          <w:szCs w:val="20"/>
          <w:color w:val="auto"/>
        </w:rPr>
      </w:pPr>
    </w:p>
    <w:p>
      <w:pPr>
        <w:ind w:right="360" w:firstLine="433"/>
        <w:spacing w:after="0" w:line="267" w:lineRule="auto"/>
        <w:rPr>
          <w:sz w:val="20"/>
          <w:szCs w:val="20"/>
          <w:color w:val="auto"/>
        </w:rPr>
      </w:pPr>
      <w:r>
        <w:rPr>
          <w:rFonts w:ascii="Arial" w:cs="Arial" w:eastAsia="Arial" w:hAnsi="Arial"/>
          <w:sz w:val="17"/>
          <w:szCs w:val="17"/>
          <w:b w:val="1"/>
          <w:bCs w:val="1"/>
          <w:color w:val="auto"/>
        </w:rPr>
        <w:t>Equity in Earnings and Dividend Income from Unconsolidated Real Estate Entities—</w:t>
      </w:r>
      <w:r>
        <w:rPr>
          <w:rFonts w:ascii="Arial" w:cs="Arial" w:eastAsia="Arial" w:hAnsi="Arial"/>
          <w:sz w:val="17"/>
          <w:szCs w:val="17"/>
          <w:color w:val="auto"/>
        </w:rPr>
        <w:t>Equity in earnings of unconsolidated real estate 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investment in preferred stock of SmartStop, which was purchased in October 2019 for $150,000 with another $50,000 invested in October 2020.</w:t>
      </w:r>
    </w:p>
    <w:p>
      <w:pPr>
        <w:spacing w:after="0" w:line="198" w:lineRule="exact"/>
        <w:rPr>
          <w:sz w:val="20"/>
          <w:szCs w:val="20"/>
          <w:color w:val="auto"/>
        </w:rPr>
      </w:pPr>
    </w:p>
    <w:p>
      <w:pPr>
        <w:ind w:right="300" w:firstLine="433"/>
        <w:spacing w:after="0" w:line="297"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color w:val="auto"/>
        </w:rPr>
        <w:t>—For the three months ended March 31, 2022, the decrease in income tax expense was primarily the result of a larger estimated</w:t>
      </w:r>
      <w:r>
        <w:rPr>
          <w:rFonts w:ascii="Arial" w:cs="Arial" w:eastAsia="Arial" w:hAnsi="Arial"/>
          <w:sz w:val="17"/>
          <w:szCs w:val="17"/>
          <w:b w:val="1"/>
          <w:bCs w:val="1"/>
          <w:color w:val="auto"/>
        </w:rPr>
        <w:t xml:space="preserve"> </w:t>
      </w:r>
      <w:r>
        <w:rPr>
          <w:rFonts w:ascii="Arial" w:cs="Arial" w:eastAsia="Arial" w:hAnsi="Arial"/>
          <w:sz w:val="17"/>
          <w:szCs w:val="17"/>
          <w:color w:val="auto"/>
        </w:rPr>
        <w:t>solar tax credit for 2022 when compared to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256"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199" w:lineRule="exact"/>
        <w:rPr>
          <w:sz w:val="20"/>
          <w:szCs w:val="20"/>
          <w:color w:val="auto"/>
        </w:rPr>
      </w:pPr>
    </w:p>
    <w:p>
      <w:pPr>
        <w:ind w:right="100" w:firstLine="433"/>
        <w:spacing w:after="0" w:line="290" w:lineRule="auto"/>
        <w:rPr>
          <w:sz w:val="20"/>
          <w:szCs w:val="20"/>
          <w:color w:val="auto"/>
        </w:rPr>
      </w:pPr>
      <w:r>
        <w:rPr>
          <w:rFonts w:ascii="Arial" w:cs="Arial" w:eastAsia="Arial" w:hAnsi="Arial"/>
          <w:sz w:val="16"/>
          <w:szCs w:val="16"/>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left="440"/>
        <w:spacing w:after="0"/>
        <w:rPr>
          <w:sz w:val="20"/>
          <w:szCs w:val="20"/>
          <w:color w:val="auto"/>
        </w:rPr>
      </w:pPr>
      <w:r>
        <w:rPr>
          <w:rFonts w:ascii="Arial" w:cs="Arial" w:eastAsia="Arial" w:hAnsi="Arial"/>
          <w:sz w:val="17"/>
          <w:szCs w:val="17"/>
          <w:color w:val="auto"/>
        </w:rPr>
        <w:t>The following table presents the calculation of FFO for the periods indicated: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0" w:type="dxa"/>
            <w:vAlign w:val="bottom"/>
          </w:tcPr>
          <w:p>
            <w:pPr>
              <w:spacing w:after="0"/>
              <w:rPr>
                <w:sz w:val="16"/>
                <w:szCs w:val="16"/>
                <w:color w:val="auto"/>
              </w:rPr>
            </w:pPr>
          </w:p>
        </w:tc>
        <w:tc>
          <w:tcPr>
            <w:tcW w:w="2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For the Three Months Ended March 31,</w:t>
            </w:r>
          </w:p>
        </w:tc>
      </w:tr>
      <w:tr>
        <w:trPr>
          <w:trHeight w:val="181"/>
        </w:trPr>
        <w:tc>
          <w:tcPr>
            <w:tcW w:w="88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r>
      <w:tr>
        <w:trPr>
          <w:trHeight w:val="217"/>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common stockholders</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202,998</w:t>
            </w:r>
          </w:p>
        </w:tc>
      </w:tr>
      <w:tr>
        <w:trPr>
          <w:trHeight w:val="249"/>
        </w:trPr>
        <w:tc>
          <w:tcPr>
            <w:tcW w:w="8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7"/>
                <w:szCs w:val="17"/>
                <w:color w:val="auto"/>
              </w:rPr>
              <w:t>Real estate depreciation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62,692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55,815</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r>
      <w:tr>
        <w:trPr>
          <w:trHeight w:val="223"/>
        </w:trPr>
        <w:tc>
          <w:tcPr>
            <w:tcW w:w="8800" w:type="dxa"/>
            <w:vAlign w:val="bottom"/>
          </w:tcPr>
          <w:p>
            <w:pPr>
              <w:ind w:left="20"/>
              <w:spacing w:after="0"/>
              <w:rPr>
                <w:sz w:val="20"/>
                <w:szCs w:val="20"/>
                <w:color w:val="auto"/>
              </w:rPr>
            </w:pPr>
            <w:r>
              <w:rPr>
                <w:rFonts w:ascii="Arial" w:cs="Arial" w:eastAsia="Arial" w:hAnsi="Arial"/>
                <w:sz w:val="17"/>
                <w:szCs w:val="17"/>
                <w:color w:val="auto"/>
              </w:rPr>
              <w:t>Gain on real estate transactions</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(63,883)</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Unconsolidated joint venture real estate depreciation and amortization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2,505</w:t>
            </w:r>
          </w:p>
        </w:tc>
      </w:tr>
      <w:tr>
        <w:trPr>
          <w:trHeight w:val="223"/>
        </w:trPr>
        <w:tc>
          <w:tcPr>
            <w:tcW w:w="8800" w:type="dxa"/>
            <w:vAlign w:val="bottom"/>
          </w:tcPr>
          <w:p>
            <w:pPr>
              <w:ind w:left="20"/>
              <w:spacing w:after="0"/>
              <w:rPr>
                <w:sz w:val="20"/>
                <w:szCs w:val="20"/>
                <w:color w:val="auto"/>
              </w:rPr>
            </w:pPr>
            <w:r>
              <w:rPr>
                <w:rFonts w:ascii="Arial" w:cs="Arial" w:eastAsia="Arial" w:hAnsi="Arial"/>
                <w:sz w:val="17"/>
                <w:szCs w:val="17"/>
                <w:color w:val="auto"/>
              </w:rPr>
              <w:t>Distributions paid on Series A Preferred Operating Partnership units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(572)</w:t>
            </w: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allocated to Operating Partnership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12,503</w:t>
            </w:r>
          </w:p>
        </w:tc>
      </w:tr>
      <w:tr>
        <w:trPr>
          <w:trHeight w:val="216"/>
        </w:trPr>
        <w:tc>
          <w:tcPr>
            <w:tcW w:w="8800" w:type="dxa"/>
            <w:vAlign w:val="bottom"/>
          </w:tcPr>
          <w:p>
            <w:pPr>
              <w:ind w:left="20"/>
              <w:spacing w:after="0"/>
              <w:rPr>
                <w:sz w:val="20"/>
                <w:szCs w:val="20"/>
                <w:color w:val="auto"/>
              </w:rPr>
            </w:pPr>
            <w:r>
              <w:rPr>
                <w:rFonts w:ascii="Arial" w:cs="Arial" w:eastAsia="Arial" w:hAnsi="Arial"/>
                <w:sz w:val="17"/>
                <w:szCs w:val="17"/>
                <w:b w:val="1"/>
                <w:bCs w:val="1"/>
                <w:color w:val="auto"/>
              </w:rPr>
              <w:t>Funds from operations attributable to common stockholders and unit holders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286,456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210,059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SAME-STORE RESULTS</w:t>
      </w:r>
    </w:p>
    <w:p>
      <w:pPr>
        <w:spacing w:after="0" w:line="256" w:lineRule="exact"/>
        <w:rPr>
          <w:sz w:val="20"/>
          <w:szCs w:val="20"/>
          <w:color w:val="auto"/>
        </w:rPr>
      </w:pPr>
    </w:p>
    <w:p>
      <w:pPr>
        <w:ind w:right="220" w:firstLine="433"/>
        <w:spacing w:after="0" w:line="281" w:lineRule="auto"/>
        <w:rPr>
          <w:sz w:val="20"/>
          <w:szCs w:val="20"/>
          <w:color w:val="auto"/>
        </w:rPr>
      </w:pPr>
      <w:r>
        <w:rPr>
          <w:rFonts w:ascii="Arial" w:cs="Arial" w:eastAsia="Arial" w:hAnsi="Arial"/>
          <w:sz w:val="16"/>
          <w:szCs w:val="16"/>
          <w:color w:val="auto"/>
        </w:rPr>
        <w:t>Our same-store pool for the periods presented consists of 870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2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 March 31,</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top w:val="single" w:sz="8" w:color="auto"/>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Same-store rental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341,888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280,990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40"/>
              <w:spacing w:after="0"/>
              <w:rPr>
                <w:sz w:val="20"/>
                <w:szCs w:val="20"/>
                <w:color w:val="auto"/>
              </w:rPr>
            </w:pPr>
            <w:r>
              <w:rPr>
                <w:rFonts w:ascii="Arial" w:cs="Arial" w:eastAsia="Arial" w:hAnsi="Arial"/>
                <w:sz w:val="17"/>
                <w:szCs w:val="17"/>
                <w:color w:val="auto"/>
              </w:rPr>
              <w:t>21.7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Same-store operating expenses</w:t>
            </w: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84,857</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79,480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40"/>
              <w:spacing w:after="0"/>
              <w:rPr>
                <w:sz w:val="20"/>
                <w:szCs w:val="20"/>
                <w:color w:val="auto"/>
              </w:rPr>
            </w:pPr>
            <w:r>
              <w:rPr>
                <w:rFonts w:ascii="Arial" w:cs="Arial" w:eastAsia="Arial" w:hAnsi="Arial"/>
                <w:sz w:val="17"/>
                <w:szCs w:val="17"/>
                <w:color w:val="auto"/>
              </w:rPr>
              <w:t>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63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Same-store net operating income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257,031</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201,510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7"/>
                <w:szCs w:val="17"/>
                <w:color w:val="auto"/>
              </w:rPr>
              <w:t>27.6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Same-store square foot occupancy as of quarter end</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jc w:val="center"/>
              <w:ind w:right="118"/>
              <w:spacing w:after="0"/>
              <w:rPr>
                <w:sz w:val="20"/>
                <w:szCs w:val="20"/>
                <w:color w:val="auto"/>
              </w:rPr>
            </w:pPr>
            <w:r>
              <w:rPr>
                <w:rFonts w:ascii="Arial" w:cs="Arial" w:eastAsia="Arial" w:hAnsi="Arial"/>
                <w:sz w:val="17"/>
                <w:szCs w:val="17"/>
                <w:color w:val="auto"/>
                <w:w w:val="91"/>
              </w:rPr>
              <w:t>94.5%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jc w:val="center"/>
              <w:ind w:right="136"/>
              <w:spacing w:after="0"/>
              <w:rPr>
                <w:sz w:val="20"/>
                <w:szCs w:val="20"/>
                <w:color w:val="auto"/>
              </w:rPr>
            </w:pPr>
            <w:r>
              <w:rPr>
                <w:rFonts w:ascii="Arial" w:cs="Arial" w:eastAsia="Arial" w:hAnsi="Arial"/>
                <w:sz w:val="17"/>
                <w:szCs w:val="17"/>
                <w:color w:val="auto"/>
                <w:w w:val="91"/>
              </w:rPr>
              <w:t>95.3%</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620"/>
              <w:spacing w:after="0"/>
              <w:rPr>
                <w:sz w:val="20"/>
                <w:szCs w:val="20"/>
                <w:color w:val="auto"/>
              </w:rPr>
            </w:pPr>
            <w:r>
              <w:rPr>
                <w:rFonts w:ascii="Arial" w:cs="Arial" w:eastAsia="Arial" w:hAnsi="Arial"/>
                <w:sz w:val="17"/>
                <w:szCs w:val="17"/>
                <w:color w:val="auto"/>
              </w:rPr>
              <w:t>Properties included in same-store</w:t>
            </w: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right="98"/>
              <w:spacing w:after="0"/>
              <w:rPr>
                <w:sz w:val="20"/>
                <w:szCs w:val="20"/>
                <w:color w:val="auto"/>
              </w:rPr>
            </w:pPr>
            <w:r>
              <w:rPr>
                <w:rFonts w:ascii="Arial" w:cs="Arial" w:eastAsia="Arial" w:hAnsi="Arial"/>
                <w:sz w:val="17"/>
                <w:szCs w:val="17"/>
                <w:color w:val="auto"/>
                <w:w w:val="91"/>
              </w:rPr>
              <w:t>870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36"/>
              <w:spacing w:after="0"/>
              <w:rPr>
                <w:sz w:val="20"/>
                <w:szCs w:val="20"/>
                <w:color w:val="auto"/>
              </w:rPr>
            </w:pPr>
            <w:r>
              <w:rPr>
                <w:rFonts w:ascii="Arial" w:cs="Arial" w:eastAsia="Arial" w:hAnsi="Arial"/>
                <w:sz w:val="17"/>
                <w:szCs w:val="17"/>
                <w:color w:val="auto"/>
                <w:w w:val="98"/>
              </w:rPr>
              <w:t>870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Same-store revenues for the three months ended March 31, 2022 increased compared to the same periods in 2021 due to higher average rates to new and existing customers and higher late fees partially offset by lower occupancy.</w:t>
      </w:r>
    </w:p>
    <w:p>
      <w:pPr>
        <w:spacing w:after="0" w:line="54" w:lineRule="exact"/>
        <w:rPr>
          <w:sz w:val="20"/>
          <w:szCs w:val="20"/>
          <w:color w:val="auto"/>
        </w:rPr>
      </w:pPr>
    </w:p>
    <w:p>
      <w:pPr>
        <w:ind w:right="2460" w:firstLine="433"/>
        <w:spacing w:after="0" w:line="273" w:lineRule="auto"/>
        <w:rPr>
          <w:sz w:val="20"/>
          <w:szCs w:val="20"/>
          <w:color w:val="auto"/>
        </w:rPr>
      </w:pPr>
      <w:r>
        <w:rPr>
          <w:rFonts w:ascii="Arial" w:cs="Arial" w:eastAsia="Arial" w:hAnsi="Arial"/>
          <w:sz w:val="17"/>
          <w:szCs w:val="17"/>
          <w:color w:val="auto"/>
        </w:rPr>
        <w:t>Same-store expenses increased for the three months ended March 31, 2022 compared to the same period in 2021 due to increases in payroll, credit card processing fees, repairs and maintenance (snow removal) and insurance, partially offset by lower marketing expense.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5" w:name="page36"/>
    <w:bookmarkEnd w:id="35"/>
    <w:p>
      <w:pPr>
        <w:ind w:right="100" w:firstLine="433"/>
        <w:spacing w:after="0" w:line="275" w:lineRule="auto"/>
        <w:rPr>
          <w:sz w:val="20"/>
          <w:szCs w:val="20"/>
          <w:color w:val="auto"/>
        </w:rPr>
      </w:pPr>
      <w:r>
        <w:rPr>
          <w:rFonts w:ascii="Arial" w:cs="Arial" w:eastAsia="Arial" w:hAnsi="Arial"/>
          <w:sz w:val="17"/>
          <w:szCs w:val="17"/>
          <w:color w:val="auto"/>
        </w:rPr>
        <w:t>The following table presents a reconciliation of same-store net operating income to net income as presented on our condensed consolidated statements of operations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w w:val="96"/>
              </w:rPr>
              <w:t>For the Three Months Ended March 31,</w:t>
            </w:r>
          </w:p>
        </w:tc>
      </w:tr>
      <w:tr>
        <w:trPr>
          <w:trHeight w:val="181"/>
        </w:trPr>
        <w:tc>
          <w:tcPr>
            <w:tcW w:w="77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17"/>
        </w:trPr>
        <w:tc>
          <w:tcPr>
            <w:tcW w:w="7740" w:type="dxa"/>
            <w:vAlign w:val="bottom"/>
            <w:shd w:val="clear" w:color="auto" w:fill="CCEEFF"/>
          </w:tcPr>
          <w:p>
            <w:pPr>
              <w:ind w:left="460"/>
              <w:spacing w:after="0"/>
              <w:rPr>
                <w:sz w:val="20"/>
                <w:szCs w:val="20"/>
                <w:color w:val="auto"/>
              </w:rPr>
            </w:pPr>
            <w:r>
              <w:rPr>
                <w:rFonts w:ascii="Arial" w:cs="Arial" w:eastAsia="Arial" w:hAnsi="Arial"/>
                <w:sz w:val="17"/>
                <w:szCs w:val="17"/>
                <w:b w:val="1"/>
                <w:bCs w:val="1"/>
                <w:color w:val="auto"/>
              </w:rPr>
              <w:t>Net Income</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217,717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215,501</w:t>
            </w:r>
          </w:p>
        </w:tc>
      </w:tr>
      <w:tr>
        <w:trPr>
          <w:trHeight w:val="223"/>
        </w:trPr>
        <w:tc>
          <w:tcPr>
            <w:tcW w:w="7740" w:type="dxa"/>
            <w:vAlign w:val="bottom"/>
          </w:tcPr>
          <w:p>
            <w:pPr>
              <w:ind w:left="580"/>
              <w:spacing w:after="0"/>
              <w:rPr>
                <w:sz w:val="20"/>
                <w:szCs w:val="20"/>
                <w:color w:val="auto"/>
              </w:rPr>
            </w:pPr>
            <w:r>
              <w:rPr>
                <w:rFonts w:ascii="Arial" w:cs="Arial" w:eastAsia="Arial" w:hAnsi="Arial"/>
                <w:sz w:val="17"/>
                <w:szCs w:val="17"/>
                <w:color w:val="auto"/>
              </w:rPr>
              <w:t>Adjusted to exclude:</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Gain on real estate transactions</w:t>
            </w:r>
          </w:p>
        </w:tc>
        <w:tc>
          <w:tcPr>
            <w:tcW w:w="6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(63,883)</w:t>
            </w:r>
          </w:p>
        </w:tc>
      </w:tr>
      <w:tr>
        <w:trPr>
          <w:trHeight w:val="223"/>
        </w:trPr>
        <w:tc>
          <w:tcPr>
            <w:tcW w:w="7740" w:type="dxa"/>
            <w:vAlign w:val="bottom"/>
          </w:tcPr>
          <w:p>
            <w:pPr>
              <w:ind w:left="660"/>
              <w:spacing w:after="0"/>
              <w:rPr>
                <w:sz w:val="20"/>
                <w:szCs w:val="20"/>
                <w:color w:val="auto"/>
              </w:rPr>
            </w:pPr>
            <w:r>
              <w:rPr>
                <w:rFonts w:ascii="Arial" w:cs="Arial" w:eastAsia="Arial" w:hAnsi="Arial"/>
                <w:sz w:val="17"/>
                <w:szCs w:val="17"/>
                <w:color w:val="auto"/>
              </w:rPr>
              <w:t>Equity in earnings and dividend income from unconsolidated real estate entities</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(9,097)</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(6,956)</w:t>
            </w: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Interest expense</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42,538</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40,695</w:t>
            </w:r>
          </w:p>
        </w:tc>
      </w:tr>
      <w:tr>
        <w:trPr>
          <w:trHeight w:val="223"/>
        </w:trPr>
        <w:tc>
          <w:tcPr>
            <w:tcW w:w="7740" w:type="dxa"/>
            <w:vAlign w:val="bottom"/>
          </w:tcPr>
          <w:p>
            <w:pPr>
              <w:ind w:left="660"/>
              <w:spacing w:after="0"/>
              <w:rPr>
                <w:sz w:val="20"/>
                <w:szCs w:val="20"/>
                <w:color w:val="auto"/>
              </w:rPr>
            </w:pPr>
            <w:r>
              <w:rPr>
                <w:rFonts w:ascii="Arial" w:cs="Arial" w:eastAsia="Arial" w:hAnsi="Arial"/>
                <w:sz w:val="17"/>
                <w:szCs w:val="17"/>
                <w:color w:val="auto"/>
              </w:rPr>
              <w:t>Depreciation and amortization</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67,906</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58,599</w:t>
            </w: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Income tax expense</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w:t>
            </w:r>
          </w:p>
        </w:tc>
      </w:tr>
      <w:tr>
        <w:trPr>
          <w:trHeight w:val="223"/>
        </w:trPr>
        <w:tc>
          <w:tcPr>
            <w:tcW w:w="7740" w:type="dxa"/>
            <w:vAlign w:val="bottom"/>
          </w:tcPr>
          <w:p>
            <w:pPr>
              <w:ind w:left="660"/>
              <w:spacing w:after="0"/>
              <w:rPr>
                <w:sz w:val="20"/>
                <w:szCs w:val="20"/>
                <w:color w:val="auto"/>
              </w:rPr>
            </w:pPr>
            <w:r>
              <w:rPr>
                <w:rFonts w:ascii="Arial" w:cs="Arial" w:eastAsia="Arial" w:hAnsi="Arial"/>
                <w:sz w:val="17"/>
                <w:szCs w:val="17"/>
                <w:color w:val="auto"/>
              </w:rPr>
              <w:t>General and administrative</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29,762</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23,540</w:t>
            </w: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Management fees, other income and interest income</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(38,946)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(27,949)</w:t>
            </w:r>
          </w:p>
        </w:tc>
      </w:tr>
      <w:tr>
        <w:trPr>
          <w:trHeight w:val="223"/>
        </w:trPr>
        <w:tc>
          <w:tcPr>
            <w:tcW w:w="7740" w:type="dxa"/>
            <w:vAlign w:val="bottom"/>
          </w:tcPr>
          <w:p>
            <w:pPr>
              <w:ind w:left="660"/>
              <w:spacing w:after="0"/>
              <w:rPr>
                <w:sz w:val="20"/>
                <w:szCs w:val="20"/>
                <w:color w:val="auto"/>
              </w:rPr>
            </w:pPr>
            <w:r>
              <w:rPr>
                <w:rFonts w:ascii="Arial" w:cs="Arial" w:eastAsia="Arial" w:hAnsi="Arial"/>
                <w:sz w:val="17"/>
                <w:szCs w:val="17"/>
                <w:color w:val="auto"/>
              </w:rPr>
              <w:t>Net tenant insurance</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(36,755)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(32,458)</w:t>
            </w:r>
          </w:p>
        </w:tc>
      </w:tr>
      <w:tr>
        <w:trPr>
          <w:trHeight w:val="223"/>
        </w:trPr>
        <w:tc>
          <w:tcPr>
            <w:tcW w:w="774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Non same-store rental revenue</w:t>
            </w:r>
          </w:p>
        </w:tc>
        <w:tc>
          <w:tcPr>
            <w:tcW w:w="6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(37,920)</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(22,603)</w:t>
            </w:r>
          </w:p>
        </w:tc>
      </w:tr>
      <w:tr>
        <w:trPr>
          <w:trHeight w:val="223"/>
        </w:trPr>
        <w:tc>
          <w:tcPr>
            <w:tcW w:w="774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Non same-store operating expense</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18,685</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12,887</w:t>
            </w:r>
          </w:p>
        </w:tc>
      </w:tr>
      <w:tr>
        <w:trPr>
          <w:trHeight w:val="241"/>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Total same-store net operating income</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257,031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201,510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77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Same-store rental revenues</w:t>
            </w:r>
          </w:p>
        </w:tc>
        <w:tc>
          <w:tcPr>
            <w:tcW w:w="66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341,888</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280,990</w:t>
            </w:r>
          </w:p>
        </w:tc>
      </w:tr>
      <w:tr>
        <w:trPr>
          <w:trHeight w:val="223"/>
        </w:trPr>
        <w:tc>
          <w:tcPr>
            <w:tcW w:w="77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Same-store operating expenses</w:t>
            </w: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84,857</w:t>
            </w: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79,480</w:t>
            </w:r>
          </w:p>
        </w:tc>
      </w:tr>
      <w:tr>
        <w:trPr>
          <w:trHeight w:val="241"/>
        </w:trPr>
        <w:tc>
          <w:tcPr>
            <w:tcW w:w="7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Same-store net operating income</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257,031</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201,510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256" w:lineRule="exact"/>
        <w:rPr>
          <w:sz w:val="20"/>
          <w:szCs w:val="20"/>
          <w:color w:val="auto"/>
        </w:rPr>
      </w:pPr>
    </w:p>
    <w:p>
      <w:pPr>
        <w:ind w:right="100" w:firstLine="433"/>
        <w:spacing w:after="0" w:line="268" w:lineRule="auto"/>
        <w:rPr>
          <w:sz w:val="20"/>
          <w:szCs w:val="20"/>
          <w:color w:val="auto"/>
        </w:rPr>
      </w:pPr>
      <w:r>
        <w:rPr>
          <w:rFonts w:ascii="Arial" w:cs="Arial" w:eastAsia="Arial" w:hAnsi="Arial"/>
          <w:sz w:val="17"/>
          <w:szCs w:val="17"/>
          <w:color w:val="auto"/>
        </w:rPr>
        <w:t>Cash flows from operating activities for the three months ended March 31, 2022 increased when compared to the same period in the prior year as a result of our continued total revenue growth.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88"/>
        </w:trPr>
        <w:tc>
          <w:tcPr>
            <w:tcW w:w="8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3"/>
              </w:rPr>
              <w:t>For the Three Months Ended March 31,</w:t>
            </w:r>
          </w:p>
        </w:tc>
      </w:tr>
      <w:tr>
        <w:trPr>
          <w:trHeight w:val="181"/>
        </w:trPr>
        <w:tc>
          <w:tcPr>
            <w:tcW w:w="8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r>
      <w:tr>
        <w:trPr>
          <w:trHeight w:val="217"/>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203,880</w:t>
            </w:r>
          </w:p>
        </w:tc>
      </w:tr>
      <w:tr>
        <w:trPr>
          <w:trHeight w:val="223"/>
        </w:trPr>
        <w:tc>
          <w:tcPr>
            <w:tcW w:w="838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(121,372)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42,595</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(311,689)</w:t>
            </w:r>
          </w:p>
        </w:tc>
      </w:tr>
      <w:tr>
        <w:trPr>
          <w:trHeight w:val="262"/>
        </w:trPr>
        <w:tc>
          <w:tcPr>
            <w:tcW w:w="8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Significant components of net cash flow included: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217,717</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215,501</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58,599</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Gain on real estate transactions</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(63,883)</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Acquisition and development of real estate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(175,838)</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Proceeds from sale of real estate assets and investments in real estate ventures</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132,733</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Issuance and purchase of notes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(25,772)</w:t>
            </w:r>
          </w:p>
        </w:tc>
      </w:tr>
      <w:tr>
        <w:trPr>
          <w:trHeight w:val="223"/>
        </w:trPr>
        <w:tc>
          <w:tcPr>
            <w:tcW w:w="8380" w:type="dxa"/>
            <w:vAlign w:val="bottom"/>
          </w:tcPr>
          <w:p>
            <w:pPr>
              <w:ind w:left="240"/>
              <w:spacing w:after="0"/>
              <w:rPr>
                <w:sz w:val="20"/>
                <w:szCs w:val="20"/>
                <w:color w:val="auto"/>
              </w:rPr>
            </w:pPr>
            <w:r>
              <w:rPr>
                <w:rFonts w:ascii="Arial" w:cs="Arial" w:eastAsia="Arial" w:hAnsi="Arial"/>
                <w:sz w:val="17"/>
                <w:szCs w:val="17"/>
                <w:color w:val="auto"/>
              </w:rPr>
              <w:t>Proceeds from sale of notes receivable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39,718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81,250</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received from notes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195,803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Proceeds from the sale of common stock, net of offering costs</w:t>
            </w:r>
          </w:p>
        </w:tc>
        <w:tc>
          <w:tcPr>
            <w:tcW w:w="1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273,720</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notes payable and revolving lines of credit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1,747,000</w:t>
            </w:r>
          </w:p>
        </w:tc>
      </w:tr>
      <w:tr>
        <w:trPr>
          <w:trHeight w:val="223"/>
        </w:trPr>
        <w:tc>
          <w:tcPr>
            <w:tcW w:w="8380" w:type="dxa"/>
            <w:vAlign w:val="bottom"/>
          </w:tcPr>
          <w:p>
            <w:pPr>
              <w:ind w:left="220"/>
              <w:spacing w:after="0"/>
              <w:rPr>
                <w:sz w:val="20"/>
                <w:szCs w:val="20"/>
                <w:color w:val="auto"/>
              </w:rPr>
            </w:pPr>
            <w:r>
              <w:rPr>
                <w:rFonts w:ascii="Arial" w:cs="Arial" w:eastAsia="Arial" w:hAnsi="Arial"/>
                <w:sz w:val="17"/>
                <w:szCs w:val="17"/>
                <w:color w:val="auto"/>
              </w:rPr>
              <w:t>Principal payments on notes payable and revolving lines of credit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(1,230,924)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(2,193,409)</w:t>
            </w:r>
          </w:p>
        </w:tc>
      </w:tr>
      <w:tr>
        <w:trPr>
          <w:trHeight w:val="223"/>
        </w:trPr>
        <w:tc>
          <w:tcPr>
            <w:tcW w:w="8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public bonds,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380" w:type="dxa"/>
            <w:vAlign w:val="bottom"/>
          </w:tcPr>
          <w:p>
            <w:pPr>
              <w:ind w:left="240"/>
              <w:spacing w:after="0"/>
              <w:rPr>
                <w:sz w:val="20"/>
                <w:szCs w:val="20"/>
                <w:color w:val="auto"/>
              </w:rPr>
            </w:pPr>
            <w:r>
              <w:rPr>
                <w:rFonts w:ascii="Arial" w:cs="Arial" w:eastAsia="Arial" w:hAnsi="Arial"/>
                <w:sz w:val="17"/>
                <w:szCs w:val="17"/>
                <w:color w:val="auto"/>
              </w:rPr>
              <w:t>Dividends paid on common stock</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(202,527)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(132,540)</w:t>
            </w:r>
          </w:p>
        </w:tc>
      </w:tr>
    </w:tbl>
    <w:p>
      <w:pPr>
        <w:spacing w:after="0" w:line="316"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spacing w:after="0" w:line="202" w:lineRule="exact"/>
        <w:rPr>
          <w:sz w:val="20"/>
          <w:szCs w:val="20"/>
          <w:color w:val="auto"/>
        </w:rPr>
      </w:pPr>
    </w:p>
    <w:p>
      <w:pPr>
        <w:ind w:right="40" w:firstLine="433"/>
        <w:spacing w:after="0" w:line="298" w:lineRule="auto"/>
        <w:rPr>
          <w:sz w:val="20"/>
          <w:szCs w:val="20"/>
          <w:color w:val="auto"/>
        </w:rPr>
      </w:pPr>
      <w:r>
        <w:rPr>
          <w:rFonts w:ascii="Arial" w:cs="Arial" w:eastAsia="Arial" w:hAnsi="Arial"/>
          <w:sz w:val="16"/>
          <w:szCs w:val="16"/>
          <w:color w:val="auto"/>
        </w:rPr>
        <w:t>We expect to generate positive cash flow from operations in 2022,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ind w:right="60" w:firstLine="433"/>
        <w:spacing w:after="0" w:line="268" w:lineRule="auto"/>
        <w:rPr>
          <w:sz w:val="20"/>
          <w:szCs w:val="20"/>
          <w:color w:val="auto"/>
        </w:rPr>
      </w:pPr>
      <w:r>
        <w:rPr>
          <w:rFonts w:ascii="Arial" w:cs="Arial" w:eastAsia="Arial" w:hAnsi="Arial"/>
          <w:sz w:val="17"/>
          <w:szCs w:val="17"/>
          <w:color w:val="auto"/>
        </w:rPr>
        <w:t>As of March 31, 2022, we had $65,978 available in cash and cash equivalents. Our cash and cash equivalents are held in accounts managed by third party financial institutions and consist of invested cash and cash in our operating accounts. During 2022 and 2021, we experienced no loss or lack of access to our cash or cash equivalents; however, there can be no assurance that access to our cash and cash equivalents will not be impacted by adverse conditions in the financial markets.</w:t>
      </w:r>
    </w:p>
    <w:p>
      <w:pPr>
        <w:spacing w:after="0" w:line="202"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As of March 31, 2022, we had $6,043,018 face value of debt, resulting in a debt to total enterprise value ratio of 17.1%. As of March 31, 2022, the ratio of total fixed-rate debt and other instruments to total debt was 80.4% ($4,860,356 total fixed-rate debt including $1,936,424 on which we have interest rate swaps that have been included as fixed-rate debt). The weighted average interest rate of the total of fixed- and variable-rate debt at March 31, 2022 was 2.8%. Certain of our real estate assets are pledged as collateral for our debt. We are subject to certain restrictive covenants relating to our outstanding debt. We were in compliance with all financial covenants at March 31, 2022.</w:t>
      </w:r>
    </w:p>
    <w:p>
      <w:pPr>
        <w:spacing w:after="0" w:line="206" w:lineRule="exact"/>
        <w:rPr>
          <w:sz w:val="20"/>
          <w:szCs w:val="20"/>
          <w:color w:val="auto"/>
        </w:rPr>
      </w:pPr>
    </w:p>
    <w:p>
      <w:pPr>
        <w:ind w:right="420" w:firstLine="433"/>
        <w:spacing w:after="0" w:line="268" w:lineRule="auto"/>
        <w:rPr>
          <w:sz w:val="20"/>
          <w:szCs w:val="20"/>
          <w:color w:val="auto"/>
        </w:rPr>
      </w:pPr>
      <w:r>
        <w:rPr>
          <w:rFonts w:ascii="Arial" w:cs="Arial" w:eastAsia="Arial" w:hAnsi="Arial"/>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37" w:name="page38"/>
    <w:bookmarkEnd w:id="37"/>
    <w:p>
      <w:pPr>
        <w:ind w:right="20" w:firstLine="433"/>
        <w:spacing w:after="0" w:line="237" w:lineRule="auto"/>
        <w:rPr>
          <w:sz w:val="20"/>
          <w:szCs w:val="20"/>
          <w:color w:val="auto"/>
        </w:rPr>
      </w:pPr>
      <w:r>
        <w:rPr>
          <w:rFonts w:ascii="Arial" w:cs="Arial" w:eastAsia="Arial" w:hAnsi="Arial"/>
          <w:sz w:val="17"/>
          <w:szCs w:val="17"/>
          <w:color w:val="auto"/>
        </w:rPr>
        <w:t>We currently hold a BBB/Stable rating from S&amp;P and a Baa2 rating from Moody's Investors Service. We intend to manage our balance sheet to maintain these ratings. Certain of our real estate assets are pledged as collateral for our debt. As of March 31, 2022, we had a total of 766 unencumbered stores as defined by our public bonds. Our unencumbered asset value was calculated as $14,390,115 and our total asset value was calculated as $19,160,844 according to the calculations as defined by our public bonds.</w:t>
      </w:r>
    </w:p>
    <w:p>
      <w:pPr>
        <w:spacing w:after="0" w:line="211" w:lineRule="exact"/>
        <w:rPr>
          <w:sz w:val="20"/>
          <w:szCs w:val="20"/>
          <w:color w:val="auto"/>
        </w:rPr>
      </w:pPr>
    </w:p>
    <w:p>
      <w:pPr>
        <w:ind w:firstLine="433"/>
        <w:spacing w:after="0" w:line="247" w:lineRule="auto"/>
        <w:rPr>
          <w:sz w:val="20"/>
          <w:szCs w:val="20"/>
          <w:color w:val="auto"/>
        </w:rPr>
      </w:pPr>
      <w:r>
        <w:rPr>
          <w:rFonts w:ascii="Arial" w:cs="Arial" w:eastAsia="Arial" w:hAnsi="Arial"/>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09" w:lineRule="exact"/>
        <w:rPr>
          <w:sz w:val="20"/>
          <w:szCs w:val="20"/>
          <w:color w:val="auto"/>
        </w:rPr>
      </w:pPr>
    </w:p>
    <w:p>
      <w:pPr>
        <w:ind w:right="40" w:firstLine="433"/>
        <w:spacing w:after="0" w:line="252" w:lineRule="auto"/>
        <w:rPr>
          <w:sz w:val="20"/>
          <w:szCs w:val="20"/>
          <w:color w:val="auto"/>
        </w:rPr>
      </w:pPr>
      <w:r>
        <w:rPr>
          <w:rFonts w:ascii="Arial" w:cs="Arial" w:eastAsia="Arial" w:hAnsi="Arial"/>
          <w:sz w:val="17"/>
          <w:szCs w:val="17"/>
          <w:color w:val="auto"/>
        </w:rPr>
        <w:t>The COVID-19 pandemic has had negative impacts on capital markets and may continue to do so or such negative impacts could intensify. Based upon the current availability of our credit facility and our credit rating, we do not expect such capital market dislocations to have a material impact upon our ability to satisfy obligations and maturities or our growth plans during the year. However, there can be no assurance of the impact on our future plans if these negative trends were to persist for a long period of time or intensify.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firstLine="433"/>
        <w:spacing w:after="0" w:line="264" w:lineRule="auto"/>
        <w:rPr>
          <w:sz w:val="20"/>
          <w:szCs w:val="20"/>
          <w:color w:val="auto"/>
        </w:rPr>
      </w:pPr>
      <w:r>
        <w:rPr>
          <w:rFonts w:ascii="Arial" w:cs="Arial" w:eastAsia="Arial" w:hAnsi="Arial"/>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56" w:lineRule="exact"/>
        <w:rPr>
          <w:sz w:val="20"/>
          <w:szCs w:val="20"/>
          <w:color w:val="auto"/>
        </w:rPr>
      </w:pPr>
    </w:p>
    <w:p>
      <w:pPr>
        <w:ind w:right="100" w:firstLine="433"/>
        <w:spacing w:after="0" w:line="273" w:lineRule="auto"/>
        <w:rPr>
          <w:sz w:val="20"/>
          <w:szCs w:val="20"/>
          <w:color w:val="auto"/>
        </w:rPr>
      </w:pPr>
      <w:r>
        <w:rPr>
          <w:rFonts w:ascii="Arial" w:cs="Arial" w:eastAsia="Arial" w:hAnsi="Arial"/>
          <w:sz w:val="17"/>
          <w:szCs w:val="17"/>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92"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125"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5" w:lineRule="exact"/>
        <w:rPr>
          <w:sz w:val="20"/>
          <w:szCs w:val="20"/>
          <w:color w:val="auto"/>
        </w:rPr>
      </w:pPr>
    </w:p>
    <w:p>
      <w:pPr>
        <w:ind w:right="60" w:firstLine="433"/>
        <w:spacing w:after="0" w:line="289" w:lineRule="auto"/>
        <w:rPr>
          <w:sz w:val="20"/>
          <w:szCs w:val="20"/>
          <w:color w:val="auto"/>
        </w:rPr>
      </w:pPr>
      <w:r>
        <w:rPr>
          <w:rFonts w:ascii="Arial" w:cs="Arial" w:eastAsia="Arial" w:hAnsi="Arial"/>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54" w:lineRule="exact"/>
        <w:rPr>
          <w:sz w:val="20"/>
          <w:szCs w:val="20"/>
          <w:color w:val="auto"/>
        </w:rPr>
      </w:pPr>
    </w:p>
    <w:p>
      <w:pPr>
        <w:ind w:right="140" w:firstLine="433"/>
        <w:spacing w:after="0" w:line="273" w:lineRule="auto"/>
        <w:rPr>
          <w:sz w:val="20"/>
          <w:szCs w:val="20"/>
          <w:color w:val="auto"/>
        </w:rPr>
      </w:pPr>
      <w:r>
        <w:rPr>
          <w:rFonts w:ascii="Arial" w:cs="Arial" w:eastAsia="Arial" w:hAnsi="Arial"/>
          <w:sz w:val="17"/>
          <w:szCs w:val="17"/>
          <w:color w:val="auto"/>
        </w:rPr>
        <w:t>As of March 31, 2022, we had approximately $6.0 billion in total face value of debt, of which approximately $1.2 billion was subject to variable interest rates (excluding debt with interest rate swaps). If LIBOR were to increase or decrease by 100 basis points, the increase or decrease in interest expense on the variable-rate debt would increase or decrease future earnings and cash flows by approximately $11.8 million annually.</w:t>
      </w:r>
    </w:p>
    <w:p>
      <w:pPr>
        <w:spacing w:after="0" w:line="67" w:lineRule="exact"/>
        <w:rPr>
          <w:sz w:val="20"/>
          <w:szCs w:val="20"/>
          <w:color w:val="auto"/>
        </w:rPr>
      </w:pPr>
    </w:p>
    <w:p>
      <w:pPr>
        <w:ind w:right="300" w:firstLine="433"/>
        <w:spacing w:after="0" w:line="273" w:lineRule="auto"/>
        <w:rPr>
          <w:sz w:val="20"/>
          <w:szCs w:val="20"/>
          <w:color w:val="auto"/>
        </w:rPr>
      </w:pPr>
      <w:r>
        <w:rPr>
          <w:rFonts w:ascii="Arial" w:cs="Arial" w:eastAsia="Arial" w:hAnsi="Arial"/>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5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CONTROLS AND PROCEDURES</w:t>
      </w:r>
    </w:p>
    <w:p>
      <w:pPr>
        <w:spacing w:after="0" w:line="250" w:lineRule="exact"/>
        <w:rPr>
          <w:sz w:val="20"/>
          <w:szCs w:val="20"/>
          <w:color w:val="auto"/>
        </w:rPr>
      </w:pPr>
    </w:p>
    <w:p>
      <w:pPr>
        <w:ind w:left="620" w:hanging="615"/>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Controls and Procedures</w:t>
      </w:r>
    </w:p>
    <w:p>
      <w:pPr>
        <w:spacing w:after="0" w:line="256" w:lineRule="exact"/>
        <w:rPr>
          <w:sz w:val="20"/>
          <w:szCs w:val="20"/>
          <w:color w:val="auto"/>
        </w:rPr>
      </w:pPr>
    </w:p>
    <w:p>
      <w:pPr>
        <w:ind w:right="80" w:firstLine="433"/>
        <w:spacing w:after="0" w:line="262" w:lineRule="auto"/>
        <w:rPr>
          <w:sz w:val="20"/>
          <w:szCs w:val="20"/>
          <w:color w:val="auto"/>
        </w:rPr>
      </w:pPr>
      <w:r>
        <w:rPr>
          <w:rFonts w:ascii="Arial" w:cs="Arial" w:eastAsia="Arial" w:hAnsi="Arial"/>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7" w:lineRule="exact"/>
        <w:rPr>
          <w:sz w:val="20"/>
          <w:szCs w:val="20"/>
          <w:color w:val="auto"/>
        </w:rPr>
      </w:pPr>
    </w:p>
    <w:p>
      <w:pPr>
        <w:ind w:right="80" w:firstLine="433"/>
        <w:spacing w:after="0" w:line="289" w:lineRule="auto"/>
        <w:rPr>
          <w:sz w:val="20"/>
          <w:szCs w:val="20"/>
          <w:color w:val="auto"/>
        </w:rPr>
      </w:pPr>
      <w:r>
        <w:rPr>
          <w:rFonts w:ascii="Arial" w:cs="Arial" w:eastAsia="Arial" w:hAnsi="Arial"/>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85"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96" w:lineRule="exact"/>
        <w:rPr>
          <w:sz w:val="20"/>
          <w:szCs w:val="20"/>
          <w:color w:val="auto"/>
        </w:rPr>
      </w:pPr>
    </w:p>
    <w:p>
      <w:pPr>
        <w:ind w:left="620" w:hanging="615"/>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Changes in internal control over financial reporting</w:t>
      </w:r>
    </w:p>
    <w:p>
      <w:pPr>
        <w:spacing w:after="0" w:line="256" w:lineRule="exact"/>
        <w:rPr>
          <w:sz w:val="20"/>
          <w:szCs w:val="20"/>
          <w:color w:val="auto"/>
        </w:rPr>
      </w:pPr>
    </w:p>
    <w:p>
      <w:pPr>
        <w:ind w:right="60" w:firstLine="433"/>
        <w:spacing w:after="0" w:line="289" w:lineRule="auto"/>
        <w:rPr>
          <w:sz w:val="20"/>
          <w:szCs w:val="20"/>
          <w:color w:val="auto"/>
        </w:rPr>
      </w:pPr>
      <w:r>
        <w:rPr>
          <w:rFonts w:ascii="Arial" w:cs="Arial" w:eastAsia="Arial" w:hAnsi="Arial"/>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86" w:right="419" w:bottom="1440" w:gutter="0" w:footer="0" w:header="0"/>
        </w:sectPr>
      </w:pPr>
    </w:p>
    <w:bookmarkStart w:id="39" w:name="page40"/>
    <w:bookmarkEnd w:id="39"/>
    <w:p>
      <w:pPr>
        <w:spacing w:after="0"/>
        <w:tabs>
          <w:tab w:leader="none" w:pos="880" w:val="left"/>
        </w:tabs>
        <w:rPr>
          <w:sz w:val="20"/>
          <w:szCs w:val="20"/>
          <w:color w:val="auto"/>
        </w:rPr>
      </w:pPr>
      <w:r>
        <w:rPr>
          <w:rFonts w:ascii="Arial" w:cs="Arial" w:eastAsia="Arial" w:hAnsi="Arial"/>
          <w:sz w:val="17"/>
          <w:szCs w:val="17"/>
          <w:b w:val="1"/>
          <w:bCs w:val="1"/>
          <w:color w:val="auto"/>
        </w:rPr>
        <w:t>PART II.</w:t>
        <w:tab/>
        <w:t>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w:t>
        <w:tab/>
        <w:t>LEGAL PROCEEDINGS</w:t>
      </w:r>
    </w:p>
    <w:p>
      <w:pPr>
        <w:spacing w:after="0" w:line="256" w:lineRule="exact"/>
        <w:rPr>
          <w:sz w:val="20"/>
          <w:szCs w:val="20"/>
          <w:color w:val="auto"/>
        </w:rPr>
      </w:pPr>
    </w:p>
    <w:p>
      <w:pPr>
        <w:ind w:right="120" w:firstLine="433"/>
        <w:spacing w:after="0" w:line="281" w:lineRule="auto"/>
        <w:rPr>
          <w:sz w:val="20"/>
          <w:szCs w:val="20"/>
          <w:color w:val="auto"/>
        </w:rPr>
      </w:pPr>
      <w:r>
        <w:rPr>
          <w:rFonts w:ascii="Arial" w:cs="Arial" w:eastAsia="Arial" w:hAnsi="Arial"/>
          <w:sz w:val="16"/>
          <w:szCs w:val="16"/>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91"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tab/>
        <w:t>RISK FACTORS</w:t>
      </w:r>
    </w:p>
    <w:p>
      <w:pPr>
        <w:spacing w:after="0" w:line="256" w:lineRule="exact"/>
        <w:rPr>
          <w:sz w:val="20"/>
          <w:szCs w:val="20"/>
          <w:color w:val="auto"/>
        </w:rPr>
      </w:pPr>
    </w:p>
    <w:p>
      <w:pPr>
        <w:ind w:right="180" w:firstLine="433"/>
        <w:spacing w:after="0" w:line="264"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and results of operations. There have been no material changes to the risk factors described in the “Risk Factors” section in our Annual Report on Form 10-K for the year ended December 31, 2021. The risks described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56" w:lineRule="exact"/>
        <w:rPr>
          <w:sz w:val="20"/>
          <w:szCs w:val="20"/>
          <w:color w:val="auto"/>
        </w:rPr>
      </w:pPr>
    </w:p>
    <w:p>
      <w:pPr>
        <w:ind w:firstLine="433"/>
        <w:spacing w:after="0" w:line="326" w:lineRule="auto"/>
        <w:rPr>
          <w:sz w:val="20"/>
          <w:szCs w:val="20"/>
          <w:color w:val="auto"/>
        </w:rPr>
      </w:pPr>
      <w:r>
        <w:rPr>
          <w:rFonts w:ascii="Arial" w:cs="Arial" w:eastAsia="Arial" w:hAnsi="Arial"/>
          <w:sz w:val="15"/>
          <w:szCs w:val="15"/>
          <w:color w:val="auto"/>
        </w:rPr>
        <w:t>On January 7, 2022, we issued a total of 186,766 shares of common stock in connection with the acquisition of two stores. The shares of common stock were valued at a total of $40,965. The shares of common stock were issued in a private placement in reliance on Section 4(a)(2) of the Securities Act of 1933, as amended, and the rules and regulations promulgated thereunder. We registered for resale the shares issued in connection with such acquisition on April 7, 2022..</w:t>
      </w:r>
    </w:p>
    <w:p>
      <w:pPr>
        <w:spacing w:after="0" w:line="15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5.</w:t>
        <w:tab/>
        <w:t>OTHER INFORMATION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40" w:name="page41"/>
    <w:bookmarkEnd w:id="40"/>
    <w:p>
      <w:pPr>
        <w:spacing w:after="0"/>
        <w:tabs>
          <w:tab w:leader="none" w:pos="800" w:val="left"/>
        </w:tabs>
        <w:rPr>
          <w:sz w:val="20"/>
          <w:szCs w:val="20"/>
          <w:color w:val="auto"/>
        </w:rPr>
      </w:pPr>
      <w:r>
        <w:rPr>
          <w:rFonts w:ascii="Arial" w:cs="Arial" w:eastAsia="Arial" w:hAnsi="Arial"/>
          <w:sz w:val="17"/>
          <w:szCs w:val="17"/>
          <w:b w:val="1"/>
          <w:bCs w:val="1"/>
          <w:color w:val="auto"/>
        </w:rPr>
        <w:t>ITEM 6.</w:t>
        <w:tab/>
        <w:t>EXHIBITS</w:t>
      </w:r>
    </w:p>
    <w:p>
      <w:pPr>
        <w:spacing w:after="0" w:line="200" w:lineRule="exact"/>
        <w:rPr>
          <w:sz w:val="20"/>
          <w:szCs w:val="20"/>
          <w:color w:val="auto"/>
        </w:rPr>
      </w:pPr>
    </w:p>
    <w:p>
      <w:pPr>
        <w:spacing w:after="0" w:line="371" w:lineRule="exact"/>
        <w:rPr>
          <w:sz w:val="20"/>
          <w:szCs w:val="20"/>
          <w:color w:val="auto"/>
        </w:rPr>
      </w:pPr>
    </w:p>
    <w:p>
      <w:pPr>
        <w:ind w:left="560" w:right="60" w:hanging="550"/>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7"/>
          <w:szCs w:val="17"/>
          <w:color w:val="auto"/>
        </w:rPr>
        <w:t>4.1</w:t>
      </w:r>
      <w:r>
        <w:rPr>
          <w:sz w:val="20"/>
          <w:szCs w:val="20"/>
          <w:color w:val="auto"/>
        </w:rPr>
        <w:tab/>
      </w:r>
      <w:hyperlink r:id="rId57">
        <w:r>
          <w:rPr>
            <w:rFonts w:ascii="Arial" w:cs="Arial" w:eastAsia="Arial" w:hAnsi="Arial"/>
            <w:sz w:val="17"/>
            <w:szCs w:val="17"/>
            <w:u w:val="single" w:color="auto"/>
            <w:color w:val="0000FF"/>
          </w:rPr>
          <w:t>Indenture, dated as of May 11, 2021, among Extra Space Storage LP, as issuer, Extra Space Storage Inc., ESS Holdings Business Trust I and ESS</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Holdings Business Trust II, as guarantors, and Wells Fargo Bank, National Association, as trustee (incorporated by reference to the Current Report on</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Form 8-K filed May 11, 2021).</w:t>
        </w:r>
      </w:hyperlink>
    </w:p>
    <w:p>
      <w:pPr>
        <w:spacing w:after="0" w:line="120" w:lineRule="exact"/>
        <w:rPr>
          <w:rFonts w:ascii="Arial" w:cs="Arial" w:eastAsia="Arial" w:hAnsi="Arial"/>
          <w:sz w:val="17"/>
          <w:szCs w:val="17"/>
          <w:u w:val="single" w:color="auto"/>
          <w:color w:val="0000FF"/>
        </w:rPr>
      </w:pPr>
    </w:p>
    <w:p>
      <w:pPr>
        <w:jc w:val="both"/>
        <w:ind w:left="560" w:right="260" w:hanging="550"/>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7"/>
          <w:szCs w:val="17"/>
          <w:color w:val="auto"/>
        </w:rPr>
        <w:t>4.2</w:t>
      </w:r>
      <w:r>
        <w:rPr>
          <w:sz w:val="20"/>
          <w:szCs w:val="20"/>
          <w:color w:val="auto"/>
        </w:rPr>
        <w:tab/>
      </w:r>
      <w:hyperlink r:id="rId58">
        <w:r>
          <w:rPr>
            <w:rFonts w:ascii="Arial" w:cs="Arial" w:eastAsia="Arial" w:hAnsi="Arial"/>
            <w:sz w:val="17"/>
            <w:szCs w:val="17"/>
            <w:u w:val="single" w:color="auto"/>
            <w:color w:val="0000FF"/>
          </w:rPr>
          <w:t>First Supplemental Indenture, dated as of May 11, 2021, among Extra Space Storage LP, as issuer, Extra Space Storage Inc., ESS Holdings Business</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Trust I and ESS Holdings Business Trust II, as guarantors, and Wells Fargo Bank, National Association, as trustee, including the form of the Notes</w:t>
        </w:r>
      </w:hyperlink>
      <w:r>
        <w:rPr>
          <w:rFonts w:ascii="Arial" w:cs="Arial" w:eastAsia="Arial" w:hAnsi="Arial"/>
          <w:sz w:val="17"/>
          <w:szCs w:val="17"/>
          <w:u w:val="single" w:color="auto"/>
          <w:color w:val="0000FF"/>
        </w:rPr>
        <w:t xml:space="preserve"> </w:t>
      </w:r>
      <w:hyperlink r:id="rId58">
        <w:r>
          <w:rPr>
            <w:rFonts w:ascii="Arial" w:cs="Arial" w:eastAsia="Arial" w:hAnsi="Arial"/>
            <w:sz w:val="17"/>
            <w:szCs w:val="17"/>
            <w:u w:val="single" w:color="auto"/>
            <w:color w:val="0000FF"/>
          </w:rPr>
          <w:t>and the Guarantee (incorporated by reference to the Current Report on Form 8-K filed May 11, 2021).</w:t>
        </w:r>
      </w:hyperlink>
    </w:p>
    <w:p>
      <w:pPr>
        <w:spacing w:after="0" w:line="120" w:lineRule="exact"/>
        <w:rPr>
          <w:rFonts w:ascii="Arial" w:cs="Arial" w:eastAsia="Arial" w:hAnsi="Arial"/>
          <w:sz w:val="17"/>
          <w:szCs w:val="17"/>
          <w:u w:val="single" w:color="auto"/>
          <w:color w:val="0000FF"/>
        </w:rPr>
      </w:pPr>
    </w:p>
    <w:p>
      <w:pPr>
        <w:ind w:left="560" w:right="60" w:hanging="550"/>
        <w:spacing w:after="0" w:line="257" w:lineRule="auto"/>
        <w:tabs>
          <w:tab w:leader="none" w:pos="540" w:val="left"/>
        </w:tabs>
        <w:rPr>
          <w:rFonts w:ascii="Arial" w:cs="Arial" w:eastAsia="Arial" w:hAnsi="Arial"/>
          <w:sz w:val="17"/>
          <w:szCs w:val="17"/>
          <w:u w:val="single" w:color="auto"/>
          <w:color w:val="0000FF"/>
        </w:rPr>
      </w:pPr>
      <w:r>
        <w:rPr>
          <w:rFonts w:ascii="Arial" w:cs="Arial" w:eastAsia="Arial" w:hAnsi="Arial"/>
          <w:sz w:val="17"/>
          <w:szCs w:val="17"/>
          <w:color w:val="auto"/>
        </w:rPr>
        <w:t>4.3</w:t>
      </w:r>
      <w:r>
        <w:rPr>
          <w:sz w:val="20"/>
          <w:szCs w:val="20"/>
          <w:color w:val="auto"/>
        </w:rPr>
        <w:tab/>
      </w:r>
      <w:hyperlink r:id="rId59">
        <w:r>
          <w:rPr>
            <w:rFonts w:ascii="Arial" w:cs="Arial" w:eastAsia="Arial" w:hAnsi="Arial"/>
            <w:sz w:val="17"/>
            <w:szCs w:val="17"/>
            <w:u w:val="single" w:color="auto"/>
            <w:color w:val="0000FF"/>
          </w:rPr>
          <w:t>Second Supplemental Indenture, dated as of September 22, 2021, among Extra Space Storage LP, as issuer, Extra Space Storage Inc., ESS Holdings</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Business Trust I and ESS Holdings Business Trust II, as guarantors, and Wells Fargo Bank, National Association, as trustee, including the form of the</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Notes and the Guarantee (incorporated by references to the Current report on Form 8-K filed September 22, 2021).</w:t>
        </w:r>
      </w:hyperlink>
    </w:p>
    <w:p>
      <w:pPr>
        <w:spacing w:after="0" w:line="198" w:lineRule="exact"/>
        <w:rPr>
          <w:rFonts w:ascii="Arial" w:cs="Arial" w:eastAsia="Arial" w:hAnsi="Arial"/>
          <w:sz w:val="17"/>
          <w:szCs w:val="17"/>
          <w:u w:val="single" w:color="auto"/>
          <w:color w:val="0000FF"/>
        </w:rPr>
      </w:pPr>
    </w:p>
    <w:p>
      <w:pPr>
        <w:ind w:left="560" w:right="40" w:hanging="550"/>
        <w:spacing w:after="0" w:line="252" w:lineRule="auto"/>
        <w:tabs>
          <w:tab w:leader="none" w:pos="540" w:val="left"/>
        </w:tabs>
        <w:rPr>
          <w:rFonts w:ascii="Arial" w:cs="Arial" w:eastAsia="Arial" w:hAnsi="Arial"/>
          <w:sz w:val="17"/>
          <w:szCs w:val="17"/>
          <w:u w:val="single" w:color="auto"/>
          <w:color w:val="0000FF"/>
        </w:rPr>
      </w:pPr>
      <w:r>
        <w:rPr>
          <w:rFonts w:ascii="Arial" w:cs="Arial" w:eastAsia="Arial" w:hAnsi="Arial"/>
          <w:sz w:val="17"/>
          <w:szCs w:val="17"/>
          <w:color w:val="auto"/>
        </w:rPr>
        <w:t>4.4</w:t>
      </w:r>
      <w:r>
        <w:rPr>
          <w:sz w:val="20"/>
          <w:szCs w:val="20"/>
          <w:color w:val="auto"/>
        </w:rPr>
        <w:tab/>
      </w:r>
      <w:hyperlink r:id="rId60">
        <w:r>
          <w:rPr>
            <w:rFonts w:ascii="Arial" w:cs="Arial" w:eastAsia="Arial" w:hAnsi="Arial"/>
            <w:sz w:val="17"/>
            <w:szCs w:val="17"/>
            <w:u w:val="single" w:color="auto"/>
            <w:color w:val="0000FF"/>
          </w:rPr>
          <w:t>Third Supplemental Indenture, dated as of March 31, 2022, among Extra Space Storage LP, as issuer, Extra Space Storage Inc., ESS Holdings Business</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Trust I and ESS Holdings Business Trust II, as guarantors, and Computershare Trust Company, N.A. (as successor to Wells Fargo Bank, National</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Association), as trustee, including the form of the Notes and the Guarantee (incorporated by references to the Current report on Form 8-K filed March</w:t>
        </w:r>
      </w:hyperlink>
      <w:r>
        <w:rPr>
          <w:rFonts w:ascii="Arial" w:cs="Arial" w:eastAsia="Arial" w:hAnsi="Arial"/>
          <w:sz w:val="17"/>
          <w:szCs w:val="17"/>
          <w:u w:val="single" w:color="auto"/>
          <w:color w:val="0000FF"/>
        </w:rPr>
        <w:t xml:space="preserve"> </w:t>
      </w:r>
      <w:hyperlink r:id="rId60">
        <w:r>
          <w:rPr>
            <w:rFonts w:ascii="Arial" w:cs="Arial" w:eastAsia="Arial" w:hAnsi="Arial"/>
            <w:sz w:val="17"/>
            <w:szCs w:val="17"/>
            <w:u w:val="single" w:color="auto"/>
            <w:color w:val="0000FF"/>
          </w:rPr>
          <w:t>31, 2022).</w:t>
        </w:r>
      </w:hyperlink>
    </w:p>
    <w:p>
      <w:pPr>
        <w:spacing w:after="0" w:line="202" w:lineRule="exact"/>
        <w:rPr>
          <w:rFonts w:ascii="Arial" w:cs="Arial" w:eastAsia="Arial" w:hAnsi="Arial"/>
          <w:sz w:val="17"/>
          <w:szCs w:val="17"/>
          <w:u w:val="single" w:color="auto"/>
          <w:color w:val="0000FF"/>
        </w:rPr>
      </w:pPr>
    </w:p>
    <w:p>
      <w:pPr>
        <w:ind w:left="160"/>
        <w:spacing w:after="0"/>
        <w:tabs>
          <w:tab w:leader="none" w:pos="620" w:val="left"/>
        </w:tabs>
        <w:rPr>
          <w:rFonts w:ascii="Arial" w:cs="Arial" w:eastAsia="Arial" w:hAnsi="Arial"/>
          <w:sz w:val="15"/>
          <w:szCs w:val="15"/>
          <w:u w:val="single" w:color="auto"/>
          <w:color w:val="0000FF"/>
        </w:rPr>
      </w:pPr>
      <w:r>
        <w:rPr>
          <w:rFonts w:ascii="Arial" w:cs="Arial" w:eastAsia="Arial" w:hAnsi="Arial"/>
          <w:sz w:val="17"/>
          <w:szCs w:val="17"/>
          <w:color w:val="auto"/>
        </w:rPr>
        <w:t>22.1</w:t>
      </w:r>
      <w:r>
        <w:rPr>
          <w:sz w:val="20"/>
          <w:szCs w:val="20"/>
          <w:color w:val="auto"/>
        </w:rPr>
        <w:tab/>
      </w:r>
      <w:hyperlink w:anchor="page43">
        <w:r>
          <w:rPr>
            <w:rFonts w:ascii="Arial" w:cs="Arial" w:eastAsia="Arial" w:hAnsi="Arial"/>
            <w:sz w:val="15"/>
            <w:szCs w:val="15"/>
            <w:u w:val="single" w:color="auto"/>
            <w:color w:val="0000FF"/>
          </w:rPr>
          <w:t>Issuer and Guarantors of Guaranteed Securities</w:t>
        </w:r>
      </w:hyperlink>
    </w:p>
    <w:p>
      <w:pPr>
        <w:spacing w:after="0" w:line="172" w:lineRule="exact"/>
        <w:rPr>
          <w:rFonts w:ascii="Arial" w:cs="Arial" w:eastAsia="Arial" w:hAnsi="Arial"/>
          <w:sz w:val="17"/>
          <w:szCs w:val="17"/>
          <w:u w:val="single" w:color="auto"/>
          <w:color w:val="0000FF"/>
        </w:rPr>
      </w:pPr>
    </w:p>
    <w:p>
      <w:pPr>
        <w:ind w:left="160"/>
        <w:spacing w:after="0"/>
        <w:tabs>
          <w:tab w:leader="none" w:pos="660" w:val="left"/>
        </w:tabs>
        <w:rPr>
          <w:rFonts w:ascii="Arial" w:cs="Arial" w:eastAsia="Arial" w:hAnsi="Arial"/>
          <w:sz w:val="16"/>
          <w:szCs w:val="16"/>
          <w:u w:val="single" w:color="auto"/>
          <w:color w:val="0000FF"/>
        </w:rPr>
      </w:pPr>
      <w:r>
        <w:rPr>
          <w:rFonts w:ascii="Arial" w:cs="Arial" w:eastAsia="Arial" w:hAnsi="Arial"/>
          <w:sz w:val="17"/>
          <w:szCs w:val="17"/>
          <w:color w:val="auto"/>
        </w:rPr>
        <w:t>31.1</w:t>
      </w:r>
      <w:r>
        <w:rPr>
          <w:sz w:val="20"/>
          <w:szCs w:val="20"/>
          <w:color w:val="auto"/>
        </w:rPr>
        <w:tab/>
      </w:r>
      <w:hyperlink w:anchor="page44">
        <w:r>
          <w:rPr>
            <w:rFonts w:ascii="Arial" w:cs="Arial" w:eastAsia="Arial" w:hAnsi="Arial"/>
            <w:sz w:val="16"/>
            <w:szCs w:val="16"/>
            <w:u w:val="single" w:color="auto"/>
            <w:color w:val="0000FF"/>
          </w:rPr>
          <w:t>Certification of Chief Executive Officer pursuant to Section 302 of the Sarbanes-Oxley Act of 2002.</w:t>
        </w:r>
      </w:hyperlink>
    </w:p>
    <w:p>
      <w:pPr>
        <w:spacing w:after="0" w:line="172" w:lineRule="exact"/>
        <w:rPr>
          <w:rFonts w:ascii="Arial" w:cs="Arial" w:eastAsia="Arial" w:hAnsi="Arial"/>
          <w:sz w:val="17"/>
          <w:szCs w:val="17"/>
          <w:u w:val="single" w:color="auto"/>
          <w:color w:val="0000FF"/>
        </w:rPr>
      </w:pPr>
    </w:p>
    <w:p>
      <w:pPr>
        <w:ind w:left="160"/>
        <w:spacing w:after="0"/>
        <w:tabs>
          <w:tab w:leader="none" w:pos="660" w:val="left"/>
        </w:tabs>
        <w:rPr>
          <w:rFonts w:ascii="Arial" w:cs="Arial" w:eastAsia="Arial" w:hAnsi="Arial"/>
          <w:sz w:val="16"/>
          <w:szCs w:val="16"/>
          <w:u w:val="single" w:color="auto"/>
          <w:color w:val="0000FF"/>
        </w:rPr>
      </w:pPr>
      <w:r>
        <w:rPr>
          <w:rFonts w:ascii="Arial" w:cs="Arial" w:eastAsia="Arial" w:hAnsi="Arial"/>
          <w:sz w:val="17"/>
          <w:szCs w:val="17"/>
          <w:color w:val="auto"/>
        </w:rPr>
        <w:t>31.2</w:t>
      </w:r>
      <w:r>
        <w:rPr>
          <w:sz w:val="20"/>
          <w:szCs w:val="20"/>
          <w:color w:val="auto"/>
        </w:rPr>
        <w:tab/>
      </w:r>
      <w:hyperlink w:anchor="page45">
        <w:r>
          <w:rPr>
            <w:rFonts w:ascii="Arial" w:cs="Arial" w:eastAsia="Arial" w:hAnsi="Arial"/>
            <w:sz w:val="16"/>
            <w:szCs w:val="16"/>
            <w:u w:val="single" w:color="auto"/>
            <w:color w:val="0000FF"/>
          </w:rPr>
          <w:t>Certification of Chief Financial Officer pursuant to Section 302 of the Sarbanes-Oxley Act of 2002.</w:t>
        </w:r>
      </w:hyperlink>
    </w:p>
    <w:p>
      <w:pPr>
        <w:spacing w:after="0" w:line="172" w:lineRule="exact"/>
        <w:rPr>
          <w:rFonts w:ascii="Arial" w:cs="Arial" w:eastAsia="Arial" w:hAnsi="Arial"/>
          <w:sz w:val="17"/>
          <w:szCs w:val="17"/>
          <w:u w:val="single" w:color="auto"/>
          <w:color w:val="0000FF"/>
        </w:rPr>
      </w:pPr>
    </w:p>
    <w:p>
      <w:pPr>
        <w:ind w:left="680" w:right="240" w:hanging="550"/>
        <w:spacing w:after="0" w:line="289" w:lineRule="auto"/>
        <w:tabs>
          <w:tab w:leader="none" w:pos="660" w:val="left"/>
        </w:tabs>
        <w:rPr>
          <w:rFonts w:ascii="Arial" w:cs="Arial" w:eastAsia="Arial" w:hAnsi="Arial"/>
          <w:sz w:val="17"/>
          <w:szCs w:val="17"/>
          <w:u w:val="single" w:color="auto"/>
          <w:color w:val="0000FF"/>
        </w:rPr>
      </w:pPr>
      <w:r>
        <w:rPr>
          <w:rFonts w:ascii="Arial" w:cs="Arial" w:eastAsia="Arial" w:hAnsi="Arial"/>
          <w:sz w:val="17"/>
          <w:szCs w:val="17"/>
          <w:color w:val="auto"/>
        </w:rPr>
        <w:t>32.1</w:t>
      </w:r>
      <w:r>
        <w:rPr>
          <w:sz w:val="20"/>
          <w:szCs w:val="20"/>
          <w:color w:val="auto"/>
        </w:rPr>
        <w:tab/>
      </w:r>
      <w:hyperlink w:anchor="page46">
        <w:r>
          <w:rPr>
            <w:rFonts w:ascii="Arial" w:cs="Arial" w:eastAsia="Arial" w:hAnsi="Arial"/>
            <w:sz w:val="17"/>
            <w:szCs w:val="17"/>
            <w:u w:val="single" w:color="auto"/>
            <w:color w:val="0000FF"/>
          </w:rPr>
          <w:t>Certifications of the Chief Executive Officer and Chief Financial Officer pursuant to 18 U.S.C. Section 1350, as adopted pursuant to Section 906 of</w:t>
        </w:r>
      </w:hyperlink>
      <w:r>
        <w:rPr>
          <w:rFonts w:ascii="Arial" w:cs="Arial" w:eastAsia="Arial" w:hAnsi="Arial"/>
          <w:sz w:val="17"/>
          <w:szCs w:val="17"/>
          <w:u w:val="single" w:color="auto"/>
          <w:color w:val="0000FF"/>
        </w:rPr>
        <w:t xml:space="preserve"> </w:t>
      </w:r>
      <w:hyperlink w:anchor="page46">
        <w:r>
          <w:rPr>
            <w:rFonts w:ascii="Arial" w:cs="Arial" w:eastAsia="Arial" w:hAnsi="Arial"/>
            <w:sz w:val="17"/>
            <w:szCs w:val="17"/>
            <w:u w:val="single" w:color="auto"/>
            <w:color w:val="0000FF"/>
          </w:rPr>
          <w:t>the Sarbanes-Oxley Act of 2002.</w:t>
        </w:r>
      </w:hyperlink>
    </w:p>
    <w:p>
      <w:pPr>
        <w:spacing w:after="0" w:line="106" w:lineRule="exact"/>
        <w:rPr>
          <w:sz w:val="20"/>
          <w:szCs w:val="20"/>
          <w:color w:val="auto"/>
        </w:rPr>
      </w:pPr>
    </w:p>
    <w:p>
      <w:pPr>
        <w:ind w:left="720" w:hanging="558"/>
        <w:spacing w:after="0" w:line="290" w:lineRule="auto"/>
        <w:tabs>
          <w:tab w:leader="none" w:pos="6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materials from Extra Space Storage Inc.’s Quarterly Report on Form 10-Q for the quarter ended March 31, 2022,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p>
      <w:pPr>
        <w:spacing w:after="0" w:line="107" w:lineRule="exact"/>
        <w:rPr>
          <w:sz w:val="20"/>
          <w:szCs w:val="20"/>
          <w:color w:val="auto"/>
        </w:rPr>
      </w:pPr>
    </w:p>
    <w:p>
      <w:pPr>
        <w:ind w:left="640" w:hanging="438"/>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120" w:firstLine="433"/>
        <w:spacing w:after="0" w:line="281"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EXTRA SPACE STORAGE INC.</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Registrant</w:t>
            </w:r>
          </w:p>
        </w:tc>
      </w:tr>
      <w:tr>
        <w:trPr>
          <w:trHeight w:val="485"/>
        </w:trPr>
        <w:tc>
          <w:tcPr>
            <w:tcW w:w="6300" w:type="dxa"/>
            <w:vAlign w:val="bottom"/>
          </w:tcPr>
          <w:p>
            <w:pPr>
              <w:spacing w:after="0"/>
              <w:rPr>
                <w:sz w:val="20"/>
                <w:szCs w:val="20"/>
                <w:color w:val="auto"/>
              </w:rPr>
            </w:pPr>
            <w:r>
              <w:rPr>
                <w:rFonts w:ascii="Arial" w:cs="Arial" w:eastAsia="Arial" w:hAnsi="Arial"/>
                <w:sz w:val="17"/>
                <w:szCs w:val="17"/>
                <w:color w:val="auto"/>
              </w:rPr>
              <w:t>Date: May 6,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Joseph D. Margolis</w:t>
            </w:r>
          </w:p>
        </w:tc>
      </w:tr>
      <w:tr>
        <w:trPr>
          <w:trHeight w:val="216"/>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Joseph D. Margolis</w:t>
            </w:r>
          </w:p>
        </w:tc>
      </w:tr>
      <w:tr>
        <w:trPr>
          <w:trHeight w:val="172"/>
        </w:trPr>
        <w:tc>
          <w:tcPr>
            <w:tcW w:w="6300" w:type="dxa"/>
            <w:vAlign w:val="bottom"/>
          </w:tcPr>
          <w:p>
            <w:pPr>
              <w:spacing w:after="0"/>
              <w:rPr>
                <w:sz w:val="14"/>
                <w:szCs w:val="14"/>
                <w:color w:val="auto"/>
              </w:rPr>
            </w:pPr>
          </w:p>
        </w:tc>
        <w:tc>
          <w:tcPr>
            <w:tcW w:w="4800" w:type="dxa"/>
            <w:vAlign w:val="bottom"/>
          </w:tcPr>
          <w:p>
            <w:pPr>
              <w:ind w:left="20"/>
              <w:spacing w:after="0" w:line="172" w:lineRule="exact"/>
              <w:rPr>
                <w:sz w:val="20"/>
                <w:szCs w:val="20"/>
                <w:color w:val="auto"/>
              </w:rPr>
            </w:pPr>
            <w:r>
              <w:rPr>
                <w:rFonts w:ascii="Arial" w:cs="Arial" w:eastAsia="Arial" w:hAnsi="Arial"/>
                <w:sz w:val="17"/>
                <w:szCs w:val="17"/>
                <w:i w:val="1"/>
                <w:iCs w:val="1"/>
                <w:color w:val="auto"/>
              </w:rPr>
              <w:t>Chief Executive Officer</w:t>
            </w:r>
          </w:p>
        </w:tc>
      </w:tr>
      <w:tr>
        <w:trPr>
          <w:trHeight w:val="222"/>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485"/>
        </w:trPr>
        <w:tc>
          <w:tcPr>
            <w:tcW w:w="6300" w:type="dxa"/>
            <w:vAlign w:val="bottom"/>
          </w:tcPr>
          <w:p>
            <w:pPr>
              <w:spacing w:after="0"/>
              <w:rPr>
                <w:sz w:val="20"/>
                <w:szCs w:val="20"/>
                <w:color w:val="auto"/>
              </w:rPr>
            </w:pPr>
            <w:r>
              <w:rPr>
                <w:rFonts w:ascii="Arial" w:cs="Arial" w:eastAsia="Arial" w:hAnsi="Arial"/>
                <w:sz w:val="17"/>
                <w:szCs w:val="17"/>
                <w:color w:val="auto"/>
              </w:rPr>
              <w:t>Date: May 6, 2022</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16"/>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Executive Vice President and Chief Financial Officer</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180"/>
          </w:cols>
          <w:pgMar w:left="320" w:top="1380" w:right="39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22.1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and Guarantors of Guaranteed Securities</w:t>
      </w:r>
    </w:p>
    <w:p>
      <w:pPr>
        <w:spacing w:after="0" w:line="200" w:lineRule="exact"/>
        <w:rPr>
          <w:sz w:val="20"/>
          <w:szCs w:val="20"/>
          <w:color w:val="auto"/>
        </w:rPr>
      </w:pPr>
    </w:p>
    <w:p>
      <w:pPr>
        <w:spacing w:after="0" w:line="266"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The following entities are included in the Obligated Group, as defined in the Quarterly Report on Form 10-Q of Extra Space Storage Inc. to which this document is being filed as an exhibit, for the 3.900% Senior Notes due 2029, the 2.550% Senior Notes due 2031 and the 2.350% Senior Notes due 2032 (collectively, the "Notes"). The guarantors have fully and unconditionally guaranteed the Notes on a joint and several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Issuer or Guarantor</w:t>
            </w:r>
          </w:p>
        </w:tc>
        <w:tc>
          <w:tcPr>
            <w:tcW w:w="34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Reported as Issuer or Guarantor</w:t>
            </w:r>
          </w:p>
        </w:tc>
        <w:tc>
          <w:tcPr>
            <w:tcW w:w="2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1"/>
              </w:rPr>
              <w:t>State of Incorporation or Organization</w:t>
            </w:r>
          </w:p>
        </w:tc>
      </w:tr>
      <w:tr>
        <w:trPr>
          <w:trHeight w:val="221"/>
        </w:trPr>
        <w:tc>
          <w:tcPr>
            <w:tcW w:w="3360" w:type="dxa"/>
            <w:vAlign w:val="bottom"/>
          </w:tcPr>
          <w:p>
            <w:pPr>
              <w:ind w:left="20"/>
              <w:spacing w:after="0"/>
              <w:rPr>
                <w:sz w:val="20"/>
                <w:szCs w:val="20"/>
                <w:color w:val="auto"/>
              </w:rPr>
            </w:pPr>
            <w:r>
              <w:rPr>
                <w:rFonts w:ascii="Arial" w:cs="Arial" w:eastAsia="Arial" w:hAnsi="Arial"/>
                <w:sz w:val="17"/>
                <w:szCs w:val="17"/>
                <w:color w:val="auto"/>
              </w:rPr>
              <w:t>Extra Space Storage LP</w:t>
            </w:r>
          </w:p>
        </w:tc>
        <w:tc>
          <w:tcPr>
            <w:tcW w:w="3480" w:type="dxa"/>
            <w:vAlign w:val="bottom"/>
          </w:tcPr>
          <w:p>
            <w:pPr>
              <w:ind w:left="1120"/>
              <w:spacing w:after="0"/>
              <w:rPr>
                <w:sz w:val="20"/>
                <w:szCs w:val="20"/>
                <w:color w:val="auto"/>
              </w:rPr>
            </w:pPr>
            <w:r>
              <w:rPr>
                <w:rFonts w:ascii="Arial" w:cs="Arial" w:eastAsia="Arial" w:hAnsi="Arial"/>
                <w:sz w:val="17"/>
                <w:szCs w:val="17"/>
                <w:color w:val="auto"/>
              </w:rPr>
              <w:t>Issuer</w:t>
            </w:r>
          </w:p>
        </w:tc>
        <w:tc>
          <w:tcPr>
            <w:tcW w:w="2940" w:type="dxa"/>
            <w:vAlign w:val="bottom"/>
          </w:tcPr>
          <w:p>
            <w:pPr>
              <w:jc w:val="center"/>
              <w:ind w:right="36"/>
              <w:spacing w:after="0"/>
              <w:rPr>
                <w:sz w:val="20"/>
                <w:szCs w:val="20"/>
                <w:color w:val="auto"/>
              </w:rPr>
            </w:pPr>
            <w:r>
              <w:rPr>
                <w:rFonts w:ascii="Arial" w:cs="Arial" w:eastAsia="Arial" w:hAnsi="Arial"/>
                <w:sz w:val="17"/>
                <w:szCs w:val="17"/>
                <w:color w:val="auto"/>
                <w:w w:val="91"/>
              </w:rPr>
              <w:t>Delaware</w:t>
            </w:r>
          </w:p>
        </w:tc>
      </w:tr>
      <w:tr>
        <w:trPr>
          <w:trHeight w:val="223"/>
        </w:trPr>
        <w:tc>
          <w:tcPr>
            <w:tcW w:w="3360" w:type="dxa"/>
            <w:vAlign w:val="bottom"/>
          </w:tcPr>
          <w:p>
            <w:pPr>
              <w:ind w:left="20"/>
              <w:spacing w:after="0"/>
              <w:rPr>
                <w:sz w:val="20"/>
                <w:szCs w:val="20"/>
                <w:color w:val="auto"/>
              </w:rPr>
            </w:pPr>
            <w:r>
              <w:rPr>
                <w:rFonts w:ascii="Arial" w:cs="Arial" w:eastAsia="Arial" w:hAnsi="Arial"/>
                <w:sz w:val="17"/>
                <w:szCs w:val="17"/>
                <w:color w:val="auto"/>
              </w:rPr>
              <w:t>Extra Space Storage Inc.</w:t>
            </w:r>
          </w:p>
        </w:tc>
        <w:tc>
          <w:tcPr>
            <w:tcW w:w="3480" w:type="dxa"/>
            <w:vAlign w:val="bottom"/>
          </w:tcPr>
          <w:p>
            <w:pPr>
              <w:ind w:left="1120"/>
              <w:spacing w:after="0"/>
              <w:rPr>
                <w:sz w:val="20"/>
                <w:szCs w:val="20"/>
                <w:color w:val="auto"/>
              </w:rPr>
            </w:pPr>
            <w:r>
              <w:rPr>
                <w:rFonts w:ascii="Arial" w:cs="Arial" w:eastAsia="Arial" w:hAnsi="Arial"/>
                <w:sz w:val="17"/>
                <w:szCs w:val="17"/>
                <w:color w:val="auto"/>
              </w:rPr>
              <w:t>Parent Guarantor</w:t>
            </w:r>
          </w:p>
        </w:tc>
        <w:tc>
          <w:tcPr>
            <w:tcW w:w="2940" w:type="dxa"/>
            <w:vAlign w:val="bottom"/>
          </w:tcPr>
          <w:p>
            <w:pPr>
              <w:jc w:val="center"/>
              <w:ind w:right="16"/>
              <w:spacing w:after="0"/>
              <w:rPr>
                <w:sz w:val="20"/>
                <w:szCs w:val="20"/>
                <w:color w:val="auto"/>
              </w:rPr>
            </w:pPr>
            <w:r>
              <w:rPr>
                <w:rFonts w:ascii="Arial" w:cs="Arial" w:eastAsia="Arial" w:hAnsi="Arial"/>
                <w:sz w:val="17"/>
                <w:szCs w:val="17"/>
                <w:color w:val="auto"/>
                <w:w w:val="97"/>
              </w:rPr>
              <w:t>Maryland</w:t>
            </w:r>
          </w:p>
        </w:tc>
      </w:tr>
      <w:tr>
        <w:trPr>
          <w:trHeight w:val="223"/>
        </w:trPr>
        <w:tc>
          <w:tcPr>
            <w:tcW w:w="3360" w:type="dxa"/>
            <w:vAlign w:val="bottom"/>
          </w:tcPr>
          <w:p>
            <w:pPr>
              <w:ind w:left="20"/>
              <w:spacing w:after="0"/>
              <w:rPr>
                <w:sz w:val="20"/>
                <w:szCs w:val="20"/>
                <w:color w:val="auto"/>
              </w:rPr>
            </w:pPr>
            <w:r>
              <w:rPr>
                <w:rFonts w:ascii="Arial" w:cs="Arial" w:eastAsia="Arial" w:hAnsi="Arial"/>
                <w:sz w:val="17"/>
                <w:szCs w:val="17"/>
                <w:color w:val="auto"/>
              </w:rPr>
              <w:t>ESS Holdings Business Trust I</w:t>
            </w:r>
          </w:p>
        </w:tc>
        <w:tc>
          <w:tcPr>
            <w:tcW w:w="3480" w:type="dxa"/>
            <w:vAlign w:val="bottom"/>
          </w:tcPr>
          <w:p>
            <w:pPr>
              <w:ind w:left="1120"/>
              <w:spacing w:after="0"/>
              <w:rPr>
                <w:sz w:val="20"/>
                <w:szCs w:val="20"/>
                <w:color w:val="auto"/>
              </w:rPr>
            </w:pPr>
            <w:r>
              <w:rPr>
                <w:rFonts w:ascii="Arial" w:cs="Arial" w:eastAsia="Arial" w:hAnsi="Arial"/>
                <w:sz w:val="17"/>
                <w:szCs w:val="17"/>
                <w:color w:val="auto"/>
              </w:rPr>
              <w:t>Subsidiary Guarantor</w:t>
            </w:r>
          </w:p>
        </w:tc>
        <w:tc>
          <w:tcPr>
            <w:tcW w:w="2940" w:type="dxa"/>
            <w:vAlign w:val="bottom"/>
          </w:tcPr>
          <w:p>
            <w:pPr>
              <w:jc w:val="center"/>
              <w:ind w:right="36"/>
              <w:spacing w:after="0"/>
              <w:rPr>
                <w:sz w:val="20"/>
                <w:szCs w:val="20"/>
                <w:color w:val="auto"/>
              </w:rPr>
            </w:pPr>
            <w:r>
              <w:rPr>
                <w:rFonts w:ascii="Arial" w:cs="Arial" w:eastAsia="Arial" w:hAnsi="Arial"/>
                <w:sz w:val="17"/>
                <w:szCs w:val="17"/>
                <w:color w:val="auto"/>
                <w:w w:val="89"/>
              </w:rPr>
              <w:t>Massachusetts</w:t>
            </w:r>
          </w:p>
        </w:tc>
      </w:tr>
      <w:tr>
        <w:trPr>
          <w:trHeight w:val="223"/>
        </w:trPr>
        <w:tc>
          <w:tcPr>
            <w:tcW w:w="3360" w:type="dxa"/>
            <w:vAlign w:val="bottom"/>
          </w:tcPr>
          <w:p>
            <w:pPr>
              <w:ind w:left="20"/>
              <w:spacing w:after="0"/>
              <w:rPr>
                <w:sz w:val="20"/>
                <w:szCs w:val="20"/>
                <w:color w:val="auto"/>
              </w:rPr>
            </w:pPr>
            <w:r>
              <w:rPr>
                <w:rFonts w:ascii="Arial" w:cs="Arial" w:eastAsia="Arial" w:hAnsi="Arial"/>
                <w:sz w:val="17"/>
                <w:szCs w:val="17"/>
                <w:color w:val="auto"/>
              </w:rPr>
              <w:t>ESS Holdings Business Trust II</w:t>
            </w:r>
          </w:p>
        </w:tc>
        <w:tc>
          <w:tcPr>
            <w:tcW w:w="3480" w:type="dxa"/>
            <w:vAlign w:val="bottom"/>
          </w:tcPr>
          <w:p>
            <w:pPr>
              <w:ind w:left="1120"/>
              <w:spacing w:after="0"/>
              <w:rPr>
                <w:sz w:val="20"/>
                <w:szCs w:val="20"/>
                <w:color w:val="auto"/>
              </w:rPr>
            </w:pPr>
            <w:r>
              <w:rPr>
                <w:rFonts w:ascii="Arial" w:cs="Arial" w:eastAsia="Arial" w:hAnsi="Arial"/>
                <w:sz w:val="17"/>
                <w:szCs w:val="17"/>
                <w:color w:val="auto"/>
              </w:rPr>
              <w:t>Subsidiary Guarantor</w:t>
            </w:r>
          </w:p>
        </w:tc>
        <w:tc>
          <w:tcPr>
            <w:tcW w:w="2940" w:type="dxa"/>
            <w:vAlign w:val="bottom"/>
          </w:tcPr>
          <w:p>
            <w:pPr>
              <w:jc w:val="center"/>
              <w:ind w:right="36"/>
              <w:spacing w:after="0"/>
              <w:rPr>
                <w:sz w:val="20"/>
                <w:szCs w:val="20"/>
                <w:color w:val="auto"/>
              </w:rPr>
            </w:pPr>
            <w:r>
              <w:rPr>
                <w:rFonts w:ascii="Arial" w:cs="Arial" w:eastAsia="Arial" w:hAnsi="Arial"/>
                <w:sz w:val="17"/>
                <w:szCs w:val="17"/>
                <w:color w:val="auto"/>
                <w:w w:val="89"/>
              </w:rPr>
              <w:t>Massachusetts</w:t>
            </w:r>
          </w:p>
        </w:tc>
      </w:tr>
    </w:tbl>
    <w:p>
      <w:pPr>
        <w:sectPr>
          <w:pgSz w:w="11900" w:h="16838" w:orient="portrait"/>
          <w:cols w:equalWidth="0" w:num="1">
            <w:col w:w="11240"/>
          </w:cols>
          <w:pgMar w:left="320" w:top="86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Joseph D. Margolis, certify that:</w:t>
      </w:r>
    </w:p>
    <w:p>
      <w:pPr>
        <w:spacing w:after="0" w:line="224" w:lineRule="exact"/>
        <w:rPr>
          <w:sz w:val="20"/>
          <w:szCs w:val="20"/>
          <w:color w:val="auto"/>
        </w:rPr>
      </w:pPr>
    </w:p>
    <w:p>
      <w:pPr>
        <w:ind w:left="640" w:hanging="635"/>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Extra Space Storage Inc.;</w:t>
      </w:r>
    </w:p>
    <w:p>
      <w:pPr>
        <w:spacing w:after="0" w:line="224"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60" w:right="100" w:hanging="626"/>
        <w:spacing w:after="0" w:line="273" w:lineRule="auto"/>
        <w:tabs>
          <w:tab w:leader="none" w:pos="125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260" w:right="360" w:hanging="626"/>
        <w:spacing w:after="0" w:line="273" w:lineRule="auto"/>
        <w:tabs>
          <w:tab w:leader="none" w:pos="12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260" w:right="520" w:hanging="626"/>
        <w:spacing w:after="0" w:line="360" w:lineRule="auto"/>
        <w:tabs>
          <w:tab w:leader="none" w:pos="125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60" w:right="100" w:hanging="626"/>
        <w:spacing w:after="0" w:line="273" w:lineRule="auto"/>
        <w:tabs>
          <w:tab w:leader="none" w:pos="12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260" w:right="20" w:hanging="626"/>
        <w:spacing w:after="0" w:line="289" w:lineRule="auto"/>
        <w:tabs>
          <w:tab w:leader="none" w:pos="125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260" w:right="520" w:hanging="626"/>
        <w:spacing w:after="0" w:line="281" w:lineRule="auto"/>
        <w:tabs>
          <w:tab w:leader="none" w:pos="12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Arial" w:cs="Arial" w:eastAsia="Arial" w:hAnsi="Arial"/>
                <w:sz w:val="17"/>
                <w:szCs w:val="17"/>
                <w:color w:val="auto"/>
              </w:rPr>
              <w:t>Date: May 6, 2022</w:t>
            </w:r>
          </w:p>
        </w:tc>
        <w:tc>
          <w:tcPr>
            <w:tcW w:w="2140" w:type="dxa"/>
            <w:vAlign w:val="bottom"/>
          </w:tcPr>
          <w:p>
            <w:pPr>
              <w:ind w:left="1580"/>
              <w:spacing w:after="0"/>
              <w:rPr>
                <w:sz w:val="20"/>
                <w:szCs w:val="20"/>
                <w:color w:val="auto"/>
              </w:rPr>
            </w:pPr>
            <w:r>
              <w:rPr>
                <w:rFonts w:ascii="Arial" w:cs="Arial" w:eastAsia="Arial" w:hAnsi="Arial"/>
                <w:sz w:val="17"/>
                <w:szCs w:val="17"/>
                <w:color w:val="auto"/>
              </w:rPr>
              <w:t>By:</w:t>
            </w: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/s/ Joseph D. Margolis</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140" w:type="dxa"/>
            <w:vAlign w:val="bottom"/>
            <w:vMerge w:val="restart"/>
          </w:tcPr>
          <w:p>
            <w:pPr>
              <w:ind w:left="1580"/>
              <w:spacing w:after="0"/>
              <w:rPr>
                <w:sz w:val="20"/>
                <w:szCs w:val="20"/>
                <w:color w:val="auto"/>
              </w:rPr>
            </w:pPr>
            <w:r>
              <w:rPr>
                <w:rFonts w:ascii="Arial" w:cs="Arial" w:eastAsia="Arial" w:hAnsi="Arial"/>
                <w:sz w:val="17"/>
                <w:szCs w:val="17"/>
                <w:color w:val="auto"/>
              </w:rPr>
              <w:t>Name:</w:t>
            </w:r>
          </w:p>
        </w:tc>
        <w:tc>
          <w:tcPr>
            <w:tcW w:w="7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Joseph D. Margolis</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140" w:type="dxa"/>
            <w:vAlign w:val="bottom"/>
          </w:tcPr>
          <w:p>
            <w:pPr>
              <w:ind w:left="1580"/>
              <w:spacing w:after="0"/>
              <w:rPr>
                <w:sz w:val="20"/>
                <w:szCs w:val="20"/>
                <w:color w:val="auto"/>
              </w:rPr>
            </w:pPr>
            <w:r>
              <w:rPr>
                <w:rFonts w:ascii="Arial" w:cs="Arial" w:eastAsia="Arial" w:hAnsi="Arial"/>
                <w:sz w:val="17"/>
                <w:szCs w:val="17"/>
                <w:color w:val="auto"/>
              </w:rPr>
              <w:t>Title:</w:t>
            </w: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P. Scott Stubbs, certify that:</w:t>
      </w:r>
    </w:p>
    <w:p>
      <w:pPr>
        <w:spacing w:after="0" w:line="224" w:lineRule="exact"/>
        <w:rPr>
          <w:sz w:val="20"/>
          <w:szCs w:val="20"/>
          <w:color w:val="auto"/>
        </w:rPr>
      </w:pPr>
    </w:p>
    <w:p>
      <w:pPr>
        <w:ind w:left="640" w:hanging="635"/>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Extra Space Storage Inc.;</w:t>
      </w:r>
    </w:p>
    <w:p>
      <w:pPr>
        <w:spacing w:after="0" w:line="224"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2"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60" w:right="100" w:hanging="626"/>
        <w:spacing w:after="0" w:line="273" w:lineRule="auto"/>
        <w:tabs>
          <w:tab w:leader="none" w:pos="125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1260" w:right="360" w:hanging="626"/>
        <w:spacing w:after="0" w:line="273"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260" w:right="520" w:hanging="626"/>
        <w:spacing w:after="0" w:line="360" w:lineRule="auto"/>
        <w:tabs>
          <w:tab w:leader="none" w:pos="125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260" w:right="100" w:hanging="626"/>
        <w:spacing w:after="0" w:line="273"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640" w:right="320" w:hanging="635"/>
        <w:spacing w:after="0" w:line="32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260" w:right="20" w:hanging="626"/>
        <w:spacing w:after="0" w:line="289" w:lineRule="auto"/>
        <w:tabs>
          <w:tab w:leader="none" w:pos="125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Arial" w:cs="Arial" w:eastAsia="Arial" w:hAnsi="Arial"/>
          <w:sz w:val="17"/>
          <w:szCs w:val="17"/>
          <w:color w:val="auto"/>
        </w:rPr>
      </w:pPr>
    </w:p>
    <w:p>
      <w:pPr>
        <w:ind w:left="1260" w:right="520" w:hanging="626"/>
        <w:spacing w:after="0" w:line="281" w:lineRule="auto"/>
        <w:tabs>
          <w:tab w:leader="none" w:pos="12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22"/>
        </w:trPr>
        <w:tc>
          <w:tcPr>
            <w:tcW w:w="2860" w:type="dxa"/>
            <w:vAlign w:val="bottom"/>
          </w:tcPr>
          <w:p>
            <w:pPr>
              <w:spacing w:after="0"/>
              <w:rPr>
                <w:sz w:val="20"/>
                <w:szCs w:val="20"/>
                <w:color w:val="auto"/>
              </w:rPr>
            </w:pPr>
            <w:r>
              <w:rPr>
                <w:rFonts w:ascii="Arial" w:cs="Arial" w:eastAsia="Arial" w:hAnsi="Arial"/>
                <w:sz w:val="17"/>
                <w:szCs w:val="17"/>
                <w:color w:val="auto"/>
              </w:rPr>
              <w:t>Date: May 6, 2022</w:t>
            </w:r>
          </w:p>
        </w:tc>
        <w:tc>
          <w:tcPr>
            <w:tcW w:w="2140" w:type="dxa"/>
            <w:vAlign w:val="bottom"/>
          </w:tcPr>
          <w:p>
            <w:pPr>
              <w:ind w:left="1580"/>
              <w:spacing w:after="0"/>
              <w:rPr>
                <w:sz w:val="20"/>
                <w:szCs w:val="20"/>
                <w:color w:val="auto"/>
              </w:rPr>
            </w:pPr>
            <w:r>
              <w:rPr>
                <w:rFonts w:ascii="Arial" w:cs="Arial" w:eastAsia="Arial" w:hAnsi="Arial"/>
                <w:sz w:val="17"/>
                <w:szCs w:val="17"/>
                <w:color w:val="auto"/>
              </w:rPr>
              <w:t>By:</w:t>
            </w: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/s/ P. Scott Stubbs</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140" w:type="dxa"/>
            <w:vAlign w:val="bottom"/>
            <w:vMerge w:val="restart"/>
          </w:tcPr>
          <w:p>
            <w:pPr>
              <w:ind w:left="1580"/>
              <w:spacing w:after="0"/>
              <w:rPr>
                <w:sz w:val="20"/>
                <w:szCs w:val="20"/>
                <w:color w:val="auto"/>
              </w:rPr>
            </w:pPr>
            <w:r>
              <w:rPr>
                <w:rFonts w:ascii="Arial" w:cs="Arial" w:eastAsia="Arial" w:hAnsi="Arial"/>
                <w:sz w:val="17"/>
                <w:szCs w:val="17"/>
                <w:color w:val="auto"/>
              </w:rPr>
              <w:t>Name:</w:t>
            </w:r>
          </w:p>
        </w:tc>
        <w:tc>
          <w:tcPr>
            <w:tcW w:w="7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6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P. Scott Stubbs</w:t>
            </w:r>
          </w:p>
        </w:tc>
        <w:tc>
          <w:tcPr>
            <w:tcW w:w="0" w:type="dxa"/>
            <w:vAlign w:val="bottom"/>
          </w:tcPr>
          <w:p>
            <w:pPr>
              <w:spacing w:after="0"/>
              <w:rPr>
                <w:sz w:val="1"/>
                <w:szCs w:val="1"/>
                <w:color w:val="auto"/>
              </w:rPr>
            </w:pPr>
          </w:p>
        </w:tc>
      </w:tr>
      <w:tr>
        <w:trPr>
          <w:trHeight w:val="223"/>
        </w:trPr>
        <w:tc>
          <w:tcPr>
            <w:tcW w:w="2860" w:type="dxa"/>
            <w:vAlign w:val="bottom"/>
          </w:tcPr>
          <w:p>
            <w:pPr>
              <w:spacing w:after="0"/>
              <w:rPr>
                <w:sz w:val="19"/>
                <w:szCs w:val="19"/>
                <w:color w:val="auto"/>
              </w:rPr>
            </w:pPr>
          </w:p>
        </w:tc>
        <w:tc>
          <w:tcPr>
            <w:tcW w:w="2140" w:type="dxa"/>
            <w:vAlign w:val="bottom"/>
          </w:tcPr>
          <w:p>
            <w:pPr>
              <w:ind w:left="1580"/>
              <w:spacing w:after="0"/>
              <w:rPr>
                <w:sz w:val="20"/>
                <w:szCs w:val="20"/>
                <w:color w:val="auto"/>
              </w:rPr>
            </w:pPr>
            <w:r>
              <w:rPr>
                <w:rFonts w:ascii="Arial" w:cs="Arial" w:eastAsia="Arial" w:hAnsi="Arial"/>
                <w:sz w:val="17"/>
                <w:szCs w:val="17"/>
                <w:color w:val="auto"/>
              </w:rPr>
              <w:t>Title:</w:t>
            </w:r>
          </w:p>
        </w:tc>
        <w:tc>
          <w:tcPr>
            <w:tcW w:w="5540" w:type="dxa"/>
            <w:vAlign w:val="bottom"/>
            <w:gridSpan w:val="2"/>
          </w:tcPr>
          <w:p>
            <w:pPr>
              <w:ind w:left="80"/>
              <w:spacing w:after="0"/>
              <w:rPr>
                <w:sz w:val="20"/>
                <w:szCs w:val="20"/>
                <w:color w:val="auto"/>
              </w:rPr>
            </w:pPr>
            <w:r>
              <w:rPr>
                <w:rFonts w:ascii="Arial" w:cs="Arial" w:eastAsia="Arial" w:hAnsi="Arial"/>
                <w:sz w:val="17"/>
                <w:szCs w:val="17"/>
                <w:color w:val="auto"/>
              </w:rPr>
              <w:t>Executive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9" w:lineRule="exact"/>
        <w:rPr>
          <w:sz w:val="20"/>
          <w:szCs w:val="20"/>
          <w:color w:val="auto"/>
        </w:rPr>
      </w:pPr>
    </w:p>
    <w:tbl>
      <w:tblPr>
        <w:tblLayout w:type="fixed"/>
        <w:tblInd w:w="50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Joseph D. Margolis</w:t>
            </w:r>
          </w:p>
        </w:tc>
      </w:tr>
      <w:tr>
        <w:trPr>
          <w:trHeight w:val="216"/>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Joseph D. Margolis</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5460" w:type="dxa"/>
            <w:vAlign w:val="bottom"/>
          </w:tcPr>
          <w:p>
            <w:pPr>
              <w:ind w:left="20"/>
              <w:spacing w:after="0"/>
              <w:rPr>
                <w:sz w:val="20"/>
                <w:szCs w:val="20"/>
                <w:color w:val="auto"/>
              </w:rPr>
            </w:pPr>
            <w:r>
              <w:rPr>
                <w:rFonts w:ascii="Arial" w:cs="Arial" w:eastAsia="Arial" w:hAnsi="Arial"/>
                <w:sz w:val="17"/>
                <w:szCs w:val="17"/>
                <w:color w:val="auto"/>
              </w:rPr>
              <w:t>May 6, 2022</w:t>
            </w:r>
          </w:p>
        </w:tc>
      </w:tr>
    </w:tbl>
    <w:p>
      <w:pPr>
        <w:spacing w:after="0" w:line="29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2022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9" w:lineRule="exact"/>
        <w:rPr>
          <w:sz w:val="20"/>
          <w:szCs w:val="20"/>
          <w:color w:val="auto"/>
        </w:rPr>
      </w:pPr>
    </w:p>
    <w:tbl>
      <w:tblPr>
        <w:tblLayout w:type="fixed"/>
        <w:tblInd w:w="50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P. Scott Stubbs</w:t>
            </w:r>
          </w:p>
        </w:tc>
      </w:tr>
      <w:tr>
        <w:trPr>
          <w:trHeight w:val="216"/>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P. Scott Stubbs</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23"/>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5460" w:type="dxa"/>
            <w:vAlign w:val="bottom"/>
          </w:tcPr>
          <w:p>
            <w:pPr>
              <w:ind w:left="20"/>
              <w:spacing w:after="0"/>
              <w:rPr>
                <w:sz w:val="20"/>
                <w:szCs w:val="20"/>
                <w:color w:val="auto"/>
              </w:rPr>
            </w:pPr>
            <w:r>
              <w:rPr>
                <w:rFonts w:ascii="Arial" w:cs="Arial" w:eastAsia="Arial" w:hAnsi="Arial"/>
                <w:sz w:val="17"/>
                <w:szCs w:val="17"/>
                <w:color w:val="auto"/>
              </w:rPr>
              <w:t>May 6, 2022</w:t>
            </w:r>
          </w:p>
        </w:tc>
      </w:tr>
    </w:tbl>
    <w:p>
      <w:pPr>
        <w:spacing w:after="0" w:line="1" w:lineRule="exact"/>
        <w:rPr>
          <w:sz w:val="20"/>
          <w:szCs w:val="20"/>
          <w:color w:val="auto"/>
        </w:rPr>
      </w:pPr>
    </w:p>
    <w:sectPr>
      <w:pgSz w:w="11900" w:h="16838" w:orient="portrait"/>
      <w:cols w:equalWidth="0" w:num="1">
        <w:col w:w="11240"/>
      </w:cols>
      <w:pgMar w:left="320" w:top="8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Roman"/>
      <w:start w:val="1"/>
    </w:lvl>
  </w:abstractNum>
  <w:abstractNum w:abstractNumId="6">
    <w:nsid w:val="216231B"/>
    <w:multiLevelType w:val="hybridMultilevel"/>
    <w:lvl w:ilvl="0">
      <w:lvlJc w:val="left"/>
      <w:lvlText w:val="%1"/>
      <w:numFmt w:val="decimal"/>
      <w:start w:val="1"/>
    </w:lvl>
    <w:lvl w:ilvl="1">
      <w:lvlJc w:val="left"/>
      <w:lvlText w:val="(%2)"/>
      <w:numFmt w:val="decimal"/>
      <w:start w:val="1"/>
    </w:lvl>
  </w:abstractNum>
  <w:abstractNum w:abstractNumId="7">
    <w:nsid w:val="1F16E9E8"/>
    <w:multiLevelType w:val="hybridMultilevel"/>
    <w:lvl w:ilvl="0">
      <w:lvlJc w:val="left"/>
      <w:lvlText w:val="%1."/>
      <w:numFmt w:val="decimal"/>
      <w:start w:val="10"/>
    </w:lvl>
    <w:lvl w:ilvl="1">
      <w:lvlJc w:val="left"/>
      <w:lvlText w:val="%2"/>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2"/>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04"/>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57" Type="http://schemas.openxmlformats.org/officeDocument/2006/relationships/hyperlink" Target="https://www.sec.gov/Archives/edgar/data/1289490/000119312521157616/d469365dex41.htm" TargetMode="External"/><Relationship Id="rId58" Type="http://schemas.openxmlformats.org/officeDocument/2006/relationships/hyperlink" Target="https://www.sec.gov/Archives/edgar/data/1289490/000119312521157616/d469365dex42.htm" TargetMode="External"/><Relationship Id="rId59" Type="http://schemas.openxmlformats.org/officeDocument/2006/relationships/hyperlink" Target="https://www.sec.gov/Archives/edgar/data/0001289490/000119312521279380/d192404dex42.htm" TargetMode="External"/><Relationship Id="rId60" Type="http://schemas.openxmlformats.org/officeDocument/2006/relationships/hyperlink" Target="https://www.sec.gov/Archives/edgar/data/0001289490/000119312522092010/d32326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2022-05-07T00:59:52Z</dcterms:created>
  <dcterms:modified xsi:type="dcterms:W3CDTF">2022-05-07T00:59:52Z</dcterms:modified>
</cp:coreProperties>
</file>