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60" w:right="180" w:hanging="435"/>
        <w:spacing w:after="0" w:line="256" w:lineRule="auto"/>
        <w:tabs>
          <w:tab w:leader="none" w:pos="7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left="74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25" w:lineRule="exact"/>
        <w:rPr>
          <w:sz w:val="24"/>
          <w:szCs w:val="24"/>
          <w:color w:val="auto"/>
        </w:rPr>
      </w:pPr>
    </w:p>
    <w:p>
      <w:pPr>
        <w:ind w:left="59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60" w:right="160" w:hanging="435"/>
        <w:spacing w:after="0" w:line="256"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4"/>
          <w:szCs w:val="24"/>
          <w:color w:val="auto"/>
        </w:rPr>
      </w:pPr>
    </w:p>
    <w:p>
      <w:pPr>
        <w:sectPr>
          <w:pgSz w:w="11900" w:h="16838" w:orient="portrait"/>
          <w:cols w:equalWidth="0" w:num="3">
            <w:col w:w="6460" w:space="720"/>
            <w:col w:w="180" w:space="720"/>
            <w:col w:w="3340"/>
          </w:cols>
          <w:pgMar w:left="240" w:top="233" w:right="239" w:bottom="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001-32269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78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6820" w:space="720"/>
            <w:col w:w="388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October 30, 2009 was 86,432,213.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91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12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20" w:type="dxa"/>
            <w:vAlign w:val="bottom"/>
            <w:gridSpan w:val="1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002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2. MANAGEMENT’S DISCUSSION AND ANALYSIS OF FINANCIAL CONDITION AND RESULTS OF OPERATIONS</w:t>
              </w:r>
            </w:hyperlink>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71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 QUANTITATIVE AND QUALITATIVE DISCLOSURES ABOUT MARKET RISK</w:t>
              </w:r>
            </w:hyperlink>
          </w:p>
        </w:tc>
        <w:tc>
          <w:tcPr>
            <w:tcW w:w="3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12"/>
        </w:trPr>
        <w:tc>
          <w:tcPr>
            <w:tcW w:w="10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 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2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tcPr>
          <w:p>
            <w:pPr>
              <w:spacing w:after="0"/>
              <w:rPr>
                <w:sz w:val="24"/>
                <w:szCs w:val="24"/>
                <w:color w:val="auto"/>
              </w:rPr>
            </w:pPr>
          </w:p>
        </w:tc>
        <w:tc>
          <w:tcPr>
            <w:tcW w:w="71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10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1. LEGAL PROCEEDINGS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21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24"/>
                <w:szCs w:val="24"/>
                <w:color w:val="auto"/>
              </w:rPr>
            </w:pPr>
          </w:p>
        </w:tc>
        <w:tc>
          <w:tcPr>
            <w:tcW w:w="792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10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710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 DEFAULTS UPON SENIOR SECURITIES</w:t>
              </w:r>
            </w:hyperlink>
          </w:p>
        </w:tc>
        <w:tc>
          <w:tcPr>
            <w:tcW w:w="35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0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 SUBMISSION OF MATTERS TO A VOTE OF SECURITY HOLDERS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2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5. OTHER INFORMATION</w:t>
              </w:r>
            </w:hyperlink>
          </w:p>
        </w:tc>
        <w:tc>
          <w:tcPr>
            <w:tcW w:w="3540" w:type="dxa"/>
            <w:vAlign w:val="bottom"/>
            <w:tcBorders>
              <w:top w:val="single" w:sz="8" w:color="0000EE"/>
            </w:tcBorders>
            <w:gridSpan w:val="5"/>
          </w:tcPr>
          <w:p>
            <w:pPr>
              <w:spacing w:after="0"/>
              <w:rPr>
                <w:sz w:val="24"/>
                <w:szCs w:val="24"/>
                <w:color w:val="auto"/>
              </w:rPr>
            </w:pPr>
          </w:p>
        </w:tc>
        <w:tc>
          <w:tcPr>
            <w:tcW w:w="434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10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6. EXHIBITS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15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904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53"/>
        </w:trPr>
        <w:tc>
          <w:tcPr>
            <w:tcW w:w="1160" w:type="dxa"/>
            <w:vAlign w:val="bottom"/>
            <w:tcBorders>
              <w:top w:val="single" w:sz="8" w:color="0000EE"/>
            </w:tcBorders>
          </w:tcPr>
          <w:p>
            <w:pPr>
              <w:spacing w:after="0"/>
              <w:rPr>
                <w:sz w:val="24"/>
                <w:szCs w:val="24"/>
                <w:color w:val="auto"/>
              </w:rPr>
            </w:pPr>
          </w:p>
        </w:tc>
        <w:tc>
          <w:tcPr>
            <w:tcW w:w="4740" w:type="dxa"/>
            <w:vAlign w:val="bottom"/>
            <w:gridSpan w:val="8"/>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or REITs,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joint venture transaction with Harrison Street Real Estate Capital, LLC may not close on the terms previously disclosed or at all, or that the expected benefits from the transaction may not be realized;</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disruptions in credit and financial markets and resulting difficulties in raising capital at reasonable rates, which could impede our ability to grow;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and management members.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September 30, 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1"/>
              </w:rPr>
              <w:t>(As revised-see Note 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Real estate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1,989,675</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52,942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58,734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2,042,617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100,992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63,972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2,369,150</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1,044,446</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Notes payable to trusts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119,590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Discount on exchangeable senior notes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40,636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35,128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1,420,415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w w:val="90"/>
              </w:rPr>
              <w:t>Preferred stock, $0.01 par value, 50,000,000 shares authorized, no shares issued or outstanding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$0.01 par value, 300,000,000 shares authorized, 86,435,938 and 85,790,331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shares issued and outstanding at September 30, 2009 and December 31, 2008, respectively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1,132,865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1,130,964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deficit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(248,533)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(253,052)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883,612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60"/>
              <w:spacing w:after="0" w:line="201" w:lineRule="exact"/>
              <w:rPr>
                <w:sz w:val="20"/>
                <w:szCs w:val="20"/>
                <w:color w:val="auto"/>
              </w:rPr>
            </w:pPr>
            <w:r>
              <w:rPr>
                <w:rFonts w:ascii="Arial" w:cs="Arial" w:eastAsia="Arial" w:hAnsi="Arial"/>
                <w:sz w:val="18"/>
                <w:szCs w:val="18"/>
                <w:color w:val="auto"/>
                <w:w w:val="94"/>
              </w:rPr>
              <w:t>Noncontrolling interest represented by Preferred Operating Partnership units, net of $100,000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note receivable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29,941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29,837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 in Operating Partnership</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noncontrolling interests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noncontrolling interests and equity</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948,735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Total liabilities, noncontrolling interests and equity</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2,369,150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74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6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20" w:type="dxa"/>
            <w:vAlign w:val="bottom"/>
          </w:tcPr>
          <w:p>
            <w:pPr>
              <w:spacing w:after="0"/>
              <w:rPr>
                <w:sz w:val="12"/>
                <w:szCs w:val="12"/>
                <w:color w:val="auto"/>
              </w:rPr>
            </w:pPr>
          </w:p>
        </w:tc>
        <w:tc>
          <w:tcPr>
            <w:tcW w:w="110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0"/>
              </w:rPr>
              <w:t>(As revised-see Note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0"/>
              </w:rPr>
              <w:t>(As revised-see Note 2)</w:t>
            </w: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1100" w:type="dxa"/>
            <w:vAlign w:val="bottom"/>
          </w:tcPr>
          <w:p>
            <w:pPr>
              <w:jc w:val="right"/>
              <w:ind w:right="92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60,380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59,997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178,494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174,906</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franchise fees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15,685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15,837</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15,246</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11,723</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r>
      <w:tr>
        <w:trPr>
          <w:trHeight w:val="210"/>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71,304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209,626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202,891</w:t>
            </w:r>
          </w:p>
        </w:tc>
        <w:tc>
          <w:tcPr>
            <w:tcW w:w="100" w:type="dxa"/>
            <w:vAlign w:val="bottom"/>
            <w:tcBorders>
              <w:bottom w:val="single" w:sz="8" w:color="CCEEFF"/>
            </w:tcBorders>
          </w:tcPr>
          <w:p>
            <w:pPr>
              <w:spacing w:after="0"/>
              <w:rPr>
                <w:sz w:val="18"/>
                <w:szCs w:val="18"/>
                <w:color w:val="auto"/>
              </w:rPr>
            </w:pPr>
          </w:p>
        </w:tc>
      </w:tr>
      <w:tr>
        <w:trPr>
          <w:trHeight w:val="199"/>
        </w:trPr>
        <w:tc>
          <w:tcPr>
            <w:tcW w:w="3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517"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operations</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23,022</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67,456</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3,996</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Unrecovered development and acquisition costs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18,905</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160"/>
              <w:spacing w:after="0" w:line="201" w:lineRule="exact"/>
              <w:rPr>
                <w:sz w:val="20"/>
                <w:szCs w:val="20"/>
                <w:color w:val="auto"/>
              </w:rPr>
            </w:pPr>
            <w:r>
              <w:rPr>
                <w:rFonts w:ascii="Arial" w:cs="Arial" w:eastAsia="Arial" w:hAnsi="Arial"/>
                <w:sz w:val="18"/>
                <w:szCs w:val="18"/>
                <w:color w:val="auto"/>
                <w:w w:val="99"/>
              </w:rPr>
              <w:t>Severance costs associated with wind-down of</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development program</w:t>
            </w:r>
          </w:p>
        </w:tc>
        <w:tc>
          <w:tcPr>
            <w:tcW w:w="5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1,400</w:t>
            </w:r>
          </w:p>
        </w:tc>
        <w:tc>
          <w:tcPr>
            <w:tcW w:w="4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31,195</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13,797</w:t>
            </w: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12,355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39,160</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162,112</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interest, equity in earnings of real</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 ventures, gain on repurchase of</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exchangeable senior notes, loss on sale of</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 for sale and income tax</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5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23,217</w:t>
            </w:r>
          </w:p>
        </w:tc>
        <w:tc>
          <w:tcPr>
            <w:tcW w:w="5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47,514</w:t>
            </w:r>
          </w:p>
        </w:tc>
        <w:tc>
          <w:tcPr>
            <w:tcW w:w="4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(17,697)</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(49,308)</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7"/>
              </w:rPr>
              <w:t>Non-cash interest expense related to amortization</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of discount on exchangeable senior notes</w:t>
            </w:r>
          </w:p>
        </w:tc>
        <w:tc>
          <w:tcPr>
            <w:tcW w:w="5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5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(1,834)</w:t>
            </w:r>
          </w:p>
        </w:tc>
        <w:tc>
          <w:tcPr>
            <w:tcW w:w="4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7"/>
              </w:rPr>
              <w:t>Interest income on note receivable from Preferred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Operating Partnership unit holder</w:t>
            </w: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3,638</w:t>
            </w:r>
          </w:p>
        </w:tc>
        <w:tc>
          <w:tcPr>
            <w:tcW w:w="4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5,288</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7"/>
              </w:rPr>
              <w:t>Gain on repurchase of exchangeable senior notes</w:t>
            </w: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27,576</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investments available for sale</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5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(2,317)</w:t>
            </w:r>
          </w:p>
        </w:tc>
        <w:tc>
          <w:tcPr>
            <w:tcW w:w="4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allocated to Preferred Operating</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Partnership noncontrolling interests</w:t>
            </w:r>
          </w:p>
        </w:tc>
        <w:tc>
          <w:tcPr>
            <w:tcW w:w="5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(1,506)</w:t>
            </w:r>
          </w:p>
        </w:tc>
        <w:tc>
          <w:tcPr>
            <w:tcW w:w="5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(4,681)</w:t>
            </w:r>
          </w:p>
        </w:tc>
        <w:tc>
          <w:tcPr>
            <w:tcW w:w="4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5"/>
              </w:rPr>
              <w:t>Net income allocated to Operating Partnership and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other noncontrolling interests</w:t>
            </w:r>
          </w:p>
        </w:tc>
        <w:tc>
          <w:tcPr>
            <w:tcW w:w="5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4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common</w:t>
            </w:r>
          </w:p>
        </w:tc>
        <w:tc>
          <w:tcPr>
            <w:tcW w:w="5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vMerge w:val="continue"/>
            <w:shd w:val="clear" w:color="auto" w:fill="CCEEFF"/>
          </w:tcPr>
          <w:p>
            <w:pPr>
              <w:spacing w:after="0"/>
              <w:rPr>
                <w:sz w:val="15"/>
                <w:szCs w:val="15"/>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9,916</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26,045</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5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86,437,877</w:t>
            </w: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82,184,631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86,260,442</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74,116,345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91,548,984</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87,710,663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91,321,503</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79,673,881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2"/>
              </w:rPr>
              <w:t>Noncontrolling Interests</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Extra Space Storage Inc. Stockholders’ Equity</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Operating</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Other</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980" w:type="dxa"/>
            <w:vAlign w:val="bottom"/>
            <w:gridSpan w:val="2"/>
            <w:vMerge w:val="continue"/>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Partnership</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2"/>
              </w:rPr>
              <w:t>Balances at December 31, 2008</w:t>
            </w: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(as revised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See Note 2)</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29,837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   36,628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85,790,331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$1,130,964</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(253,052)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946,793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issued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545,365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3"/>
              </w:rPr>
              <w:t>Restricted stock grants cancelled</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(14,686)</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Compensation expense related to</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awards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consolidated as business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acquisition</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from other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9"/>
              </w:rPr>
              <w:t>Repurchase of equity portion of</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exchangeable senior notes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180" w:type="dxa"/>
            <w:vAlign w:val="bottom"/>
          </w:tcPr>
          <w:p>
            <w:pPr>
              <w:spacing w:after="0"/>
              <w:rPr>
                <w:sz w:val="20"/>
                <w:szCs w:val="20"/>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Operating</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114,928</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Partnership units to common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Conversion of Operating</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Partnership units to cash</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14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4,681</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1,569</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26,045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31,655</w:t>
            </w: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interest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swap</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w:t>
            </w: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Pr>
          <w:p>
            <w:pPr>
              <w:spacing w:after="0"/>
              <w:rPr>
                <w:sz w:val="18"/>
                <w:szCs w:val="18"/>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Operating</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Partnership units held by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(5,626)</w:t>
            </w: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w w:val="95"/>
              </w:rPr>
              <w:t>Dividends paid on common stock</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at $0.25 per share</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(21,526)</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(21,526)</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Balances at September 30, 2009</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29,941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86,435,938</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1,132,865</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(248,533</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948,735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w w:val="91"/>
              </w:rPr>
              <w:t>(As revised-see 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31,655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w w:val="92"/>
              </w:rPr>
              <w:t>Non-cash interest expense related to amortization of discount on exchangeable senior notes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repurchase of exchangeable senior notes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investments available for sale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Unrecovered development and acquisition costs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costs associated with wind-down of development program</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52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66,092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real estate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investment in real estate ventures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proceeds from sale of investments available for sale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Purchase of equipment and fixtures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Repurchase of exchangeable senior notes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 and lines of credit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Principal payments on notes payable and lines of credit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(207,981)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Investments from noncontrolling interests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Operating Partnership units held by noncontrolling interest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232,718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(57,672)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 in Operating Partnership</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63,972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4"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46,006</w:t>
            </w: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5"/>
              </w:rPr>
              <w:t>Conversion of Operating Partnership Units held by noncontrolling interests for common stock</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invests in self-storage facilities by acquiring or developing wholly-owned facilities or by acquiring an equity interest in real estate entities. At September 30, 2009, the Company had direct and indirect equity interests in 635 operating storage facilities located in 33 states and Washington, D.C. In addition, the Company managed 114 properties for franchisees and third parties, bringing the total number of operating properties which it owns and/or manages to 749.</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operates in three distinct segments: (1) property management, acquisition and development; (2) rental operations; and (3) tenant reinsurance. The Company’s property management, acquisition and development activities include managing, acquiring, developing and selling self-storage facilities. On June 2, 2009, the Company announced the wind-down of its development activities. As of September 30, 2009, there were 14 development projects in process that the Company expects to complete by the fourth quarter of 2010. The rental operations activities include rental operations of self-storage facilities. No single tenant accounts for more than 5% of rental income. Tenant reinsurance activities include the reinsurance of risks relating to the loss of goods stored by tenants in the Company’s self storage facilities.</w:t>
      </w:r>
    </w:p>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in accordance with the instructions to Form 10-Q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Article 10 of Regulation S-X. Accordingly, they may not include all of the information and footnotes required by GAAP for complete financial statements.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opinion of management, all adjustments (including normal recurring accruals) considered necessary for a fair presentation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results for the three and nine months ended September 30, 2009 are not necessarily indicative of results that may be expected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The Condensed Consolidated Balance Sheet as of December 31, 2008 has been derived from the Company’s audited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that date, but does not include all of the information and footnotes required by GAAP for complete financial statements.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footnotes thereto included in the Company’s Annual Report on Form 10-K for the year ended December 31,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Form 8-K dated June 5, 2009, updating Items 6, 7 and 8 of the Company’s Form 10-K for the year ended December 31, 2008, filed with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Exchange Commission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amounts in the 2008 financial statements and supporting note disclosures have been reclassified to conform to the current year presentation. Such reclassification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 to Prior Period Numbers</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Effective January 1, 2009, the Company adopted certain recently issued accounting standards that required the Company to retroactively adopt the presentation and disclosure requirements and to restate prior period financial statements as noted in “Recently Issued Accounting Standards,” below. The Company also revised the amounts allocated to its noncontrolling interests in its Operating Partnership and calculated earnings per share for 2008.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 xml:space="preserve">In September 2006, the Financial Accounting Standards Board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Accounting Standards Codification (“ASC”) 820, which defines fair value, establishes guidelines for measuring fair value and expands disclosures regarding fair value</w:t>
      </w:r>
    </w:p>
    <w:p>
      <w:pPr>
        <w:sectPr>
          <w:pgSz w:w="11900" w:h="16838" w:orient="portrait"/>
          <w:cols w:equalWidth="0" w:num="1">
            <w:col w:w="11420"/>
          </w:cols>
          <w:pgMar w:left="240" w:top="140" w:right="239" w:bottom="0" w:gutter="0" w:footer="0" w:header="0"/>
        </w:sectPr>
      </w:pPr>
    </w:p>
    <w:bookmarkStart w:id="6" w:name="page7"/>
    <w:bookmarkEnd w:id="6"/>
    <w:p>
      <w:pPr>
        <w:ind w:right="220"/>
        <w:spacing w:after="0" w:line="259" w:lineRule="auto"/>
        <w:rPr>
          <w:sz w:val="20"/>
          <w:szCs w:val="20"/>
          <w:color w:val="auto"/>
        </w:rPr>
      </w:pPr>
      <w:r>
        <w:rPr>
          <w:rFonts w:ascii="Arial" w:cs="Arial" w:eastAsia="Arial" w:hAnsi="Arial"/>
          <w:sz w:val="18"/>
          <w:szCs w:val="18"/>
          <w:color w:val="auto"/>
        </w:rPr>
        <w:t>measurement. This guidance applies under other accounting pronouncements that require or permit fair value measurements, and does not require any new fair value measurements. The Company adopted this guidance for financial assets and liabilities effective January 1, 2008 and for non-financial assets and liabilities effective January 1, 2009. In April 2009, the FASB issued the following updates that provide additional application guidance and enhance disclosures regarding fair value measurements and impairments of securities:</w:t>
      </w:r>
    </w:p>
    <w:p>
      <w:pPr>
        <w:spacing w:after="0" w:line="187" w:lineRule="exact"/>
        <w:rPr>
          <w:sz w:val="20"/>
          <w:szCs w:val="20"/>
          <w:color w:val="auto"/>
        </w:rPr>
      </w:pPr>
    </w:p>
    <w:p>
      <w:pPr>
        <w:ind w:left="660" w:right="20" w:hanging="328"/>
        <w:spacing w:after="0" w:line="25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FASB Staff Position No. FAS 157-4, “</w:t>
      </w:r>
      <w:r>
        <w:rPr>
          <w:rFonts w:ascii="Arial" w:cs="Arial" w:eastAsia="Arial" w:hAnsi="Arial"/>
          <w:sz w:val="18"/>
          <w:szCs w:val="18"/>
          <w:i w:val="1"/>
          <w:iCs w:val="1"/>
          <w:color w:val="auto"/>
        </w:rPr>
        <w:t>Determining Fair Value When the Volume and Level of Activity for the Asset or Liability Have Significantly</w:t>
      </w:r>
      <w:r>
        <w:rPr>
          <w:rFonts w:ascii="Arial" w:cs="Arial" w:eastAsia="Arial" w:hAnsi="Arial"/>
          <w:sz w:val="18"/>
          <w:szCs w:val="18"/>
          <w:color w:val="auto"/>
        </w:rPr>
        <w:t xml:space="preserve"> </w:t>
      </w:r>
      <w:r>
        <w:rPr>
          <w:rFonts w:ascii="Arial" w:cs="Arial" w:eastAsia="Arial" w:hAnsi="Arial"/>
          <w:sz w:val="18"/>
          <w:szCs w:val="18"/>
          <w:i w:val="1"/>
          <w:iCs w:val="1"/>
          <w:color w:val="auto"/>
        </w:rPr>
        <w:t>Decreased and Identifying Transactions That Are Not Orderly</w:t>
      </w:r>
      <w:r>
        <w:rPr>
          <w:rFonts w:ascii="Arial" w:cs="Arial" w:eastAsia="Arial" w:hAnsi="Arial"/>
          <w:sz w:val="18"/>
          <w:szCs w:val="18"/>
          <w:color w:val="auto"/>
        </w:rPr>
        <w:t>” (ASC 820-10-65). This update provides guidance for estimating fair value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and level of activity for the asset or liability have significantly decreased and identifying circumstances that may indicate that a transaction is not orderly. It reaffirms the need to exercise judgment to ascertain if a formerly active market has become inactive and in determining fair values when markets have become inactive.</w:t>
      </w:r>
    </w:p>
    <w:p>
      <w:pPr>
        <w:spacing w:after="0" w:line="188" w:lineRule="exact"/>
        <w:rPr>
          <w:rFonts w:ascii="Arial" w:cs="Arial" w:eastAsia="Arial" w:hAnsi="Arial"/>
          <w:sz w:val="18"/>
          <w:szCs w:val="18"/>
          <w:color w:val="auto"/>
        </w:rPr>
      </w:pPr>
    </w:p>
    <w:p>
      <w:pPr>
        <w:ind w:left="660" w:right="40" w:hanging="328"/>
        <w:spacing w:after="0" w:line="25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FASB Staff Position No.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(ASC 320-10-65). This update requires disclosures about the fair value of financial instruments for interim reporting periods of publicly traded companies as well as in annual financial statements. In addition, it requires the disclosures in summarized financial information at interim reporting periods. Companies will also be required to disclose the method and significant assumptions used to estimate the fai r value of financial instruments and describe any changes in the methods or methodology occurring during the period.</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adopted these updates effective June 30, 2009 and has applied the guidance to all periods presented. The adoption of this guidance did not have any impact on the Company’s net income, cash flows, or financial position.</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2007, the FASB issued revised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(“FAS 141(R)”). This guidance establishes principles and requirements for how an acquirer in a business combination recognizes and measures in its financial statements the assets acquired and liabilities assumed. Generally, assets acquired and liabilities assumed in a transaction are recorded at the acquisition-date fair value with limited exceptions. The guidance also changed the accounting treatment and disclosure for certain specific items in a business combination. The Company adopted this guidance for all acquisitions subsequent to January 1, 2009.</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2007, the FASB issued Statement No. 160, “</w:t>
      </w:r>
      <w:r>
        <w:rPr>
          <w:rFonts w:ascii="Arial" w:cs="Arial" w:eastAsia="Arial" w:hAnsi="Arial"/>
          <w:sz w:val="16"/>
          <w:szCs w:val="16"/>
          <w:i w:val="1"/>
          <w:iCs w:val="1"/>
          <w:color w:val="auto"/>
        </w:rPr>
        <w:t>Noncontrolling Interests in Consolidated Financial Statements — An Amendment of ARB No. 51”</w:t>
      </w:r>
      <w:r>
        <w:rPr>
          <w:rFonts w:ascii="Arial" w:cs="Arial" w:eastAsia="Arial" w:hAnsi="Arial"/>
          <w:sz w:val="16"/>
          <w:szCs w:val="16"/>
          <w:color w:val="auto"/>
        </w:rPr>
        <w:t xml:space="preserve"> (ASC 810-10-65) (“FAS 160”). This guidance establishes new accounting and reporting standards for the noncontrolling interest in a subsidiary and for the deconsolidation of a subsidiary. It also requires a company to clearly identify and present ownership interests in subsidiaries held by parties other than the company in the consolidated financial statements within the equity section but separate from the company’s equity. In addition, the guidance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 higher of (a) their carrying value or (b) their redeemable value as of the balance sheet date and reported as temporary equity. The Company adopted this guidance effective January 1, 2009, and has applied it to all periods presented.</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2008, the FASB issued Statement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an amendment of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(ASC 815). This guidance changes the disclosure requirements for derivative instruments and hedging activities. Entities are required to provide enhanced disclosures stating how and why an entity uses derivative instruments; how derivative instruments and related hedged items are accounted for; and how derivative instruments and related hedged items affect an entity’s financial position, financial performance and cash flows. The Company adopted this guidance effective January 1, 2009 and expanded the disclosures relating to derivative instruments included in its consolidated financial st atements.</w:t>
      </w:r>
    </w:p>
    <w:p>
      <w:pPr>
        <w:spacing w:after="0" w:line="19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May 2008, the FASB issued Statement of Position No.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(Including Partial Cash Settlement)” </w:t>
      </w:r>
      <w:r>
        <w:rPr>
          <w:rFonts w:ascii="Arial" w:cs="Arial" w:eastAsia="Arial" w:hAnsi="Arial"/>
          <w:sz w:val="17"/>
          <w:szCs w:val="17"/>
          <w:color w:val="auto"/>
        </w:rPr>
        <w:t>(ASC 470-20-65) (“FSP APB 14-1”). Under this guidance, entities with convertible debt instruments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settled entirely or partially in cash upon conversion should separately account for the liability and equity components of the instrument in a manner that reflects the issuer’s economic interest cost. The effect of the adoption on the Company’s exchangeable senior notes is that the equity component is included in the paid-in-capital section of stockholders’ equity on the consolidated balance sheet and the value of the equity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component is treated as original issue discount for purposes of accounting for the debt component. The original issue discount is amortized over the period of the debt as additional interest expense. This guidance is effective for fiscal years beginning after December 15, 2008, and for interim periods within those fiscal years, with retrospective application required. The Company adopted this guidance effective January 1, 2009.</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April 2008, the FASB issued Staff Position No.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(ASC 350-30). This guidance amends the factors that should be considered in developing renewal or extension assumptions used in determining the useful life of a recognized intangible asset. This new guidance applies prospectively to intangible assets that are acquired individually or with a group of other assets in business combinations and asset acquisitions. This guidance is effective for fiscal years beginning after December 31, 2008 and has been adopted by the Company for all acquisitions subsequent to January 1, 2009.</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2008, the FASB issued Staff Position EITF 03-6-1, </w:t>
      </w:r>
      <w:r>
        <w:rPr>
          <w:rFonts w:ascii="Arial" w:cs="Arial" w:eastAsia="Arial" w:hAnsi="Arial"/>
          <w:sz w:val="18"/>
          <w:szCs w:val="18"/>
          <w:i w:val="1"/>
          <w:iCs w:val="1"/>
          <w:color w:val="auto"/>
        </w:rPr>
        <w:t>“Determining Whether Instruments Granted in Share-Based Payment Transactions 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Participating Securities,” </w:t>
      </w:r>
      <w:r>
        <w:rPr>
          <w:rFonts w:ascii="Arial" w:cs="Arial" w:eastAsia="Arial" w:hAnsi="Arial"/>
          <w:sz w:val="18"/>
          <w:szCs w:val="18"/>
          <w:color w:val="auto"/>
        </w:rPr>
        <w:t>(ASC 260-10). This guidance provides that unvested share-based payment awards that contain non-forfeitable rights to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dividend equivalents (whether paid or unpaid) are participating securities and shall be included in the computation of earnings per share pursuant to the two-class method as described in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(“FAS 128”). This guidance is effective for financial statements issued for fiscal years beginning on or after December 15, 2008 and the Company adopted this guidance effective January 1, 2009 and has applied it to all periods presented.</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2009, the FASB issued Statement of Financial Accounting Standards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(ASC 855). This guidance is intended to establish general standards of accounting for and disclosures of events that occur after the balance sheet date but before the financial statements are issued or are available to be issued. This guidance requires disclosure of the date through which an entity has evaluated subsequent events and the basis for selecting this date, that is, whether this date represents the date the financial statements were issued or were available to be issued. The Company adopted this guidance effective April 1, 2009.</w:t>
      </w:r>
    </w:p>
    <w:p>
      <w:pPr>
        <w:sectPr>
          <w:pgSz w:w="11900" w:h="16838" w:orient="portrait"/>
          <w:cols w:equalWidth="0" w:num="1">
            <w:col w:w="11420"/>
          </w:cols>
          <w:pgMar w:left="240" w:top="125" w:right="239" w:bottom="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 xml:space="preserve">In June 2009, the FASB issued Statement of Financial Accounting Standards No.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xml:space="preserve"> (ASC 810) (“FAS 167”), which amends guidance for determining whether an entity is a variable interest entity, or VIE, and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This guidance is effective for the first annual reporting period that begins after November 15, 2009, with early adoption prohibited. The Company is currently evaluating the effect of the adoption of this guidance on its financial statements.</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On June 30, 2009, the FASB issued Statement No. 168, </w:t>
      </w:r>
      <w:r>
        <w:rPr>
          <w:rFonts w:ascii="Arial" w:cs="Arial" w:eastAsia="Arial" w:hAnsi="Arial"/>
          <w:sz w:val="18"/>
          <w:szCs w:val="18"/>
          <w:i w:val="1"/>
          <w:iCs w:val="1"/>
          <w:color w:val="auto"/>
        </w:rPr>
        <w:t>“The FASB Accounting Standards Codification and the Hierarchy of Generally Accepted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Principles — a replacement of FASB Statement No. 162” (</w:t>
      </w:r>
      <w:r>
        <w:rPr>
          <w:rFonts w:ascii="Arial" w:cs="Arial" w:eastAsia="Arial" w:hAnsi="Arial"/>
          <w:sz w:val="18"/>
          <w:szCs w:val="18"/>
          <w:color w:val="auto"/>
        </w:rPr>
        <w:t>ASC 105-10-05</w:t>
      </w:r>
      <w:r>
        <w:rPr>
          <w:rFonts w:ascii="Arial" w:cs="Arial" w:eastAsia="Arial" w:hAnsi="Arial"/>
          <w:sz w:val="18"/>
          <w:szCs w:val="18"/>
          <w:i w:val="1"/>
          <w:iCs w:val="1"/>
          <w:color w:val="auto"/>
        </w:rPr>
        <w:t xml:space="preserve">). </w:t>
      </w:r>
      <w:r>
        <w:rPr>
          <w:rFonts w:ascii="Arial" w:cs="Arial" w:eastAsia="Arial" w:hAnsi="Arial"/>
          <w:sz w:val="18"/>
          <w:szCs w:val="18"/>
          <w:color w:val="auto"/>
        </w:rPr>
        <w:t>The standard establishes the FASB Codification (the “Codification”)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source of authoritative accounting principles recognized by the FASB to be applied by nongovernmental entities in the preparation of financial statements in conformity with GAAP. The Codification is effective for financial statements issued for interim and annual periods ending after September 15, 2009. The Company adopted the Codification effective September 30, 2009 and has included the references to the Codification, as appropriate, in these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0" w:type="dxa"/>
            <w:vAlign w:val="bottom"/>
            <w:gridSpan w:val="9"/>
          </w:tcPr>
          <w:p>
            <w:pPr>
              <w:ind w:left="11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Borders>
              <w:top w:val="single" w:sz="8" w:color="auto"/>
            </w:tcBorders>
          </w:tcPr>
          <w:p>
            <w:pPr>
              <w:jc w:val="center"/>
              <w:ind w:left="108"/>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September 30, 2009</w:t>
            </w:r>
          </w:p>
        </w:tc>
        <w:tc>
          <w:tcPr>
            <w:tcW w:w="17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2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Identical Assets (Level 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Swap Agreement 1</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1720" w:type="dxa"/>
            <w:vAlign w:val="bottom"/>
            <w:shd w:val="clear" w:color="auto" w:fill="CCEEFF"/>
          </w:tcPr>
          <w:p>
            <w:pPr>
              <w:jc w:val="right"/>
              <w:ind w:right="156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liabilities - Swap Agreement 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17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Swap Agreement 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720" w:type="dxa"/>
            <w:vAlign w:val="bottom"/>
            <w:tcBorders>
              <w:top w:val="single" w:sz="8" w:color="auto"/>
              <w:bottom w:val="single" w:sz="8" w:color="auto"/>
            </w:tcBorders>
          </w:tcPr>
          <w:p>
            <w:pPr>
              <w:jc w:val="right"/>
              <w:ind w:right="156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(Level 3) for the three and nine months ended September 30,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Long-lived assets held for use are evaluated for impairment when events or circumstances indicate there may be impairment. When such an event occurs, the Company compares the carrying value of these long-lived assets to the undiscounted future net operating cash flows attributable to the assets using significant unobservable inputs. An impairment loss is recorded if the net carrying value of the assets exceeds the undiscounted future net operating cash flows attributable to the asset. The impairment loss recognized equals the excess of net carrying value over the related fair value of the asset.</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When real estate assets are identified as held for sale, the Company discontinues depreciating the assets and estimates the fair value of the assets, net of selling costs, using significant unobservable inputs. If the estimated fair value, net of selling costs, of the assets that have been identified as held for sale is less than the net carrying value of the assets, then a valuation allowance is established. The operations of assets held for sale or sold during the period are generally presented as discontinued operations for all periods presented.</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when events or circumstances indicate there may be an impairment. An investment is impaired if the Company’s estimate of the fair value of the investment is less than its carrying value using significant unobservable inputs. To the extent impairment has occurred, and is considered to be other-than-temporary, the loss is measured as the excess of the carrying amount over the fair value of the investment.</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connection with the Company’s acquisition of properties, the assets are valued as tangible and intangible assets and liabilities acquired based on their fair values using significant unobservable inputs. The value of the tangible assets, consisting of land and buildings, are determined as if vacant, that is, at replacement cost. Intangible assets, which represent the value of existing tenant relationships, are recorded at their fair values based on the avoided cost to replace the current leases. The Company measures the value of tenant relationships based on the Company’s historical experience with turnover in its facilities. Debt assumed as part of an acquisition is recorded at fair value based on current interest rates compared to contractual rates.</w:t>
      </w:r>
    </w:p>
    <w:p>
      <w:pPr>
        <w:spacing w:after="0" w:line="15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June 2, 2009, the Company announced the wind-down of its development activities. As a result of this change, the Company reviewed its properties under construction, unimproved land and its investments in development joint ventures for potential impairments. This review included the preparation of updated models based on current market conditions, obtaining appraisals and reviewing recent sales and list prices of undeveloped land and mature self storage facilities. Based on this review, the Company identified certain assets as being impaired. The impairments relating to long lived assets where the Company intends to complete the development and hold the asset are the result of the estimated future undiscounted cash flows being less than the current carrying value of the assets. The Company compared the carrying value of certain undeveloped land and seven condominiums that the Company intends to sell to the fair market value of similar undeveloped land and condominiums. For the assets that the Company intends to sell, where the current estimated fair market value less costs to sell was below the carrying value, the Company reduced the asset to the current fair market value less selling costs and recorded an impairment charge. The impairments relating to investments in development joint ventures are the result of the Company comparing the estimated current fair market value to the carrying value of the investment. For those investments in development joint ventures where the current estimated fair market value was below the carrying value, the Company reduced the investment to the current fair market value through an impairment charge.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for each major category of assets and liabilities that are measured at fair value on a non-recurring basis:</w:t>
      </w:r>
    </w:p>
    <w:p>
      <w:pPr>
        <w:sectPr>
          <w:pgSz w:w="11900" w:h="16838" w:orient="portrait"/>
          <w:cols w:equalWidth="0" w:num="1">
            <w:col w:w="11460"/>
          </w:cols>
          <w:pgMar w:left="240" w:top="125" w:right="199" w:bottom="0" w:gutter="0" w:footer="0" w:header="0"/>
        </w:sectPr>
      </w:pPr>
    </w:p>
    <w:p>
      <w:pPr>
        <w:spacing w:after="0" w:line="228" w:lineRule="exact"/>
        <w:rPr>
          <w:sz w:val="20"/>
          <w:szCs w:val="20"/>
          <w:color w:val="auto"/>
        </w:rPr>
      </w:pPr>
    </w:p>
    <w:p>
      <w:pPr>
        <w:ind w:left="5980"/>
        <w:spacing w:after="0"/>
        <w:rPr>
          <w:sz w:val="20"/>
          <w:szCs w:val="20"/>
          <w:color w:val="auto"/>
        </w:rPr>
      </w:pPr>
      <w:r>
        <w:rPr>
          <w:rFonts w:ascii="Arial" w:cs="Arial" w:eastAsia="Arial" w:hAnsi="Arial"/>
          <w:sz w:val="13"/>
          <w:szCs w:val="13"/>
          <w:b w:val="1"/>
          <w:bCs w:val="1"/>
          <w:color w:val="auto"/>
        </w:rPr>
        <w:t>Fair Value Measurements at 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13970</wp:posOffset>
            </wp:positionV>
            <wp:extent cx="4793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September 30, 2009</w:t>
            </w:r>
          </w:p>
        </w:tc>
        <w:tc>
          <w:tcPr>
            <w:tcW w:w="100" w:type="dxa"/>
            <w:vAlign w:val="bottom"/>
          </w:tcPr>
          <w:p>
            <w:pPr>
              <w:spacing w:after="0"/>
              <w:rPr>
                <w:sz w:val="14"/>
                <w:szCs w:val="14"/>
                <w:color w:val="auto"/>
              </w:rPr>
            </w:pP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left="96"/>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Total Gains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Identical Assets (Level 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left="116"/>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Long-lived assets held and</w:t>
            </w:r>
          </w:p>
        </w:tc>
        <w:tc>
          <w:tcPr>
            <w:tcW w:w="1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used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12,392</w:t>
            </w:r>
          </w:p>
        </w:tc>
        <w:tc>
          <w:tcPr>
            <w:tcW w:w="1960" w:type="dxa"/>
            <w:vAlign w:val="bottom"/>
            <w:gridSpan w:val="2"/>
            <w:shd w:val="clear" w:color="auto" w:fill="CCEEFF"/>
          </w:tcPr>
          <w:p>
            <w:pPr>
              <w:jc w:val="right"/>
              <w:ind w:right="170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196"/>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12,392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(6,862)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Investments in real estate</w:t>
            </w: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ventures</w:t>
            </w:r>
          </w:p>
        </w:tc>
        <w:tc>
          <w:tcPr>
            <w:tcW w:w="16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9,934</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4"/>
                <w:szCs w:val="14"/>
                <w:color w:val="auto"/>
              </w:rPr>
              <w:t>9,934</w:t>
            </w:r>
          </w:p>
        </w:tc>
        <w:tc>
          <w:tcPr>
            <w:tcW w:w="160" w:type="dxa"/>
            <w:vAlign w:val="bottom"/>
          </w:tcPr>
          <w:p>
            <w:pPr>
              <w:spacing w:after="0"/>
              <w:rPr>
                <w:sz w:val="14"/>
                <w:szCs w:val="14"/>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Real estate assets held for</w:t>
            </w:r>
          </w:p>
        </w:tc>
        <w:tc>
          <w:tcPr>
            <w:tcW w:w="1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sale included in net real</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estate assets</w:t>
            </w:r>
          </w:p>
        </w:tc>
        <w:tc>
          <w:tcPr>
            <w:tcW w:w="1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11,275</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11,275</w:t>
            </w:r>
          </w:p>
        </w:tc>
        <w:tc>
          <w:tcPr>
            <w:tcW w:w="16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(9,085)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top w:val="single" w:sz="8" w:color="auto"/>
            </w:tcBorders>
          </w:tcPr>
          <w:p>
            <w:pPr>
              <w:jc w:val="right"/>
              <w:ind w:right="17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320" w:type="dxa"/>
            <w:vAlign w:val="bottom"/>
            <w:tcBorders>
              <w:top w:val="single" w:sz="8" w:color="auto"/>
            </w:tcBorders>
          </w:tcPr>
          <w:p>
            <w:pPr>
              <w:jc w:val="right"/>
              <w:ind w:right="1196"/>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33,601</w:t>
            </w:r>
          </w:p>
        </w:tc>
        <w:tc>
          <w:tcPr>
            <w:tcW w:w="18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(18,883</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Basic earnings per common share is computed by dividing net income attributable to common stockholders by the weighted average number of common shares outstanding. Diluted earnings per common share measures the performance of the Company over the reporting period while giving effect to all potential common shares that were dilutive and outstanding during the period. The denominator includes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or reduce earnings per share, are included.</w:t>
      </w:r>
    </w:p>
    <w:p>
      <w:pPr>
        <w:spacing w:after="0" w:line="1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Operating Partnership has $95,163 principal amount of exchangeable senior notes issued and outstanding as of September 30, 2009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$23.48 per share at September 30, 2009, and could change over time as described in the indenture. The price of the Company’s common stock did not exceed 130% of the exchange price for the specified period of time during the third quarter of 2009; therefore holders of the exchangeable senior notes may not elect to convert them during the fourth quarter of 2009.</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 128 (ASC 260)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September 30, 2009 or 2008 because there was no excess over the accreted principal for the period.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16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 (ASC 260-10-45-46.)</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three months ended September 30, 2009 and 2008, options to purchase 4,458,370 and 1,356,592 shares of common stock and for the nine months ended September 30, 2009 and 2008, 5,237,237 and 903,180 shares of common stock, respectively, were excluded from the computation of earnings per share as their effect would have been anti-dilutive. All unreleased restricted stock grants have been included in basic and diluted shares outstanding as required by EITF 03-6-1 (ASC 260) because such shares earn a non-forfeitable dividend and carry voting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20" w:type="dxa"/>
            <w:vAlign w:val="bottom"/>
          </w:tcPr>
          <w:p>
            <w:pPr>
              <w:spacing w:after="0"/>
              <w:rPr>
                <w:sz w:val="14"/>
                <w:szCs w:val="14"/>
                <w:color w:val="auto"/>
              </w:rPr>
            </w:pPr>
          </w:p>
        </w:tc>
        <w:tc>
          <w:tcPr>
            <w:tcW w:w="31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ind w:left="160"/>
              <w:spacing w:after="0" w:line="201" w:lineRule="exact"/>
              <w:rPr>
                <w:sz w:val="20"/>
                <w:szCs w:val="20"/>
                <w:color w:val="auto"/>
              </w:rPr>
            </w:pPr>
            <w:r>
              <w:rPr>
                <w:rFonts w:ascii="Arial" w:cs="Arial" w:eastAsia="Arial" w:hAnsi="Arial"/>
                <w:sz w:val="18"/>
                <w:szCs w:val="18"/>
                <w:color w:val="auto"/>
              </w:rPr>
              <w:t>Add: Income allocated to noncontrolling interest -</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Preferred Operating Partnership and Operating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Partnership</w:t>
            </w:r>
          </w:p>
        </w:tc>
        <w:tc>
          <w:tcPr>
            <w:tcW w:w="2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1,777</w:t>
            </w:r>
          </w:p>
        </w:tc>
        <w:tc>
          <w:tcPr>
            <w:tcW w:w="3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2,118</w:t>
            </w:r>
          </w:p>
        </w:tc>
        <w:tc>
          <w:tcPr>
            <w:tcW w:w="2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Subtract: Fixed component of income allocated to</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 - Preferred Operating</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Partnership</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w:t>
            </w:r>
          </w:p>
        </w:tc>
        <w:tc>
          <w:tcPr>
            <w:tcW w:w="3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(4,313)</w:t>
            </w: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50"/>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for diluted computations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2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10,596</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2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Average number of common shares outstanding - basic</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86,437,877</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82,184,631</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86,260,442</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Operating Partnership units</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3,917,941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4,109,034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3,917,941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4,109,034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Operating Partnership units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989,980</w:t>
            </w:r>
          </w:p>
        </w:tc>
        <w:tc>
          <w:tcPr>
            <w:tcW w:w="5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989,980</w:t>
            </w:r>
          </w:p>
        </w:tc>
        <w:tc>
          <w:tcPr>
            <w:tcW w:w="4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Dilutive and cancelled stock options and CCS/CCU</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conversions</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203,186</w:t>
            </w:r>
          </w:p>
        </w:tc>
        <w:tc>
          <w:tcPr>
            <w:tcW w:w="5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427,018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5"/>
          </w:tcPr>
          <w:p>
            <w:pPr>
              <w:jc w:val="right"/>
              <w:ind w:right="220"/>
              <w:spacing w:after="0"/>
              <w:rPr>
                <w:sz w:val="20"/>
                <w:szCs w:val="20"/>
                <w:color w:val="auto"/>
              </w:rPr>
            </w:pPr>
            <w:r>
              <w:rPr>
                <w:rFonts w:ascii="Arial" w:cs="Arial" w:eastAsia="Arial" w:hAnsi="Arial"/>
                <w:sz w:val="18"/>
                <w:szCs w:val="18"/>
                <w:color w:val="auto"/>
              </w:rPr>
              <w:t>153,140</w:t>
            </w:r>
          </w:p>
        </w:tc>
        <w:tc>
          <w:tcPr>
            <w:tcW w:w="4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458,522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Borders>
              <w:top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Average number of common shares outstanding -</w:t>
            </w: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91,548,984</w:t>
            </w:r>
          </w:p>
        </w:tc>
        <w:tc>
          <w:tcPr>
            <w:tcW w:w="5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87,710,663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91,321,503</w:t>
            </w:r>
          </w:p>
        </w:tc>
        <w:tc>
          <w:tcPr>
            <w:tcW w:w="4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79,673,881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0.30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5"/>
              </w:rPr>
              <w:t>0.30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4.  REAL ESTATE ASSETS</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gridSpan w:val="5"/>
          </w:tcPr>
          <w:p>
            <w:pPr>
              <w:spacing w:after="0"/>
              <w:rPr>
                <w:sz w:val="20"/>
                <w:szCs w:val="20"/>
                <w:color w:val="auto"/>
              </w:rPr>
            </w:pPr>
            <w:r>
              <w:rPr>
                <w:rFonts w:ascii="Arial" w:cs="Arial" w:eastAsia="Arial" w:hAnsi="Arial"/>
                <w:sz w:val="18"/>
                <w:szCs w:val="18"/>
                <w:color w:val="auto"/>
                <w:w w:val="95"/>
              </w:rPr>
              <w:t>The components of real estate assets are summarized as follows: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September 30, 2009</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490,693</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Land - development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41,658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1,638,817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1,555,598</w:t>
            </w: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Intangible assets - tenant relationships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33,355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2,210,673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2,121,257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(220,998)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Net operating real estate assets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1,989,675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1,938,922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52,942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real estate assets</w:t>
            </w: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2,042,617</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1,997,656</w:t>
            </w:r>
          </w:p>
        </w:tc>
        <w:tc>
          <w:tcPr>
            <w:tcW w:w="120" w:type="dxa"/>
            <w:vAlign w:val="bottom"/>
            <w:tcBorders>
              <w:bottom w:val="single" w:sz="8" w:color="CCEE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w w:val="90"/>
              </w:rPr>
              <w:t>Real estate assets held for sale included in net real estate assets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11,275</w:t>
            </w:r>
          </w:p>
        </w:tc>
        <w:tc>
          <w:tcPr>
            <w:tcW w:w="2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8"/>
            <w:vMerge w:val="restart"/>
          </w:tcPr>
          <w:p>
            <w:pPr>
              <w:spacing w:after="0"/>
              <w:rPr>
                <w:sz w:val="20"/>
                <w:szCs w:val="20"/>
                <w:color w:val="auto"/>
              </w:rPr>
            </w:pPr>
            <w:r>
              <w:rPr>
                <w:rFonts w:ascii="Arial" w:cs="Arial" w:eastAsia="Arial" w:hAnsi="Arial"/>
                <w:sz w:val="18"/>
                <w:szCs w:val="18"/>
                <w:color w:val="auto"/>
                <w:w w:val="91"/>
              </w:rPr>
              <w:t>Real estate assets held for sale include five parcels of vacant land and seven condominiums.</w:t>
            </w: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8"/>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10, 2009, the Company sold vacant land in Los Angeles, California for cash of $4,652. A loss of $343 was recorded as a result of this sale, and is included in unrecovered development and acquisition costs in the condensed consolidated statement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shows the Company’s acquisitions of operating properties for the nine months ended September 30, 2009, and does not include purchases of raw land or improvements made to existing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1"/>
              </w:rPr>
              <w:t>Consideration Paid</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1"/>
              </w:rPr>
              <w:t>Acquisition Date Fair Value</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58"/>
              <w:spacing w:after="0" w:line="110" w:lineRule="exact"/>
              <w:rPr>
                <w:sz w:val="20"/>
                <w:szCs w:val="20"/>
                <w:color w:val="auto"/>
              </w:rPr>
            </w:pPr>
            <w:r>
              <w:rPr>
                <w:rFonts w:ascii="Arial" w:cs="Arial" w:eastAsia="Arial" w:hAnsi="Arial"/>
                <w:sz w:val="12"/>
                <w:szCs w:val="12"/>
                <w:b w:val="1"/>
                <w:bCs w:val="1"/>
                <w:color w:val="auto"/>
                <w:w w:val="92"/>
              </w:rPr>
              <w:t>Net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Liabilities/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Closing</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53"/>
              <w:spacing w:after="0" w:line="135" w:lineRule="exact"/>
              <w:rPr>
                <w:sz w:val="20"/>
                <w:szCs w:val="20"/>
                <w:color w:val="auto"/>
              </w:rPr>
            </w:pPr>
            <w:r>
              <w:rPr>
                <w:rFonts w:ascii="Arial" w:cs="Arial" w:eastAsia="Arial" w:hAnsi="Arial"/>
                <w:sz w:val="13"/>
                <w:szCs w:val="13"/>
                <w:b w:val="1"/>
                <w:bCs w:val="1"/>
                <w:color w:val="auto"/>
                <w:w w:val="90"/>
              </w:rPr>
              <w:t>Date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(Assets)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6"/>
              </w:rPr>
              <w:t>costs -</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Property Location</w:t>
            </w: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w w:val="93"/>
              </w:rPr>
              <w:t>Properties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153"/>
              <w:spacing w:after="0"/>
              <w:rPr>
                <w:sz w:val="20"/>
                <w:szCs w:val="20"/>
                <w:color w:val="auto"/>
              </w:rPr>
            </w:pPr>
            <w:r>
              <w:rPr>
                <w:rFonts w:ascii="Arial" w:cs="Arial" w:eastAsia="Arial" w:hAnsi="Arial"/>
                <w:sz w:val="13"/>
                <w:szCs w:val="13"/>
                <w:b w:val="1"/>
                <w:bCs w:val="1"/>
                <w:color w:val="auto"/>
                <w:w w:val="84"/>
              </w:rPr>
              <w:t>Acquisition</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0"/>
              </w:rPr>
              <w:t>Total Paid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Paid</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Assumed</w:t>
            </w:r>
          </w:p>
        </w:tc>
        <w:tc>
          <w:tcPr>
            <w:tcW w:w="680" w:type="dxa"/>
            <w:vAlign w:val="bottom"/>
            <w:gridSpan w:val="2"/>
          </w:tcPr>
          <w:p>
            <w:pPr>
              <w:ind w:left="140"/>
              <w:spacing w:after="0"/>
              <w:rPr>
                <w:sz w:val="20"/>
                <w:szCs w:val="20"/>
                <w:color w:val="auto"/>
              </w:rPr>
            </w:pPr>
            <w:r>
              <w:rPr>
                <w:rFonts w:ascii="Arial" w:cs="Arial" w:eastAsia="Arial" w:hAnsi="Arial"/>
                <w:sz w:val="13"/>
                <w:szCs w:val="13"/>
                <w:b w:val="1"/>
                <w:bCs w:val="1"/>
                <w:color w:val="auto"/>
              </w:rPr>
              <w:t>Land</w:t>
            </w: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Building</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Intangible</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9"/>
              </w:rPr>
              <w:t>expensed</w:t>
            </w: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w w:val="99"/>
              </w:rPr>
              <w:t>Source of Acquisition</w:t>
            </w:r>
          </w:p>
        </w:tc>
      </w:tr>
      <w:tr>
        <w:trPr>
          <w:trHeight w:val="129"/>
        </w:trPr>
        <w:tc>
          <w:tcPr>
            <w:tcW w:w="1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Virginia</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1/23/2009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7,438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2,076</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5,175</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w w:val="86"/>
              </w:rPr>
              <w:t>Unrelated franchisee</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FAS 141(R) (ASC 805), the Company treats property acquisitions as businesses and records the assets and the liabilities at their fair values as of the acquisition date. Acquisition-related transaction costs are expensed as incurred.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Excess Profit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6"/>
          </w:tcPr>
          <w:p>
            <w:pPr>
              <w:ind w:left="92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Ownership %</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Participation %</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September 30, 2009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4,778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2,464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Clarendon Storage Associates Limited Partnership</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(“Clarendon”)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11,966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3,886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5,046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25-45%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15,175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9"/>
              </w:rPr>
              <w:t>U-Storage de Mexico S.A. and related entities (“U-Storage”)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3,056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0" w:name="page11"/>
    <w:bookmarkEnd w:id="10"/>
    <w:p>
      <w:pPr>
        <w:ind w:right="10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116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98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(losses) of ESSM</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Clarendon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of PRISA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of PRISA III</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VRS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of WCOT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 I</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of SPB II</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U-Storage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6"/>
              </w:rPr>
              <w:t>Equity in earnings (losses) of other minority owned properties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417</w:t>
            </w:r>
          </w:p>
        </w:tc>
        <w:tc>
          <w:tcPr>
            <w:tcW w:w="9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Equity in earnings (losses) of ESW II, SP I and SPB II include the amortization of the Company’s excess purchase price of $25,713 of these equity investments over its original basis. The excess basis is amortized over 40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Unconsolidated Real Estate Joint Ventures: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an interest in one unconsolidated joint venture with unrelated third parties (“Eastern Avenue”) which is a variable interest entity (“VIEs”). The Company holds a 10% equity interest in Eastern Avenue, but has 50% of the voting rights. The Company also is the guarantor of the construction loan of Eastern Avenue. Qualification as a VIE was based on the disproportionate voting and ownership percentages. The Company performed a probability-based cash flow analysis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joint venture to determine which party was the primary beneficiary of the VIE. This analysis was performed using the Company’s best estimates of the future cash flows based on its historical experience with numerous similar assets. As a result of this analysis, the Company determined that it was not the primary beneficiary of Eastern Avenue as the Company does not receive a majority of the joint venture’s expected residual returns or bear a majority of the expected losses. Accordingly, this interest is recorded using the equity method.</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Eastern Avenue owns a single pre-stabilized self-storage property. The joint venture is financed through a combination of (1) equity contributions from the Company and its joint venture partner, (2) mortgage notes payable and (3) payables to the Company for working capital. The payables to the Company are generally amounts owed for expenses paid on behalf of the joint venture by the Company as manager. The Company performs management services for the Eastern Avenue joint venture in exchange for a management fee of approximately 6% of cash collected by the property. The Company’s joint venture partner can replace the Company as manager of the property upon written notice. The Company has not provided financial or other support during the periods presented to Eastern Avenue that it was not previously contractually obligated to provide.</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September 30, 2009, there was no amount for Eastern Avenue included in Investments in Real Estate on the Company’s consolidated balance sheet. No liability was recorded associated with the Company’s guarantee of the construction loan of Eastern Avenue. The Company’s maximum exposure to loss for this joint venture as of September 30, 2009 is the total of the guaranteed loan balance, the payables due to the Company and the Company’s investment balances in the joint venture. The Company believes that the risk of incurring a loss as a result of having to perform on the guarantee is remote and therefore no liability has been recorded. Also, repossessing and/or selling the self-storage facility and land that collateralize the loan could provide funds sufficient to reimburse the Company. Additionally, the Company believes the payables to the Company are collectible. The following table compares the liability balance and the maximum exposure to loss related to Eastern Avenue as of September 30, 2009: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Liability</w:t>
            </w:r>
          </w:p>
        </w:tc>
        <w:tc>
          <w:tcPr>
            <w:tcW w:w="1380" w:type="dxa"/>
            <w:vAlign w:val="bottom"/>
            <w:gridSpan w:val="3"/>
            <w:vMerge w:val="restart"/>
          </w:tcPr>
          <w:p>
            <w:pPr>
              <w:jc w:val="center"/>
              <w:ind w:right="450"/>
              <w:spacing w:after="0"/>
              <w:rPr>
                <w:sz w:val="20"/>
                <w:szCs w:val="20"/>
                <w:color w:val="auto"/>
              </w:rPr>
            </w:pPr>
            <w:r>
              <w:rPr>
                <w:rFonts w:ascii="Arial" w:cs="Arial" w:eastAsia="Arial" w:hAnsi="Arial"/>
                <w:sz w:val="14"/>
                <w:szCs w:val="14"/>
                <w:b w:val="1"/>
                <w:bCs w:val="1"/>
                <w:color w:val="auto"/>
                <w:w w:val="91"/>
              </w:rPr>
              <w:t>Investment</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Balance of</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Payables to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Guaranteed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exposure</w:t>
            </w:r>
          </w:p>
        </w:tc>
        <w:tc>
          <w:tcPr>
            <w:tcW w:w="1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Balance</w:t>
            </w:r>
          </w:p>
        </w:tc>
        <w:tc>
          <w:tcPr>
            <w:tcW w:w="138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1"/>
              </w:rPr>
              <w:t>balance</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loan</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to loss</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Eastern Avenue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Consolidated Real Estate Joint Ventures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has variable interests in five consolidated joint ventures with third parties (the “VIE JVs”) which are VIEs. The VIE JVs are financed through a combination of (1) 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owns 10% to 72% of the common equity interests in the VIE JVs. The Company performed probability-based cash flow projections for each venture using the Company’s best estimates of future revenues and expenses based on historical experience with numerous similar assets. According to these analyses, the joint ventures were determined to be VIEs based on an assessment that the equity financing was inadequate to support operations. The Company was also determined to be the primary beneficiary of each of the VIE JVs, as it receives the majority of the benefits and/or bears the majority of the expected losses of each as a result of its ownership and the management agreements. Therefore, each of the VIE JVs are consolidated with the assets and liabilities of each joint venture included in the Company’s consolidated financial statements, with intercompany balances and transactions eliminated.</w:t>
      </w:r>
    </w:p>
    <w:p>
      <w:pPr>
        <w:sectPr>
          <w:pgSz w:w="11900" w:h="16838"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July 2009, the Company purchased a lender’s interest in a note payable to a joint venture that owns a single property located in Chicago, IL. The note was to Extra Space of Montrose, a joint venture in which the Company owns a 10% interest, and was guaranteed by the Company. This joint venture was considered a nonconsolidated VIE as of June 30, 2009. The Company considers the purchase of this loan to be a reconsideration event and has determined that the Company now bears the majority of the risk of loss for the joint venture. As a result of this loan purchase by the Company, the joint venture is now a consolidated VIE JV. The assets and liabilities were recorded at fair value as required by FAS 141(R) (ASC 805).</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2009, the Company purchased a lender’s interest in a construction loan to a joint venture that owns a single property located in Sacramento, CA. The construction loan was to ESS of Sacramento One LLC, a joint venture in which the Company owns a 50% interest, and was guaranteed by the Company. This joint venture was not consolidated and was not considered a VIE JV as of December 31, 2008. The Company considers the purchase of this loan to be a reconsideration event and now considers ESS of Sacramento One LLC to be a VIE JV and has determined that the Company now bears the majority of the risk of loss of the joint venture. As a result of this loan purchase by the Company, the joint venture is now consolidated. The assets and liabilities were recorded at fair value as required by FAS 141(R) (ASC 805).</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performs development services for ESS of Plantation LLC in exchange for a development fee of 1% of budgeted costs, respectively. The Company performs management services for Extra Space of Montrose Avenue LLC, ESS of Sacramento One LLC, ES of Washington Avenue LLC and ES of Franklin Blvd. LLC in exchange for a management fee of approximately 6% of cash collected by the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illustrates the financing of each of the VIE JVs as well as the carrying amounts of the related assets and liabilities as of September 30,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1"/>
              </w:rPr>
              <w:t>Payables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75"/>
              </w:rPr>
              <w:t>Excess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Payables</w:t>
            </w:r>
          </w:p>
        </w:tc>
        <w:tc>
          <w:tcPr>
            <w:tcW w:w="8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and</w:t>
            </w:r>
          </w:p>
        </w:tc>
        <w:tc>
          <w:tcPr>
            <w:tcW w:w="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Company’s</w:t>
            </w:r>
          </w:p>
        </w:tc>
        <w:tc>
          <w:tcPr>
            <w:tcW w:w="8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JV Partners’</w:t>
            </w: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Joint</w:t>
            </w: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11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Profit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to Company</w:t>
            </w:r>
          </w:p>
        </w:tc>
        <w:tc>
          <w:tcPr>
            <w:tcW w:w="8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Equity (non-</w:t>
            </w:r>
          </w:p>
        </w:tc>
      </w:tr>
      <w:tr>
        <w:trPr>
          <w:trHeight w:val="153"/>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Venture</w:t>
            </w:r>
          </w:p>
        </w:tc>
        <w:tc>
          <w:tcPr>
            <w:tcW w:w="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Ownership %</w:t>
            </w:r>
          </w:p>
        </w:tc>
        <w:tc>
          <w:tcPr>
            <w:tcW w:w="2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Participation%</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5"/>
              </w:rPr>
              <w:t>Total Assets</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Notes Payable</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(eliminated)</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Liabilities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(eliminated)</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controlling interest)</w:t>
            </w:r>
          </w:p>
        </w:tc>
        <w:tc>
          <w:tcPr>
            <w:tcW w:w="100" w:type="dxa"/>
            <w:vAlign w:val="bottom"/>
            <w:tcBorders>
              <w:bottom w:val="single" w:sz="8" w:color="CCEEFF"/>
            </w:tcBorders>
            <w:gridSpan w:val="2"/>
          </w:tcPr>
          <w:p>
            <w:pPr>
              <w:spacing w:after="0"/>
              <w:rPr>
                <w:sz w:val="13"/>
                <w:szCs w:val="13"/>
                <w:color w:val="auto"/>
              </w:rPr>
            </w:pPr>
          </w:p>
        </w:tc>
      </w:tr>
      <w:tr>
        <w:trPr>
          <w:trHeight w:val="129"/>
        </w:trPr>
        <w:tc>
          <w:tcPr>
            <w:tcW w:w="2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0"/>
              </w:rPr>
              <w:t>Extra Space of Montrose Avenue LLC</w:t>
            </w: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10%</w:t>
            </w:r>
          </w:p>
        </w:tc>
        <w:tc>
          <w:tcPr>
            <w:tcW w:w="11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8,535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8,593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(289)</w:t>
            </w:r>
          </w:p>
        </w:tc>
        <w:tc>
          <w:tcPr>
            <w:tcW w:w="100" w:type="dxa"/>
            <w:vAlign w:val="bottom"/>
            <w:gridSpan w:val="2"/>
            <w:shd w:val="clear" w:color="auto" w:fill="CCEEFF"/>
          </w:tcPr>
          <w:p>
            <w:pPr>
              <w:spacing w:after="0"/>
              <w:rPr>
                <w:sz w:val="11"/>
                <w:szCs w:val="1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ESS of Sacramento One LLC</w:t>
            </w: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10,278</w:t>
            </w: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5,072</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5,174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w:t>
            </w:r>
          </w:p>
        </w:tc>
        <w:tc>
          <w:tcPr>
            <w:tcW w:w="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(570)</w:t>
            </w:r>
          </w:p>
        </w:tc>
        <w:tc>
          <w:tcPr>
            <w:tcW w:w="80" w:type="dxa"/>
            <w:vAlign w:val="bottom"/>
          </w:tcPr>
          <w:p>
            <w:pPr>
              <w:spacing w:after="0"/>
              <w:rPr>
                <w:sz w:val="11"/>
                <w:szCs w:val="11"/>
                <w:color w:val="auto"/>
              </w:rPr>
            </w:pP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530</w:t>
            </w:r>
          </w:p>
        </w:tc>
        <w:tc>
          <w:tcPr>
            <w:tcW w:w="80" w:type="dxa"/>
            <w:vAlign w:val="bottom"/>
          </w:tcPr>
          <w:p>
            <w:pPr>
              <w:spacing w:after="0"/>
              <w:rPr>
                <w:sz w:val="11"/>
                <w:szCs w:val="1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ES of Washington Avenue LLC</w:t>
            </w:r>
          </w:p>
        </w:tc>
        <w:tc>
          <w:tcPr>
            <w:tcW w:w="1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11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9,903</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5,049</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469</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1"/>
                <w:szCs w:val="1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ES of Franklin Blvd LLC</w:t>
            </w: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7,043</w:t>
            </w: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5,165</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2,012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106</w:t>
            </w:r>
          </w:p>
        </w:tc>
        <w:tc>
          <w:tcPr>
            <w:tcW w:w="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(120)</w:t>
            </w:r>
          </w:p>
        </w:tc>
        <w:tc>
          <w:tcPr>
            <w:tcW w:w="80" w:type="dxa"/>
            <w:vAlign w:val="bottom"/>
          </w:tcPr>
          <w:p>
            <w:pPr>
              <w:spacing w:after="0"/>
              <w:rPr>
                <w:sz w:val="11"/>
                <w:szCs w:val="11"/>
                <w:color w:val="auto"/>
              </w:rPr>
            </w:pPr>
          </w:p>
        </w:tc>
        <w:tc>
          <w:tcPr>
            <w:tcW w:w="12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(120)</w:t>
            </w: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ESS of Plantation LLC</w:t>
            </w:r>
          </w:p>
        </w:tc>
        <w:tc>
          <w:tcPr>
            <w:tcW w:w="1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w:t>
            </w:r>
          </w:p>
        </w:tc>
        <w:tc>
          <w:tcPr>
            <w:tcW w:w="11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2,096</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1,472</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1"/>
                <w:szCs w:val="11"/>
                <w:color w:val="auto"/>
              </w:rPr>
            </w:pPr>
          </w:p>
        </w:tc>
      </w:tr>
      <w:tr>
        <w:trPr>
          <w:trHeight w:val="129"/>
        </w:trPr>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37,855</w:t>
            </w: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15,286</w:t>
            </w: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18,745</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977</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1,449</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1,398</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Except as disclosed above, the Company has not provided financial or other support during the periods presented to these VIEs that it was not previously contractually obligated to provide. The Company has guaranteed the notes payable for these VIEs, with the exception of ESS Sacramento One LLC. The notes payable are secured by the related self-storage properties and are non-recourse. If the joint ventures default on the loans, the Company may be forced to repay its portion of the balance owed. However, repossessing and/or selling the self-storage facilities and land that collateralize the loans could provide funds sufficient to reimburse the Company, and the Company believes that the risk of incurring a loss as a result of having to perform on the guarantees is remote.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7.</w:t>
            </w:r>
          </w:p>
        </w:tc>
        <w:tc>
          <w:tcPr>
            <w:tcW w:w="6500" w:type="dxa"/>
            <w:vAlign w:val="bottom"/>
            <w:gridSpan w:val="6"/>
          </w:tcPr>
          <w:p>
            <w:pPr>
              <w:ind w:left="100"/>
              <w:spacing w:after="0"/>
              <w:rPr>
                <w:sz w:val="20"/>
                <w:szCs w:val="20"/>
                <w:color w:val="auto"/>
              </w:rPr>
            </w:pPr>
            <w:r>
              <w:rPr>
                <w:rFonts w:ascii="Arial" w:cs="Arial" w:eastAsia="Arial" w:hAnsi="Arial"/>
                <w:sz w:val="18"/>
                <w:szCs w:val="18"/>
                <w:b w:val="1"/>
                <w:bCs w:val="1"/>
                <w:color w:val="auto"/>
              </w:rPr>
              <w:t>OTHER ASSETS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gridSpan w:val="7"/>
          </w:tcPr>
          <w:p>
            <w:pPr>
              <w:spacing w:after="0"/>
              <w:rPr>
                <w:sz w:val="20"/>
                <w:szCs w:val="20"/>
                <w:color w:val="auto"/>
              </w:rPr>
            </w:pPr>
            <w:r>
              <w:rPr>
                <w:rFonts w:ascii="Arial" w:cs="Arial" w:eastAsia="Arial" w:hAnsi="Arial"/>
                <w:sz w:val="18"/>
                <w:szCs w:val="18"/>
                <w:color w:val="auto"/>
              </w:rPr>
              <w:t>The components of other assets are summarized as follows: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 2009</w:t>
            </w:r>
          </w:p>
        </w:tc>
        <w:tc>
          <w:tcPr>
            <w:tcW w:w="2720" w:type="dxa"/>
            <w:vAlign w:val="bottom"/>
            <w:gridSpan w:val="8"/>
          </w:tcPr>
          <w:p>
            <w:pPr>
              <w:ind w:left="28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11,481</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10,671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(8,634)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(7,309)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0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3,303</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rPr>
              <w:t>Deferred financing costs, net</w:t>
            </w:r>
          </w:p>
        </w:tc>
        <w:tc>
          <w:tcPr>
            <w:tcW w:w="10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14,433</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10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8,697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12,335</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11,120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rPr>
              <w:t>Investments in Trusts</w:t>
            </w:r>
          </w:p>
        </w:tc>
        <w:tc>
          <w:tcPr>
            <w:tcW w:w="10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3,590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2,520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47,725</w:t>
            </w:r>
          </w:p>
        </w:tc>
        <w:tc>
          <w:tcPr>
            <w:tcW w:w="2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42,576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500" w:type="dxa"/>
            <w:vAlign w:val="bottom"/>
            <w:gridSpan w:val="6"/>
            <w:vMerge w:val="restart"/>
          </w:tcPr>
          <w:p>
            <w:pPr>
              <w:jc w:val="right"/>
              <w:ind w:right="940"/>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6500" w:type="dxa"/>
            <w:vAlign w:val="bottom"/>
            <w:gridSpan w:val="6"/>
            <w:vMerge w:val="continue"/>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gridSpan w:val="2"/>
          </w:tcPr>
          <w:p>
            <w:pPr>
              <w:spacing w:after="0"/>
              <w:rPr>
                <w:sz w:val="11"/>
                <w:szCs w:val="11"/>
                <w:color w:val="auto"/>
              </w:rPr>
            </w:pPr>
          </w:p>
        </w:tc>
        <w:tc>
          <w:tcPr>
            <w:tcW w:w="8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74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6500" w:type="dxa"/>
            <w:vAlign w:val="bottom"/>
            <w:gridSpan w:val="6"/>
          </w:tcPr>
          <w:p>
            <w:pPr>
              <w:ind w:left="100"/>
              <w:spacing w:after="0"/>
              <w:rPr>
                <w:sz w:val="20"/>
                <w:szCs w:val="20"/>
                <w:color w:val="auto"/>
              </w:rPr>
            </w:pPr>
            <w:r>
              <w:rPr>
                <w:rFonts w:ascii="Arial" w:cs="Arial" w:eastAsia="Arial" w:hAnsi="Arial"/>
                <w:sz w:val="18"/>
                <w:szCs w:val="18"/>
                <w:b w:val="1"/>
                <w:bCs w:val="1"/>
                <w:color w:val="auto"/>
              </w:rPr>
              <w:t>NOTES PAYABLE</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7"/>
          </w:tcPr>
          <w:p>
            <w:pPr>
              <w:spacing w:after="0"/>
              <w:rPr>
                <w:sz w:val="20"/>
                <w:szCs w:val="20"/>
                <w:color w:val="auto"/>
              </w:rPr>
            </w:pPr>
            <w:r>
              <w:rPr>
                <w:rFonts w:ascii="Arial" w:cs="Arial" w:eastAsia="Arial" w:hAnsi="Arial"/>
                <w:sz w:val="18"/>
                <w:szCs w:val="18"/>
                <w:color w:val="auto"/>
              </w:rPr>
              <w:t>The components of notes payable are summarized as follows: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9"/>
              </w:rPr>
              <w:t>September 30, 2009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Rate</w:t>
            </w:r>
          </w:p>
        </w:tc>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Mortgage and construction loans with banks (inclulding loans subject to interest rate swaps) bearing</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interest at fixed rates between 4.24% and 7.30%. The loans are collateralized by mortgages on real</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estate assets and the assignment of rents. Principal and interest payments are made monthly with all</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outstanding principal and interest due between March 2010 and August 2019.</w:t>
            </w:r>
          </w:p>
        </w:tc>
        <w:tc>
          <w:tcPr>
            <w:tcW w:w="10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878,468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818,166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Variable Rate</w:t>
            </w:r>
          </w:p>
        </w:tc>
        <w:tc>
          <w:tcPr>
            <w:tcW w:w="53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Mortgage and construction loans with banks bearing floating interest rates (including loans subject to</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165,978</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125,432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reverse interest rate swaps) based on LIBOR and Prime. Interest rates based on LIBOR are between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LIBOR plus 1.45% (1.70% and 1.89% at September 30, 2009 and December 31, 2008 respectively)</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and LIBOR plus 4.0% (4.25% and 4.44% at September 30, 2009 and December 31, 2008,</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-2781935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-2781935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2" w:name="page13"/>
    <w:bookmarkEnd w:id="12"/>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respectively). Interest rates based on Prime are at Prime plus 1.50% (4.75% and 4.75%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548640"/>
                    </a:xfrm>
                    <a:prstGeom prst="rect">
                      <a:avLst/>
                    </a:prstGeom>
                    <a:noFill/>
                  </pic:spPr>
                </pic:pic>
              </a:graphicData>
            </a:graphic>
          </wp:anchor>
        </w:drawing>
      </w:r>
    </w:p>
    <w:p>
      <w:pPr>
        <w:spacing w:after="0" w:line="3" w:lineRule="exact"/>
        <w:rPr>
          <w:sz w:val="20"/>
          <w:szCs w:val="20"/>
          <w:color w:val="auto"/>
        </w:rPr>
      </w:pPr>
    </w:p>
    <w:p>
      <w:pPr>
        <w:ind w:left="340" w:right="3800"/>
        <w:spacing w:after="0" w:line="281" w:lineRule="auto"/>
        <w:rPr>
          <w:sz w:val="20"/>
          <w:szCs w:val="20"/>
          <w:color w:val="auto"/>
        </w:rPr>
      </w:pPr>
      <w:r>
        <w:rPr>
          <w:rFonts w:ascii="Arial" w:cs="Arial" w:eastAsia="Arial" w:hAnsi="Arial"/>
          <w:sz w:val="16"/>
          <w:szCs w:val="16"/>
          <w:color w:val="auto"/>
        </w:rPr>
        <w:t>September 30, 2009 and December 31, 2008, respectively). The loans are collateralized by mortgages on real estate assets and the assignment of rents. Principal and interest payments are made monthly with all outstanding principal and interest due between October 2009 and September 2014.</w:t>
      </w:r>
    </w:p>
    <w:p>
      <w:pPr>
        <w:spacing w:after="0" w:line="2" w:lineRule="exact"/>
        <w:rPr>
          <w:sz w:val="20"/>
          <w:szCs w:val="20"/>
          <w:color w:val="auto"/>
        </w:rPr>
      </w:pPr>
    </w:p>
    <w:p>
      <w:pPr>
        <w:ind w:left="8020"/>
        <w:spacing w:after="0"/>
        <w:tabs>
          <w:tab w:leader="none" w:pos="8740" w:val="left"/>
          <w:tab w:leader="none" w:pos="9740" w:val="left"/>
          <w:tab w:leader="none" w:pos="10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1,044,446</w:t>
        <w:tab/>
        <w:t>$</w:t>
      </w:r>
      <w:r>
        <w:rPr>
          <w:sz w:val="20"/>
          <w:szCs w:val="20"/>
          <w:color w:val="auto"/>
        </w:rPr>
        <w:tab/>
      </w:r>
      <w:r>
        <w:rPr>
          <w:rFonts w:ascii="Arial" w:cs="Arial" w:eastAsia="Arial" w:hAnsi="Arial"/>
          <w:sz w:val="16"/>
          <w:szCs w:val="16"/>
          <w:color w:val="auto"/>
        </w:rPr>
        <w:t>943,598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14605</wp:posOffset>
            </wp:positionV>
            <wp:extent cx="204089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890" cy="2603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-130810</wp:posOffset>
            </wp:positionV>
            <wp:extent cx="2040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Certain mortgage and construction loans with variable rate debt are subject to interest rate floors ranging from 5.0% to 6.5%.</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covenants at September 30, 2009.</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 xml:space="preserve">FASB Statement No. 133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(“FAS 133”)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exposed to certain risks relating to its ongoing business operations. The primary risk managed by using derivative instruments is interest rate risk. Interest rate swaps are entered into to manage interest rate risk associated with Company’s fixed and variable-rate borrowings. In accordance with FAS 133 (ASC 815) the Company designates certain interest rate swaps as cash flow hedges of variable-rate borrowings and the remainder as fair value hedges of fixed-rate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the Company’s derivative financial instruments at September 30,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Hedge Product</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Hedge Type</w:t>
            </w: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Strike</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Effective Date</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LIBOR plus 0.65%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10/31/2004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6/1/2009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Swap Agreement 1</w:t>
            </w:r>
          </w:p>
        </w:tc>
        <w:tc>
          <w:tcPr>
            <w:tcW w:w="1440" w:type="dxa"/>
            <w:vAlign w:val="bottom"/>
            <w:gridSpan w:val="2"/>
          </w:tcPr>
          <w:p>
            <w:pPr>
              <w:spacing w:after="0"/>
              <w:rPr>
                <w:sz w:val="20"/>
                <w:szCs w:val="20"/>
                <w:color w:val="auto"/>
              </w:rPr>
            </w:pPr>
            <w:r>
              <w:rPr>
                <w:rFonts w:ascii="Arial" w:cs="Arial" w:eastAsia="Arial" w:hAnsi="Arial"/>
                <w:sz w:val="18"/>
                <w:szCs w:val="18"/>
                <w:color w:val="auto"/>
              </w:rPr>
              <w:t>Cash Flow</w:t>
            </w: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63,000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2/1/2009</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7/1/2009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Swap Agreement 3</w:t>
            </w:r>
          </w:p>
        </w:tc>
        <w:tc>
          <w:tcPr>
            <w:tcW w:w="1440" w:type="dxa"/>
            <w:vAlign w:val="bottom"/>
            <w:gridSpan w:val="2"/>
          </w:tcPr>
          <w:p>
            <w:pPr>
              <w:spacing w:after="0"/>
              <w:rPr>
                <w:sz w:val="20"/>
                <w:szCs w:val="20"/>
                <w:color w:val="auto"/>
              </w:rPr>
            </w:pPr>
            <w:r>
              <w:rPr>
                <w:rFonts w:ascii="Arial" w:cs="Arial" w:eastAsia="Arial" w:hAnsi="Arial"/>
                <w:sz w:val="18"/>
                <w:szCs w:val="18"/>
                <w:color w:val="auto"/>
              </w:rPr>
              <w:t>Cash Flow</w:t>
            </w:r>
          </w:p>
        </w:tc>
        <w:tc>
          <w:tcPr>
            <w:tcW w:w="16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8,462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6.98%</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7/27/2009</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6/27/2016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61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Monthly interest payments were recognized as an increase or decrease in interest expense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300" w:type="dxa"/>
            <w:vAlign w:val="bottom"/>
            <w:gridSpan w:val="3"/>
          </w:tcPr>
          <w:p>
            <w:pPr>
              <w:ind w:left="300"/>
              <w:spacing w:after="0"/>
              <w:rPr>
                <w:sz w:val="20"/>
                <w:szCs w:val="20"/>
                <w:color w:val="auto"/>
              </w:rPr>
            </w:pPr>
            <w:r>
              <w:rPr>
                <w:rFonts w:ascii="Arial" w:cs="Arial" w:eastAsia="Arial" w:hAnsi="Arial"/>
                <w:sz w:val="14"/>
                <w:szCs w:val="14"/>
                <w:b w:val="1"/>
                <w:bCs w:val="1"/>
                <w:color w:val="auto"/>
              </w:rPr>
              <w:t>Classification of</w:t>
            </w:r>
          </w:p>
        </w:tc>
        <w:tc>
          <w:tcPr>
            <w:tcW w:w="20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160" w:type="dxa"/>
            <w:vAlign w:val="bottom"/>
          </w:tcPr>
          <w:p>
            <w:pPr>
              <w:spacing w:after="0" w:line="142" w:lineRule="exact"/>
              <w:rPr>
                <w:sz w:val="20"/>
                <w:szCs w:val="20"/>
                <w:color w:val="auto"/>
              </w:rPr>
            </w:pPr>
            <w:r>
              <w:rPr>
                <w:rFonts w:ascii="Arial" w:cs="Arial" w:eastAsia="Arial" w:hAnsi="Arial"/>
                <w:sz w:val="14"/>
                <w:szCs w:val="14"/>
                <w:b w:val="1"/>
                <w:bCs w:val="1"/>
                <w:color w:val="auto"/>
              </w:rPr>
              <w:t>Type</w:t>
            </w:r>
          </w:p>
        </w:tc>
        <w:tc>
          <w:tcPr>
            <w:tcW w:w="230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Income (Expense)</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Swap Agreement 1</w:t>
            </w:r>
          </w:p>
        </w:tc>
        <w:tc>
          <w:tcPr>
            <w:tcW w:w="2300" w:type="dxa"/>
            <w:vAlign w:val="bottom"/>
            <w:gridSpan w:val="3"/>
          </w:tcPr>
          <w:p>
            <w:pPr>
              <w:ind w:left="3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2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Swap Agreement 3</w:t>
            </w:r>
          </w:p>
        </w:tc>
        <w:tc>
          <w:tcPr>
            <w:tcW w:w="2300" w:type="dxa"/>
            <w:vAlign w:val="bottom"/>
            <w:gridSpan w:val="3"/>
          </w:tcPr>
          <w:p>
            <w:pPr>
              <w:ind w:left="3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gains recognized on the swap agreements is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Gain/(loss)</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Location of</w:t>
            </w:r>
          </w:p>
        </w:tc>
        <w:tc>
          <w:tcPr>
            <w:tcW w:w="140" w:type="dxa"/>
            <w:vAlign w:val="bottom"/>
          </w:tcPr>
          <w:p>
            <w:pPr>
              <w:spacing w:after="0"/>
              <w:rPr>
                <w:sz w:val="14"/>
                <w:szCs w:val="14"/>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Gain/(loss)</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recognized in OCI</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amounts</w:t>
            </w:r>
          </w:p>
        </w:tc>
        <w:tc>
          <w:tcPr>
            <w:tcW w:w="14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1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Type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Nine months ended</w:t>
            </w:r>
          </w:p>
        </w:tc>
        <w:tc>
          <w:tcPr>
            <w:tcW w:w="300" w:type="dxa"/>
            <w:vAlign w:val="bottom"/>
          </w:tcPr>
          <w:p>
            <w:pPr>
              <w:spacing w:after="0"/>
              <w:rPr>
                <w:sz w:val="10"/>
                <w:szCs w:val="10"/>
                <w:color w:val="auto"/>
              </w:rPr>
            </w:pPr>
          </w:p>
        </w:tc>
        <w:tc>
          <w:tcPr>
            <w:tcW w:w="1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reclassified from</w:t>
            </w:r>
          </w:p>
        </w:tc>
        <w:tc>
          <w:tcPr>
            <w:tcW w:w="1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41"/>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2009</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OCI into income</w:t>
            </w:r>
          </w:p>
        </w:tc>
        <w:tc>
          <w:tcPr>
            <w:tcW w:w="14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2009</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 Agreement 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5"/>
              </w:rPr>
              <w:t>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Swap Agreement 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2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Swap Agreements were highly effective for the three and nine months ended September 30,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interest rate swaps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Asset/(Liability) Derivatives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300" w:type="dxa"/>
            <w:vAlign w:val="bottom"/>
          </w:tcPr>
          <w:p>
            <w:pPr>
              <w:spacing w:after="0"/>
              <w:rPr>
                <w:sz w:val="12"/>
                <w:szCs w:val="12"/>
                <w:color w:val="auto"/>
              </w:rPr>
            </w:pPr>
          </w:p>
        </w:tc>
        <w:tc>
          <w:tcPr>
            <w:tcW w:w="21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2009</w:t>
            </w:r>
          </w:p>
        </w:tc>
        <w:tc>
          <w:tcPr>
            <w:tcW w:w="9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Borders>
              <w:bottom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91"/>
              </w:rPr>
              <w:t>December 31, 2008</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Balance Sheet</w:t>
            </w:r>
          </w:p>
        </w:tc>
        <w:tc>
          <w:tcPr>
            <w:tcW w:w="480" w:type="dxa"/>
            <w:vAlign w:val="bottom"/>
          </w:tcPr>
          <w:p>
            <w:pPr>
              <w:spacing w:after="0"/>
              <w:rPr>
                <w:sz w:val="10"/>
                <w:szCs w:val="10"/>
                <w:color w:val="auto"/>
              </w:rPr>
            </w:pPr>
          </w:p>
        </w:tc>
        <w:tc>
          <w:tcPr>
            <w:tcW w:w="900" w:type="dxa"/>
            <w:vAlign w:val="bottom"/>
          </w:tcPr>
          <w:p>
            <w:pPr>
              <w:jc w:val="right"/>
              <w:ind w:right="477"/>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164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Balance Sheet</w:t>
            </w:r>
          </w:p>
        </w:tc>
        <w:tc>
          <w:tcPr>
            <w:tcW w:w="460" w:type="dxa"/>
            <w:vAlign w:val="bottom"/>
          </w:tcPr>
          <w:p>
            <w:pPr>
              <w:spacing w:after="0"/>
              <w:rPr>
                <w:sz w:val="10"/>
                <w:szCs w:val="10"/>
                <w:color w:val="auto"/>
              </w:rPr>
            </w:pPr>
          </w:p>
        </w:tc>
        <w:tc>
          <w:tcPr>
            <w:tcW w:w="900" w:type="dxa"/>
            <w:vAlign w:val="bottom"/>
          </w:tcPr>
          <w:p>
            <w:pPr>
              <w:jc w:val="center"/>
              <w:ind w:right="39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300" w:type="dxa"/>
            <w:vAlign w:val="bottom"/>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Location</w:t>
            </w:r>
          </w:p>
        </w:tc>
        <w:tc>
          <w:tcPr>
            <w:tcW w:w="480" w:type="dxa"/>
            <w:vAlign w:val="bottom"/>
          </w:tcPr>
          <w:p>
            <w:pPr>
              <w:spacing w:after="0"/>
              <w:rPr>
                <w:sz w:val="14"/>
                <w:szCs w:val="14"/>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Value</w:t>
            </w:r>
          </w:p>
        </w:tc>
        <w:tc>
          <w:tcPr>
            <w:tcW w:w="1640" w:type="dxa"/>
            <w:vAlign w:val="bottom"/>
            <w:gridSpan w:val="2"/>
          </w:tcPr>
          <w:p>
            <w:pPr>
              <w:ind w:left="400"/>
              <w:spacing w:after="0"/>
              <w:rPr>
                <w:sz w:val="20"/>
                <w:szCs w:val="20"/>
                <w:color w:val="auto"/>
              </w:rPr>
            </w:pPr>
            <w:r>
              <w:rPr>
                <w:rFonts w:ascii="Arial" w:cs="Arial" w:eastAsia="Arial" w:hAnsi="Arial"/>
                <w:sz w:val="14"/>
                <w:szCs w:val="14"/>
                <w:b w:val="1"/>
                <w:bCs w:val="1"/>
                <w:color w:val="auto"/>
              </w:rPr>
              <w:t>Location</w:t>
            </w:r>
          </w:p>
        </w:tc>
        <w:tc>
          <w:tcPr>
            <w:tcW w:w="460" w:type="dxa"/>
            <w:vAlign w:val="bottom"/>
          </w:tcPr>
          <w:p>
            <w:pPr>
              <w:spacing w:after="0"/>
              <w:rPr>
                <w:sz w:val="14"/>
                <w:szCs w:val="14"/>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 (expired 6/1/2009)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065"/>
              <w:spacing w:after="0"/>
              <w:rPr>
                <w:sz w:val="20"/>
                <w:szCs w:val="20"/>
                <w:color w:val="auto"/>
              </w:rPr>
            </w:pPr>
            <w:r>
              <w:rPr>
                <w:rFonts w:ascii="Arial" w:cs="Arial" w:eastAsia="Arial" w:hAnsi="Arial"/>
                <w:sz w:val="18"/>
                <w:szCs w:val="18"/>
                <w:color w:val="auto"/>
                <w:w w:val="79"/>
              </w:rPr>
              <w:t>n/a</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Swap Agreement 1</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c>
          <w:tcPr>
            <w:tcW w:w="1640" w:type="dxa"/>
            <w:vAlign w:val="bottom"/>
            <w:gridSpan w:val="2"/>
          </w:tcPr>
          <w:p>
            <w:pPr>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Swap Agreement 3</w:t>
            </w: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1640" w:type="dxa"/>
            <w:vAlign w:val="bottom"/>
            <w:gridSpan w:val="2"/>
          </w:tcPr>
          <w:p>
            <w:pPr>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TO TRUSTS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w:t>
      </w:r>
    </w:p>
    <w:p>
      <w:pPr>
        <w:sectPr>
          <w:pgSz w:w="11900" w:h="16864" w:orient="portrait"/>
          <w:cols w:equalWidth="0" w:num="1">
            <w:col w:w="11460"/>
          </w:cols>
          <w:pgMar w:left="240" w:top="125" w:right="199" w:bottom="0" w:gutter="0" w:footer="0" w:header="0"/>
        </w:sectPr>
      </w:pPr>
    </w:p>
    <w:bookmarkStart w:id="13" w:name="page14"/>
    <w:bookmarkEnd w:id="13"/>
    <w:p>
      <w:pPr>
        <w:ind w:right="180"/>
        <w:spacing w:after="0" w:line="264" w:lineRule="auto"/>
        <w:rPr>
          <w:sz w:val="20"/>
          <w:szCs w:val="20"/>
          <w:color w:val="auto"/>
        </w:rPr>
      </w:pPr>
      <w:r>
        <w:rPr>
          <w:rFonts w:ascii="Arial" w:cs="Arial" w:eastAsia="Arial" w:hAnsi="Arial"/>
          <w:sz w:val="18"/>
          <w:szCs w:val="18"/>
          <w:color w:val="auto"/>
        </w:rPr>
        <w:t>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follows FASB Interpretation No. 46R (ASC810),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xml:space="preserve"> (“FIN 46(R)”) which addresses the consolidation of VIEs. Under FIN 46(R) (ASC 810) Trust, Trust II and Trust III are VIEs because the holders of the equity investment at risk (the trust preferred securities) do not have adequate decision making ability over the trusts’ activities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 Trust II and Trust III by the Company. The Company has also recorded its investment in the trusts’ common securities as other assets.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 Following is a tabular comparison of the liabilities the Company has recorded as a result of its involvements with the trusts to the maximum exposure to loss the Company is subject to related to the trusts as of September 30, 2009:</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Notes payable</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 Trusts as of</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 2009</w:t>
            </w:r>
          </w:p>
        </w:tc>
        <w:tc>
          <w:tcPr>
            <w:tcW w:w="14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exposure to loss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Trust II</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42,269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41,000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41,238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these differences represent the amounts that the trusts would repay the Company for its investment in the trusts’ common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EXCHANGEABLE SENIOR NOTES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27, 2007, our Operating Partnership issued $250,000 of its 3.625% Exchangeable Senior Notes due April 1, 2027 (the “Notes”). Costs incurred to issue the Notes were approximately $5,700. The remaining portion of these costs are being amortized over five years, which represents the estimated term of the Notes, and are included in other assets in the condensed consolidated balance sheet as of September 30, 2009.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exchange rate of approximately 43.1091 shares per one thousand dollars principal amount of Notes at the option of the Operating Partnership.</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Adoption of FSP APB 14-1(ASC 470-20)</w:t>
      </w:r>
    </w:p>
    <w:p>
      <w:pPr>
        <w:sectPr>
          <w:pgSz w:w="11900" w:h="16838" w:orient="portrait"/>
          <w:cols w:equalWidth="0" w:num="1">
            <w:col w:w="11420"/>
          </w:cols>
          <w:pgMar w:left="240" w:top="125" w:right="239" w:bottom="0" w:gutter="0" w:footer="0" w:header="0"/>
          <w:type w:val="continuous"/>
        </w:sectPr>
      </w:pPr>
    </w:p>
    <w:bookmarkStart w:id="14" w:name="page15"/>
    <w:bookmarkEnd w:id="14"/>
    <w:p>
      <w:pPr>
        <w:ind w:right="260"/>
        <w:spacing w:after="0" w:line="273" w:lineRule="auto"/>
        <w:rPr>
          <w:sz w:val="20"/>
          <w:szCs w:val="20"/>
          <w:color w:val="auto"/>
        </w:rPr>
      </w:pPr>
      <w:r>
        <w:rPr>
          <w:rFonts w:ascii="Arial" w:cs="Arial" w:eastAsia="Arial" w:hAnsi="Arial"/>
          <w:sz w:val="17"/>
          <w:szCs w:val="17"/>
          <w:color w:val="auto"/>
        </w:rPr>
        <w:t>In May 2008, the FASB issued FSP ABP 14-1 (ASC 470-20). Under this guidance entities with convertible debt instruments that may be settled entirely or partially in cash upon conversion should separately account for the liability and equity components of the instrument in a manner that reflects the issuer’s economic interest cost. The Company retroactively adopted FSP APB 14-1 (ASC 470-20) effective January 1, 2009. As a result, the liability and equity components of the Notes are now accounted for separately. The equity component is included in the paid-in-capital section of stockholders’ equity on the condensed consolidated balance sheet, and the value of the equity component is treated as original issue discount for purposes of accounting for the debt component. The discount is being amortized over the period of the debt as additional interest expense.</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about the carrying amounts of the equity component, the principal amount of the liability component, its unamortized discount, and its net carrying amount are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2009</w:t>
            </w: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3"/>
              </w:rPr>
              <w:t>19,726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liability component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95,163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Unamortized discount</w:t>
            </w:r>
          </w:p>
        </w:tc>
        <w:tc>
          <w:tcPr>
            <w:tcW w:w="160" w:type="dxa"/>
            <w:vAlign w:val="bottom"/>
          </w:tcPr>
          <w:p>
            <w:pPr>
              <w:spacing w:after="0"/>
              <w:rPr>
                <w:sz w:val="18"/>
                <w:szCs w:val="18"/>
                <w:color w:val="auto"/>
              </w:rPr>
            </w:pPr>
          </w:p>
        </w:tc>
        <w:tc>
          <w:tcPr>
            <w:tcW w:w="1820" w:type="dxa"/>
            <w:vAlign w:val="bottom"/>
            <w:gridSpan w:val="2"/>
          </w:tcPr>
          <w:p>
            <w:pPr>
              <w:ind w:left="1060"/>
              <w:spacing w:after="0"/>
              <w:rPr>
                <w:sz w:val="20"/>
                <w:szCs w:val="20"/>
                <w:color w:val="auto"/>
              </w:rPr>
            </w:pPr>
            <w:r>
              <w:rPr>
                <w:rFonts w:ascii="Arial" w:cs="Arial" w:eastAsia="Arial" w:hAnsi="Arial"/>
                <w:sz w:val="18"/>
                <w:szCs w:val="18"/>
                <w:color w:val="auto"/>
              </w:rPr>
              <w:t>(4,639)</w:t>
            </w: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liability component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3"/>
              </w:rPr>
              <w:t>90,524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discount will be amortized over the remaining period of the debt through its first redemption date (April 1, 2012). The effective interest rate on the liability component is 5.75%. The amount of interest cost recognized relating to the contractual interest rate and the amortization of the discount on the liability component is as follows: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2,266</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6,798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1,059</w:t>
            </w: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1,834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3,147</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Notes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FSP APB 14-1 (ASC 470-20) requires that the value of the consideration paid to repurchase the Notes be allocated (1) to the extinguishment of the liability component and (2)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Notes, and recognized as a reduction of stockholders’ equity.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repurchases and the related gains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May 2009</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2009</w:t>
            </w: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October 2008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repurchased</w:t>
            </w:r>
          </w:p>
        </w:tc>
        <w:tc>
          <w:tcPr>
            <w:tcW w:w="11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43,000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 allocated to:</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Extinguishment of liability component</w:t>
            </w:r>
          </w:p>
        </w:tc>
        <w:tc>
          <w:tcPr>
            <w:tcW w:w="11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35,000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Reacquisition of equity component</w:t>
            </w:r>
          </w:p>
        </w:tc>
        <w:tc>
          <w:tcPr>
            <w:tcW w:w="1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1,340</w:t>
            </w:r>
          </w:p>
        </w:tc>
        <w:tc>
          <w:tcPr>
            <w:tcW w:w="3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paid for repurchase</w:t>
            </w:r>
          </w:p>
        </w:tc>
        <w:tc>
          <w:tcPr>
            <w:tcW w:w="116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36,340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repurchased</w:t>
            </w:r>
          </w:p>
        </w:tc>
        <w:tc>
          <w:tcPr>
            <w:tcW w:w="11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43,000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Extinguishment of liability component</w:t>
            </w:r>
          </w:p>
        </w:tc>
        <w:tc>
          <w:tcPr>
            <w:tcW w:w="1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(35,000)</w:t>
            </w:r>
          </w:p>
        </w:tc>
        <w:tc>
          <w:tcPr>
            <w:tcW w:w="3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(43,800)</w:t>
            </w: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Discount on exchangeable senior notes</w:t>
            </w:r>
          </w:p>
        </w:tc>
        <w:tc>
          <w:tcPr>
            <w:tcW w:w="1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(2,349)</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(4,208)</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Related debt issuance costs</w:t>
            </w:r>
          </w:p>
        </w:tc>
        <w:tc>
          <w:tcPr>
            <w:tcW w:w="1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repurchase</w:t>
            </w:r>
          </w:p>
        </w:tc>
        <w:tc>
          <w:tcPr>
            <w:tcW w:w="116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LINES OF CREDIT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19, 2007, the Operating Partnership entered into a $100,000 revolving line of credit (the “Credit Line”) that matures October 31, 2010 with two one-year extensions available. The Company intends to use the proceeds of the Credit Line to repay debt and for general corporate purposes. The Credit Line has an interest rate of between 100 and 205 basis points over LIBOR, depending on certain financial ratios of the Company (1.25% at September 30, 2009). The Credit Line is collateralized by mortgages on certain real estate assets. As of September 30, 2009, the Credit Line had $100,000 of capacity based on the assets collateralizing the Credit Line. $100,000 and $27,000 was drawn on the Credit Line as of September 30, 2009 and December 31, 2008, respectively. The Company is subject to certain restrictive covenants relating to the Credit Line. The Company was in compliance with all covenants as of September 30, 2009.</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February 13, 2009, the Company entered into a $50,000 revolving secured line of credit (the “Secondary Credit Line”) that is collateralized by mortgages on certain real estate assets and matures on February 13, 2012. The Company intends to use the proceeds of the Secondary Credit Line to repay debt and for general corporate purposes. The Secondary Credit Line has an interest rate of LIBOR plus 325 basis points (3.50% at September 30, 2009). As of September 30, 2009, there were no amounts drawn on the Secondary Credit Line. The Company is subject to certain restrictive covenants relating to the Secondary Credit Line. The Company was in compliance with all covenants as of September 30,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LIABILTIES</w:t>
      </w:r>
    </w:p>
    <w:p>
      <w:pPr>
        <w:sectPr>
          <w:pgSz w:w="11900" w:h="16838" w:orient="portrait"/>
          <w:cols w:equalWidth="0" w:num="1">
            <w:col w:w="11420"/>
          </w:cols>
          <w:pgMar w:left="240" w:top="341"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 2009</w:t>
            </w:r>
          </w:p>
        </w:tc>
        <w:tc>
          <w:tcPr>
            <w:tcW w:w="180" w:type="dxa"/>
            <w:vAlign w:val="bottom"/>
          </w:tcPr>
          <w:p>
            <w:pPr>
              <w:spacing w:after="0"/>
              <w:rPr>
                <w:sz w:val="14"/>
                <w:szCs w:val="14"/>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Lease obligation liability</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6,237</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liabilities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AND AFFILIATED REAL ESTATE JOINT VENTURE TRANSACTIONS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management and development services to certain joint ventures, franchises, third parties and other related party properties. Management agreements provide generally for management fees of 6% of cash collected from properties for the management of operations at the self-storage facilities.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revenues for related parties and affiliated real estate joint ventures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w:t>
            </w:r>
          </w:p>
        </w:tc>
        <w:tc>
          <w:tcPr>
            <w:tcW w:w="372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Type</w:t>
            </w:r>
          </w:p>
        </w:tc>
        <w:tc>
          <w:tcPr>
            <w:tcW w:w="2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740" w:type="dxa"/>
            <w:vAlign w:val="bottom"/>
            <w:gridSpan w:val="3"/>
            <w:vMerge w:val="continue"/>
          </w:tcPr>
          <w:p>
            <w:pPr>
              <w:spacing w:after="0"/>
              <w:rPr>
                <w:sz w:val="12"/>
                <w:szCs w:val="12"/>
                <w:color w:val="auto"/>
              </w:rPr>
            </w:pPr>
          </w:p>
        </w:tc>
        <w:tc>
          <w:tcPr>
            <w:tcW w:w="372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ESW</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ESW II</w:t>
            </w:r>
          </w:p>
        </w:tc>
        <w:tc>
          <w:tcPr>
            <w:tcW w:w="372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ESNPS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ESSM</w:t>
            </w:r>
          </w:p>
        </w:tc>
        <w:tc>
          <w:tcPr>
            <w:tcW w:w="372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PRISA</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PRISA II</w:t>
            </w:r>
          </w:p>
        </w:tc>
        <w:tc>
          <w:tcPr>
            <w:tcW w:w="372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2,995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PRISA III</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VRS</w:t>
            </w:r>
          </w:p>
        </w:tc>
        <w:tc>
          <w:tcPr>
            <w:tcW w:w="372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WCOT</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SP I</w:t>
            </w:r>
          </w:p>
        </w:tc>
        <w:tc>
          <w:tcPr>
            <w:tcW w:w="372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SPB II</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Various</w:t>
            </w:r>
          </w:p>
        </w:tc>
        <w:tc>
          <w:tcPr>
            <w:tcW w:w="3720" w:type="dxa"/>
            <w:vAlign w:val="bottom"/>
            <w:gridSpan w:val="2"/>
          </w:tcPr>
          <w:p>
            <w:pPr>
              <w:spacing w:after="0"/>
              <w:rPr>
                <w:sz w:val="20"/>
                <w:szCs w:val="20"/>
                <w:color w:val="auto"/>
              </w:rPr>
            </w:pPr>
            <w:r>
              <w:rPr>
                <w:rFonts w:ascii="Arial" w:cs="Arial" w:eastAsia="Arial" w:hAnsi="Arial"/>
                <w:sz w:val="18"/>
                <w:szCs w:val="18"/>
                <w:color w:val="auto"/>
              </w:rPr>
              <w:t>Franchisees, third parties and other</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3,339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Receivables from related parties and affiliated real estate joint ventures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2009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Development fees receivable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receivables from properties</w:t>
            </w:r>
          </w:p>
        </w:tc>
        <w:tc>
          <w:tcPr>
            <w:tcW w:w="1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3,127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Development fees receivable consist of amounts due for development services from third parties and unconsolidated affiliated joint ventures. The Company earns development fees of 1% - 6% of budged costs on development projects. Other receivables from properties consist of amounts due for management fees and expenses paid by the Company on behalf of the properties that the Company manages. The Company believes that all of these related party and affiliated joint venture receivables are fully collectible. The Company did not have any payables to related parties at September 30, 2009 or December 31, 2008.</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Centershift, a related party service provider, is partially owned by certain directors and members of management of the Company. Effective January 1, 2004, the Company entered into a license agreement with Centershift to secure a perpetual right for continued use of STORE (the site management software used at all sites operated by the Company) in all aspects of the Company’s property acquisition, development, redevelopment and operational activities. The Company paid Centershift $352 and $274 for the three months ended September 30, 2009 and 2008, respectively, and $820 and $701 for the nine months ended September 30, 2009 and 2008, respectively, relating to the purchase of software and to license agreements.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entered into an aircraft dry lease and service and management agreement with SpenAero, L.C. (“SpenAero”), an affiliate of Spencer F. Kirk, the Company’s Chairman and Chief Executive Officer. Under the terms of the agreement, the Company pays a defined hourly rate for use of the aircraft. The Company paid SpenAero and related entities $151 and $85 for the three months ended September 30, 2009 and 2008, respectively, and $623 and $296, for the nine months ended September 30, 2009 and 2008, respectively. The services that the Company receives from SpenAero are similar in nature and price to those that are provided to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charter provides that it can issue up to 300,000,000 shares of common stock, $0.01 par value per share, 4,100,000 CCSs, $.01 par value per share, and 50,000,000 shares of preferred stock, $0.01 par value per share. As of September 30, 2009, 86,435,938 shares of common stock were issued and outstanding and no shares of preferred stock or CCSs were issued and outstanding.</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ectPr>
          <w:pgSz w:w="11900" w:h="16838" w:orient="portrait"/>
          <w:cols w:equalWidth="0" w:num="1">
            <w:col w:w="11420"/>
          </w:cols>
          <w:pgMar w:left="240" w:top="125" w:right="239" w:bottom="99" w:gutter="0" w:footer="0" w:header="0"/>
        </w:sectPr>
      </w:pPr>
    </w:p>
    <w:bookmarkStart w:id="16" w:name="page17"/>
    <w:bookmarkEnd w:id="16"/>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Unlike the Company’s shares of common stock, CCSs did not carry any voting rights. Upon the achievement of certain performance thresholds relating to 14 properties, a portion of the CCSs were automatically converted into shares of the Company’s common stock. Each CCS was convertible on a one-for-one basis into shares of common stock, subject to customary anti-dilution adjustments. Beginning with the quarter ended March 31, 2006, and ending with the quarter ended December 31, 2008, the Company calculated the net operating income from the 14 wholly-owned properties over the 12-month period ending in such quarter. Within 35 days following the end of each quarter referred to above, some of the CCSs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were converted so that the total percentage of CCSs issued in connection with the formation transactions that had been converted to common stock was equal to the percentage determined by dividing the net operating income for such period in excess of $5,100 by $4,600. The 1,087,790 CCSs remaining unconverted through the calculation made in respect of the 12-month period ended December 31, 2008 were cancelled as of February 4, 2009 and restored to the status of authorized but unissued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NONCONTROLLING INTEREST REPRESENTED BY PREFERRED OPERATING PARTNERSHIP UNITS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 for Capital,”</w:t>
      </w:r>
      <w:r>
        <w:rPr>
          <w:rFonts w:ascii="Arial" w:cs="Arial" w:eastAsia="Arial" w:hAnsi="Arial"/>
          <w:sz w:val="18"/>
          <w:szCs w:val="18"/>
          <w:color w:val="auto"/>
        </w:rPr>
        <w:t>(ASC 505-10) because the borrower under the loan receivable is also the holder of the Preferred OP units.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became redeemable at the option of the holder on September 1, 2008, which redemption obligation may be satisfied, at the Company’s option, in cash or shares of its common stock.</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of Extra Space Storage LP to clarify certain tax-related provisions relating to the Preferred OP units.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adopted the revisions to FAS 160 (ASC 810) effective January 1, 2009. FAS 160 (ASC 810)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(ASC 810) was required to be adopted prospectively with the exception of the presentation and disclosure requirements, which were applied retrospectively for all periods presented. As a result of the issuance of the revisions to FAS 160 (ASC 810), the guidance in EITF Topic D-98 (ASC 480-10-S99), “</w:t>
      </w:r>
      <w:r>
        <w:rPr>
          <w:rFonts w:ascii="Arial" w:cs="Arial" w:eastAsia="Arial" w:hAnsi="Arial"/>
          <w:sz w:val="18"/>
          <w:szCs w:val="18"/>
          <w:i w:val="1"/>
          <w:iCs w:val="1"/>
          <w:color w:val="auto"/>
        </w:rPr>
        <w:t>Classification and Measurement of Redeemable Securities”</w:t>
      </w:r>
      <w:r>
        <w:rPr>
          <w:rFonts w:ascii="Arial" w:cs="Arial" w:eastAsia="Arial" w:hAnsi="Arial"/>
          <w:sz w:val="18"/>
          <w:szCs w:val="18"/>
          <w:color w:val="auto"/>
        </w:rPr>
        <w:t xml:space="preserve"> was amended to include redeemable noncontrolling interests within its scope. If noncontrolling interests are determined to be redeemable, they are to be carried at their redemption value as of the balance sheet date and reported as temporary equity.</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evaluated the terms of the Preferred OP units, and as a result of the adoption FAS 160 (ASC 810) the Company reclassified the noncontrolling interest represented by the Preferred OP units to stockholders’ equity in the accompanying condensed consolidated balance sheets. In periods subsequent to the adoption of FAS 160 (ASC 810) the Company will periodically evaluate individual noncontrolling interests for the ability to continue to recognize the noncontrolling amount as permanent equity in the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 IN OPERATING PARTNERSHIP</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94.63% majority ownership interest therein as of September 30, 2009. The remaining ownership interests in the Operating Partnership (including Preferred OP units) of 5.37% are held by certain former owners of assets acquired by the Operating Partnership, which include officers and a director of the Company. As of September 30, 2009, the Operating Partnership had 3,917,941 common OP units outstanding.</w:t>
      </w:r>
    </w:p>
    <w:p>
      <w:pPr>
        <w:sectPr>
          <w:pgSz w:w="11900" w:h="16921" w:orient="portrait"/>
          <w:cols w:equalWidth="0" w:num="1">
            <w:col w:w="11420"/>
          </w:cols>
          <w:pgMar w:left="240" w:top="125" w:right="239" w:bottom="0" w:gutter="0" w:footer="0" w:header="0"/>
        </w:sectPr>
      </w:pPr>
    </w:p>
    <w:bookmarkStart w:id="17" w:name="page18"/>
    <w:bookmarkEnd w:id="17"/>
    <w:p>
      <w:pPr>
        <w:spacing w:after="0" w:line="6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noncontrolling interest in the Operating Partnership represents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CCUs. Limited partners who received OP units in the formation transactions or in exchange for contributions for interests in properties have the right to require the Operating Partnership to redeem part or all of their common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When the Company elects to exchange the OP units for shares of its common stock, the noncontrolling interest is reduced by the fair value of the OP units on the day of exchange, and the Company’s equity is increased for the fair value of the common stock issued with the difference being recorded to the Company’s retained earnings. The ten day average closing stock price at September 30, 2009 was $10.81 and there were 3,917,941 OP units outstanding. Assuming that all of the unit holders exercised their right to redeem all of their common OP units on September 30, 2009 and the Company elected to pay the noncontrolling members cash, the Company would have paid $42,353 in cash consideration to redeem the OP units.</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April 2009, 114,928 OP units were redeemed in exchange for the Company’s common stock. During July 2009, 232,099 OP units were redeemed in exchange for $1,908 in cash.</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Unlike the OP units, CCUs did not carry any voting rights. Upon the achievement of certain performance thresholds relating to 14 properties, a portion of the CCUs automatically converted into OP units. Each CCU was convertible on a one-for-one basis into OP units, subject to customary anti-dilution adjustments. Beginning with the quarter ended March 31, 2006, and ending with the quarter ended December 31, 2008, the Company calculated the net operating income from the 14 wholly-owned properties over the 12-month period ending in such quarter. Within 35 days following the end of each quarter referred to above, some of the CCUs were converted so that the total percentage of CCUs issued in connection with the formation transactions that were converted to OP units was equal to the percentage determined by dividing the net operating income for such period in excess of $5,100 by $4,600. The 55,957 CCUs remaining unconverted through the calculation made in respect of the 12-month period ended December 31, 2008 were cancelled as of February 4, 2009.</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adopted the revisions to FAS 160 (ASC 810) effective January 1, 2009. FAS 160 (ASC 810)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(ASC 810) was required to be adopted prospectively with the exception of the presentation and disclosure requirements, which were applied retrospectively for all periods presented. As a result of the issuance of the revisions to FAS 160 (ASC 810), the guidance in EITF Topic D-98 (ASC 480-10-S99), “</w:t>
      </w:r>
      <w:r>
        <w:rPr>
          <w:rFonts w:ascii="Arial" w:cs="Arial" w:eastAsia="Arial" w:hAnsi="Arial"/>
          <w:sz w:val="18"/>
          <w:szCs w:val="18"/>
          <w:i w:val="1"/>
          <w:iCs w:val="1"/>
          <w:color w:val="auto"/>
        </w:rPr>
        <w:t>Classification and Measurement of Redeemable Securities”</w:t>
      </w:r>
      <w:r>
        <w:rPr>
          <w:rFonts w:ascii="Arial" w:cs="Arial" w:eastAsia="Arial" w:hAnsi="Arial"/>
          <w:sz w:val="18"/>
          <w:szCs w:val="18"/>
          <w:color w:val="auto"/>
        </w:rPr>
        <w:t xml:space="preserve"> was amended to include redeemable noncontrolling interests within its scope. If noncontrolling interests are determined to be redeemable, they are to be carried at their redemption value as of the balance sheet date and reported as temporary equity.</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evaluated the terms of the common OP units, and as a result of the adoption of FAS 160 (ASC 810), the Company reclassified the noncontrolling interest in the Operating Partnership to stockholders’ equity in the accompanying condensed consolidated balance sheets. In periods subsequent to the adoption of FAS 160 (ASC 810), the Company will periodically evaluate individual noncontrolling interests for the ability to continue to recognize the noncontrolling amount as permanent equity in the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NONCONTROLLING INTERESTS</w:t>
      </w:r>
    </w:p>
    <w:p>
      <w:pPr>
        <w:spacing w:after="0" w:line="229" w:lineRule="exact"/>
        <w:rPr>
          <w:sz w:val="20"/>
          <w:szCs w:val="20"/>
          <w:color w:val="auto"/>
        </w:rPr>
      </w:pPr>
    </w:p>
    <w:p>
      <w:pPr>
        <w:jc w:val="both"/>
        <w:ind w:right="360"/>
        <w:spacing w:after="0" w:line="291" w:lineRule="auto"/>
        <w:rPr>
          <w:sz w:val="20"/>
          <w:szCs w:val="20"/>
          <w:color w:val="auto"/>
        </w:rPr>
      </w:pPr>
      <w:r>
        <w:rPr>
          <w:rFonts w:ascii="Arial" w:cs="Arial" w:eastAsia="Arial" w:hAnsi="Arial"/>
          <w:sz w:val="16"/>
          <w:szCs w:val="16"/>
          <w:color w:val="auto"/>
        </w:rPr>
        <w:t>Other noncontrolling interests represent the ownership interests of various third parties in eleven consolidated self-storage properties as of September 30, 2009. Three of these consolidated properties were under development, and eight were in the lease-up stage during the nine months ended September 30,</w:t>
      </w:r>
    </w:p>
    <w:p>
      <w:pPr>
        <w:ind w:right="20"/>
        <w:spacing w:after="0" w:line="254" w:lineRule="auto"/>
        <w:rPr>
          <w:sz w:val="20"/>
          <w:szCs w:val="20"/>
          <w:color w:val="auto"/>
        </w:rPr>
      </w:pPr>
      <w:r>
        <w:rPr>
          <w:rFonts w:ascii="Arial" w:cs="Arial" w:eastAsia="Arial" w:hAnsi="Arial"/>
          <w:sz w:val="18"/>
          <w:szCs w:val="18"/>
          <w:color w:val="auto"/>
        </w:rPr>
        <w:t>2009. The ownership interests of the third party owners range from 10% to 90%. As required by FAS 160 (ASC 810), other noncontrolling interests are included in the stockholders’ equity section of the Company’s consolidated balance sheet. The income or losses attributable to these third party owners based on their ownership percentages are reflected in net income allocated to the Operating Partnership and other noncontrolling interests in the consolidated statement of operations.</w:t>
      </w:r>
    </w:p>
    <w:p>
      <w:pPr>
        <w:spacing w:after="0" w:line="19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April 2009, the Company requested a capital contribution from its partners in Westport Ewing LLC, a consolidated joint venture, in order to refinance the joint venture’s loan with its current lender. The partners were unable to provide their pro rata share of the funds required to satisfy the bank and deeded their interest in Westport Ewing LLC to the Company on June 1, 2009. As a result, the property held by this joint venture became a wholly owned property of the Company. The Company recorded a loss of $800 related to the reassessment of the fair value of the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plans under which shares were available for grant at September 30, 2009:</w:t>
      </w:r>
    </w:p>
    <w:p>
      <w:pPr>
        <w:spacing w:after="0" w:line="225"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2004 Long-Term Incentive Compensation Plan as amended and restated effective March 25, 2008,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2004 Non-Employee Directors’ Share Plan (together, the “Plans”).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Option grants are issued with an exercise price equal to the closing price of the Company’s common stock on the date of grant. Unless otherwise determined by the Compensation, Nominating and Governance Committee at the time of grant, options vest ratably over a four-year period beginning on the date of grant. Each option will be exercisable once it has vested. Options are exercisable at such times and subject to such terms as determined by the Compensation, Nominating and Governance Committee, but under no circumstances will be exercised if such exercise would cause a violation of the ownership limit in the Company’s charter. Options expire 10 years from the date of grant.</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w:t>
      </w:r>
    </w:p>
    <w:p>
      <w:pPr>
        <w:sectPr>
          <w:pgSz w:w="11900" w:h="16908" w:orient="portrait"/>
          <w:cols w:equalWidth="0" w:num="1">
            <w:col w:w="11400"/>
          </w:cols>
          <w:pgMar w:left="240" w:top="341" w:right="259" w:bottom="0" w:gutter="0" w:footer="0" w:header="0"/>
        </w:sectPr>
      </w:pPr>
    </w:p>
    <w:bookmarkStart w:id="18" w:name="page19"/>
    <w:bookmarkEnd w:id="18"/>
    <w:p>
      <w:pPr>
        <w:ind w:right="40"/>
        <w:spacing w:after="0" w:line="342" w:lineRule="auto"/>
        <w:rPr>
          <w:sz w:val="20"/>
          <w:szCs w:val="20"/>
          <w:color w:val="auto"/>
        </w:rPr>
      </w:pPr>
      <w:r>
        <w:rPr>
          <w:rFonts w:ascii="Arial" w:cs="Arial" w:eastAsia="Arial" w:hAnsi="Arial"/>
          <w:sz w:val="16"/>
          <w:szCs w:val="16"/>
          <w:color w:val="auto"/>
        </w:rPr>
        <w:t>sell, transfer, pledge, encumber or assign shares of restricted stock granted under the Plans, however the grantee has the ability to vote the shares and receive non-forfeitable dividends paid on the shares. The forfeiture and transfer restrictions on the shares lapse over a four-year period beginning on the date of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2009, 3,545,816 shares were available for issuance under the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Weighted Average</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 as of September</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Exercise Price</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30, 2009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Outstanding at December 31, 2008</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4"/>
              </w:rPr>
              <w:t>14.76</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723,000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1220"/>
              <w:spacing w:after="0"/>
              <w:rPr>
                <w:sz w:val="20"/>
                <w:szCs w:val="20"/>
                <w:color w:val="auto"/>
              </w:rPr>
            </w:pPr>
            <w:r>
              <w:rPr>
                <w:rFonts w:ascii="Arial" w:cs="Arial" w:eastAsia="Arial" w:hAnsi="Arial"/>
                <w:sz w:val="18"/>
                <w:szCs w:val="18"/>
                <w:color w:val="auto"/>
              </w:rPr>
              <w:t>6.22</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13.11</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8"/>
              </w:rPr>
              <w:t>Outstanding at September 30, 2009</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3,467,173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4"/>
              </w:rPr>
              <w:t>13.03</w:t>
            </w:r>
          </w:p>
        </w:tc>
        <w:tc>
          <w:tcPr>
            <w:tcW w:w="30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6.91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197"/>
        </w:trPr>
        <w:tc>
          <w:tcPr>
            <w:tcW w:w="2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3,203,459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ind w:left="1120"/>
              <w:spacing w:after="0" w:line="196" w:lineRule="exact"/>
              <w:rPr>
                <w:sz w:val="20"/>
                <w:szCs w:val="20"/>
                <w:color w:val="auto"/>
              </w:rPr>
            </w:pPr>
            <w:r>
              <w:rPr>
                <w:rFonts w:ascii="Arial" w:cs="Arial" w:eastAsia="Arial" w:hAnsi="Arial"/>
                <w:sz w:val="18"/>
                <w:szCs w:val="18"/>
                <w:color w:val="auto"/>
                <w:w w:val="84"/>
              </w:rPr>
              <w:t>13.68</w:t>
            </w:r>
          </w:p>
        </w:tc>
        <w:tc>
          <w:tcPr>
            <w:tcW w:w="3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6.59</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Ending Exercisable</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2,218,695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tcPr>
          <w:p>
            <w:pPr>
              <w:ind w:left="1120"/>
              <w:spacing w:after="0"/>
              <w:rPr>
                <w:sz w:val="20"/>
                <w:szCs w:val="20"/>
                <w:color w:val="auto"/>
              </w:rPr>
            </w:pPr>
            <w:r>
              <w:rPr>
                <w:rFonts w:ascii="Arial" w:cs="Arial" w:eastAsia="Arial" w:hAnsi="Arial"/>
                <w:sz w:val="18"/>
                <w:szCs w:val="18"/>
                <w:color w:val="auto"/>
                <w:w w:val="84"/>
              </w:rPr>
              <w:t>14.39</w:t>
            </w:r>
          </w:p>
        </w:tc>
        <w:tc>
          <w:tcPr>
            <w:tcW w:w="30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third quarter of 2009 and the exercise price, multiplied by the number of in-the-money options) that would have been received by the option holders had all option holders exercised their options on September 30, 2009. The amount of aggregate intrinsic value will change based on the fair market value of the Company’s stock.</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is estimated using the Black-Scholes option-pricing model with the following assumptions:</w:t>
      </w:r>
    </w:p>
    <w:p>
      <w:pPr>
        <w:spacing w:after="0" w:line="217"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4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16.7% of unvested options outstanding as of September 30, 2009, is adjusted based on the extent to which actual forfeitures differ, or are expected to differ, from the previous estimates.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recorded compensation expense relating to outstanding options of $143 and $324 for the three months ended September 30, 2009 and 2008, respectively, and $620 and $819 for the nine months ended September 30, 2009 and 2008, respectively. The Company received cash from the exercise of options of $0 and $1,123 for the three months ended September 30, 2009 and 2008, respectively, and $0 and $2,063 for the nine months ended September 30, 2009 and 2008, respectively. At September 30, 2009, there was $1,138 of total unrecognized compensation expense related to non-vested stock options under the Company’s 2004 Long-Term Incentive Compensation Plan. That cost is expected to be recognized over a weighted-average period of 2.8 years. The valuation model applied in this calculation utilizes subjective assumptions that could potentially change over time, including the expected forfeiture rate. Therefore, the amount of unrecognized comp ensation expense at September 30, 2009, noted above does not necessarily represent the expense that will ultimately be realized by the Company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granted 6,500 and 4,200 shares of common stock to certain employees and directors, without monetary consideration under the Plans during the three months ended September 30, 2009 and 2008, respectively, and 545,365 and 358,139 shares during the nine months ended September 30, 2009 and 2008, respectively. The Company recorded compensation expense related to outstanding shares of common stock granted to employees and directors of $648 and $496 for the three months ended September 30, 2009 and 2008, respectively, and $2,332 and $1,985 for the nine months ended September 30, 2009 and 2008, respectively.</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 A summary of the Company’s employee share grant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3"/>
            <w:vMerge w:val="restart"/>
          </w:tcPr>
          <w:p>
            <w:pPr>
              <w:ind w:left="1620"/>
              <w:spacing w:after="0"/>
              <w:rPr>
                <w:sz w:val="20"/>
                <w:szCs w:val="20"/>
                <w:color w:val="auto"/>
              </w:rPr>
            </w:pPr>
            <w:r>
              <w:rPr>
                <w:rFonts w:ascii="Arial" w:cs="Arial" w:eastAsia="Arial" w:hAnsi="Arial"/>
                <w:sz w:val="14"/>
                <w:szCs w:val="14"/>
                <w:b w:val="1"/>
                <w:bCs w:val="1"/>
                <w:color w:val="auto"/>
              </w:rPr>
              <w:t>Restricted Stock Grants</w:t>
            </w: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Weighted-Average</w:t>
            </w: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Grant-Date Fair Value</w:t>
            </w: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2008</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545,365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(193,662)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September 30, 2009</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793"/>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ectPr>
          <w:pgSz w:w="11900" w:h="16838" w:orient="portrait"/>
          <w:cols w:equalWidth="0" w:num="1">
            <w:col w:w="11460"/>
          </w:cols>
          <w:pgMar w:left="240" w:top="125" w:right="199" w:bottom="0" w:gutter="0" w:footer="0" w:header="0"/>
        </w:sectPr>
      </w:pPr>
    </w:p>
    <w:bookmarkStart w:id="19" w:name="page20"/>
    <w:bookmarkEnd w:id="19"/>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lodging facilities or the provision to any person, under a franchise, license or otherwise, of rights to any brand name under which lodging facility or health care facility is operated). A TRS is subject to corporate federal income tax. The Company accounts for income taxes in accordance with the provisions of FASB Statement No. 109 (ASC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Deferred tax assets and liabilities are determined based on differences between financial reporting and tax bases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is comprised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2"/>
          </w:tcPr>
          <w:p>
            <w:pPr>
              <w:jc w:val="center"/>
              <w:ind w:left="319"/>
              <w:spacing w:after="0"/>
              <w:rPr>
                <w:sz w:val="20"/>
                <w:szCs w:val="20"/>
                <w:color w:val="auto"/>
              </w:rPr>
            </w:pPr>
            <w:r>
              <w:rPr>
                <w:rFonts w:ascii="Arial" w:cs="Arial" w:eastAsia="Arial" w:hAnsi="Arial"/>
                <w:sz w:val="14"/>
                <w:szCs w:val="14"/>
                <w:b w:val="1"/>
                <w:bCs w:val="1"/>
                <w:color w:val="auto"/>
                <w:w w:val="91"/>
              </w:rPr>
              <w:t>Nine months ended September 30, 2009</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379"/>
              <w:spacing w:after="0" w:line="142" w:lineRule="exact"/>
              <w:rPr>
                <w:sz w:val="20"/>
                <w:szCs w:val="20"/>
                <w:color w:val="auto"/>
              </w:rPr>
            </w:pPr>
            <w:r>
              <w:rPr>
                <w:rFonts w:ascii="Arial" w:cs="Arial" w:eastAsia="Arial" w:hAnsi="Arial"/>
                <w:sz w:val="14"/>
                <w:szCs w:val="14"/>
                <w:b w:val="1"/>
                <w:bCs w:val="1"/>
                <w:color w:val="auto"/>
              </w:rPr>
              <w:t>Federal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7"/>
              </w:rPr>
              <w:t>State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Deferred benefit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62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7000" w:type="dxa"/>
            <w:vAlign w:val="bottom"/>
            <w:gridSpan w:val="9"/>
          </w:tcPr>
          <w:p>
            <w:pPr>
              <w:jc w:val="right"/>
              <w:ind w:right="380"/>
              <w:spacing w:after="0"/>
              <w:rPr>
                <w:sz w:val="20"/>
                <w:szCs w:val="20"/>
                <w:color w:val="auto"/>
              </w:rPr>
            </w:pPr>
            <w:r>
              <w:rPr>
                <w:rFonts w:ascii="Arial" w:cs="Arial" w:eastAsia="Arial" w:hAnsi="Arial"/>
                <w:sz w:val="18"/>
                <w:szCs w:val="18"/>
                <w:color w:val="auto"/>
                <w:w w:val="90"/>
              </w:rPr>
              <w:t>The major sources of temporary differences stated at their deferred tax effect are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2"/>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24"/>
                <w:szCs w:val="24"/>
                <w:color w:val="auto"/>
              </w:rPr>
            </w:pPr>
          </w:p>
        </w:tc>
        <w:tc>
          <w:tcPr>
            <w:tcW w:w="152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Captive insurance subsidiary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Fixed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1,042</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 compensation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w w:val="84"/>
              </w:rPr>
              <w:t>1,881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1,218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3,423</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2,990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980" w:type="dxa"/>
            <w:vAlign w:val="bottom"/>
            <w:gridSpan w:val="2"/>
          </w:tcPr>
          <w:p>
            <w:pPr>
              <w:ind w:left="640"/>
              <w:spacing w:after="0"/>
              <w:rPr>
                <w:sz w:val="20"/>
                <w:szCs w:val="20"/>
                <w:color w:val="auto"/>
              </w:rPr>
            </w:pPr>
            <w:r>
              <w:rPr>
                <w:rFonts w:ascii="Arial" w:cs="Arial" w:eastAsia="Arial" w:hAnsi="Arial"/>
                <w:sz w:val="18"/>
                <w:szCs w:val="18"/>
                <w:color w:val="auto"/>
              </w:rPr>
              <w:t>Net deferred tax asset</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2,520</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2,403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state income tax net operating losses expire between 2012 and 2027 and have been fully reversed through the valuation allowance.</w:t>
      </w:r>
    </w:p>
    <w:p>
      <w:pPr>
        <w:spacing w:after="0" w:line="221" w:lineRule="exact"/>
        <w:rPr>
          <w:sz w:val="20"/>
          <w:szCs w:val="20"/>
          <w:color w:val="auto"/>
        </w:rPr>
      </w:pPr>
    </w:p>
    <w:p>
      <w:pPr>
        <w:ind w:left="340" w:right="320" w:hanging="332"/>
        <w:spacing w:after="0" w:line="282" w:lineRule="auto"/>
        <w:tabs>
          <w:tab w:leader="none" w:pos="33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UNRECOVERED DEVELOPMENT AND ACQUISITION COSTS AND SEVERANCE COSTS ASSOCIATED WITH THE WIND-DOWN OF DEVELOPMENT PROGRAM</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June 2, 2009, the Company announced that it had begun the wind-down of its development program. As a result of the decision, the Company incurred $18,883 of impairment charges in order to write down the carrying value of undeveloped land, development projects that will be completed and investments in development projects to their estimated fair values less cost to sell. In addition, the Company recorded severance costs of $1,400. The Company expects to complete the remaining development properties currently under construction (13 wholly owned and one joint venture) by the fourth quarter of 2010.</w:t>
      </w:r>
    </w:p>
    <w:p>
      <w:pPr>
        <w:spacing w:after="0" w:line="15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Unrecovered development and acquisition costs incurred during the nine months ended September 30, 2008 include $1,257 relating to due diligence costs that were part of an unsuccessful attempt by the Company to purchase a large portfolio of properties in May and June of 2008. The remainder of these costs relate to entitlement and other due diligence work done on development projects that the Company elected not to pursue.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INFORMATION</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operates in three distinct segments: (1) property management, acquisition and development; (2) rental operations; and (3) tenant reinsurance. With the increased profitability and revenue growth in tenant reinsurance, the Company has started reporting this segment separately from the property management, acquisition and development segment. Financial information for the Company’s business segments is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September 30, 2009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2008</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Investment in real estate ventures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7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132,356</w:t>
            </w:r>
          </w:p>
        </w:tc>
        <w:tc>
          <w:tcPr>
            <w:tcW w:w="1140" w:type="dxa"/>
            <w:vAlign w:val="bottom"/>
            <w:gridSpan w:val="2"/>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136,791</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w w:val="94"/>
              </w:rPr>
              <w:t>Property management, acquisition and development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720" w:type="dxa"/>
            <w:vAlign w:val="bottom"/>
            <w:gridSpan w:val="5"/>
          </w:tcPr>
          <w:p>
            <w:pPr>
              <w:jc w:val="right"/>
              <w:ind w:right="160"/>
              <w:spacing w:after="0"/>
              <w:rPr>
                <w:sz w:val="20"/>
                <w:szCs w:val="20"/>
                <w:color w:val="auto"/>
              </w:rPr>
            </w:pPr>
            <w:r>
              <w:rPr>
                <w:rFonts w:ascii="Arial" w:cs="Arial" w:eastAsia="Arial" w:hAnsi="Arial"/>
                <w:sz w:val="18"/>
                <w:szCs w:val="18"/>
                <w:color w:val="auto"/>
              </w:rPr>
              <w:t>470,190</w:t>
            </w:r>
          </w:p>
        </w:tc>
        <w:tc>
          <w:tcPr>
            <w:tcW w:w="114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466,474</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1,884,260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1,811,417</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Tenant reinsurance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right"/>
              <w:ind w:right="160"/>
              <w:spacing w:after="0"/>
              <w:rPr>
                <w:sz w:val="20"/>
                <w:szCs w:val="20"/>
                <w:color w:val="auto"/>
              </w:rPr>
            </w:pPr>
            <w:r>
              <w:rPr>
                <w:rFonts w:ascii="Arial" w:cs="Arial" w:eastAsia="Arial" w:hAnsi="Arial"/>
                <w:sz w:val="18"/>
                <w:szCs w:val="18"/>
                <w:color w:val="auto"/>
              </w:rPr>
              <w:t>14,700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2,369,150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2,291,008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right"/>
              <w:ind w:right="477"/>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46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5,586</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15,886</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Rental operations</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60,380</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59,997</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178,494</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174,906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-1289685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-1289685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71,304</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209,626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7"/>
              </w:rPr>
              <w:t>Operating expenses, including depreciation and amortization</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53,902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35,221</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33,354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104,214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48,087</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162,112</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w w:val="96"/>
              </w:rPr>
              <w:t>Income (loss) before interest, equity in earnings of real estate</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5"/>
              </w:rPr>
              <w:t>ventures, gain on repurchase of exchangeable senior notes,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4"/>
              </w:rPr>
              <w:t>loss on sale of investments available for sale and income tax</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(5,137)</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(38,016)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25,159</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26,643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74,280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11,250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47,514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(17,381)</w:t>
            </w:r>
          </w:p>
        </w:tc>
        <w:tc>
          <w:tcPr>
            <w:tcW w:w="4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(15,579)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(48,414)</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262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1,082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w w:val="98"/>
              </w:rPr>
              <w:t>Interest income on note receivable from Preferred Operating</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Partnership unit holder</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1,752</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2,015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5,288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on repurchase of exchangeable senior notes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27,576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investments available for sale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(6,217)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(4,066)</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(10,765)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31,154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11,266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1,598</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2,402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12,199</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36,758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13,797</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Statement of Cash Flows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real estate assets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(27,378)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Development and construction of real estate assets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(57,905)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has guaranteed a construction loan for an unconsolidated partnership that owns a property in Baltimore, Maryland. The property is owned by a joint venture in which the Company has a 10% equity interest. This guarantee was entered into in November 2004. At September 30, 2009, the total amount of guaranteed mortgage debt relating to this joint venture was $5,448. This mortgage loan matures on December 12, 2009. If the joint venture defaults on the loan, the Company may be forced to repay the loan. Repossessing and/or selling the self-storage facility and land that collateralize the loan could provide funds sufficient to reimburse the Company. The estimated fair market value of the encumbered assets at September 30, 2009 was $6,981. The Company</w:t>
      </w:r>
    </w:p>
    <w:p>
      <w:pPr>
        <w:sectPr>
          <w:pgSz w:w="11900" w:h="16838" w:orient="portrait"/>
          <w:cols w:equalWidth="0" w:num="1">
            <w:col w:w="11460"/>
          </w:cols>
          <w:pgMar w:left="240" w:top="140" w:right="199" w:bottom="0" w:gutter="0" w:footer="0" w:header="0"/>
        </w:sectPr>
      </w:pPr>
    </w:p>
    <w:bookmarkStart w:id="21" w:name="page22"/>
    <w:bookmarkEnd w:id="21"/>
    <w:p>
      <w:pPr>
        <w:spacing w:after="0" w:line="1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recorded no liability in relation to this guarantee as of September 30, 2009, as the fair value of the guarantee was not material. To date, the joint venture has not defaulted on its mortgage debt. The Company believes the risk of incurring a loss as a result of having to perform on this guarantee is remote.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September 30, 2009, the Company was not involved in any material litigation nor, to its knowledge, was any material litigation threatened against it, or its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October 2009, the Company repurchased $7,500 principal amount of Notes. The Company paid cash of $6,881 to repurchase the Notes, exclusive of $4 paid for interest accrued on the repurchased Notes through the date of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time of filing these financial statements with the SEC on November 5, 2009.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our “</w:t>
      </w:r>
      <w:r>
        <w:rPr>
          <w:rFonts w:ascii="Arial" w:cs="Arial" w:eastAsia="Arial" w:hAnsi="Arial"/>
          <w:sz w:val="16"/>
          <w:szCs w:val="16"/>
          <w:i w:val="1"/>
          <w:iCs w:val="1"/>
          <w:color w:val="auto"/>
        </w:rPr>
        <w:t>Unaudited 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Unaudited Condensed Consolidated Financial Statements” </w:t>
      </w:r>
      <w:r>
        <w:rPr>
          <w:rFonts w:ascii="Arial" w:cs="Arial" w:eastAsia="Arial" w:hAnsi="Arial"/>
          <w:sz w:val="16"/>
          <w:szCs w:val="16"/>
          <w:color w:val="auto"/>
        </w:rPr>
        <w:t>contained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 Form 10-K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2008, as updated in our Form 8-K filed on June 5, 2009. The Company makes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6"/>
          <w:szCs w:val="16"/>
          <w:i w:val="1"/>
          <w:iCs w:val="1"/>
          <w:color w:val="auto"/>
        </w:rPr>
        <w:t>Statement on Forward-Looking Information</w:t>
      </w:r>
      <w:r>
        <w:rPr>
          <w:rFonts w:ascii="Arial" w:cs="Arial" w:eastAsia="Arial" w:hAnsi="Arial"/>
          <w:sz w:val="16"/>
          <w:szCs w:val="16"/>
          <w:color w:val="auto"/>
        </w:rPr>
        <w:t>.” Amounts are in thousands (except property and share data and unless otherwise stated).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Certain amounts in the unaudited condensed consolidated financial statements have been restated to reflect the retroactive application of new accounting standards. Our notes to the unaudited condensed consolidated financial statements contained elsewhere in this report and the audited financial statements contained in our</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Form 10-K for the year ended December 31, 2008, as updated in our Form 8-K filed on June 5, 2009,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fully integrated, self-administered and self-managed real estate investment trust, or REIT, formed to continue the business commenced in 1977 by our predecessor companies to own, operate, manage, acquire and redevelop professionally managed self-storage properties. We derive substantially all of our revenues from rents received from tenants under existing leases at each of our self-storage properties, from management fees on the properties we manage for joint-venture partners, franchisees and unaffiliated third parties and from our tenant reinsurance program. Our management fee is equal to approximately 6% of cash collected by the managed properties.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60" w:right="620" w:hanging="376"/>
        <w:spacing w:after="0" w:line="342" w:lineRule="auto"/>
        <w:tabs>
          <w:tab w:leader="none" w:pos="72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Maximize the performance of properties through strategic, efficient and proactive management. </w:t>
      </w:r>
      <w:r>
        <w:rPr>
          <w:rFonts w:ascii="Arial" w:cs="Arial" w:eastAsia="Arial" w:hAnsi="Arial"/>
          <w:sz w:val="16"/>
          <w:szCs w:val="16"/>
          <w:color w:val="auto"/>
        </w:rPr>
        <w:t>We pursue revenue generating and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minimizing opportunities in our operations. Our revenue management team seeks to maximize revenue by responding to changing market</w:t>
      </w:r>
    </w:p>
    <w:p>
      <w:pPr>
        <w:sectPr>
          <w:pgSz w:w="11900" w:h="16975" w:orient="portrait"/>
          <w:cols w:equalWidth="0" w:num="1">
            <w:col w:w="11380"/>
          </w:cols>
          <w:pgMar w:left="240" w:top="125" w:right="279" w:bottom="0" w:gutter="0" w:footer="0" w:header="0"/>
        </w:sectPr>
      </w:pPr>
    </w:p>
    <w:bookmarkStart w:id="22" w:name="page23"/>
    <w:bookmarkEnd w:id="22"/>
    <w:p>
      <w:pPr>
        <w:ind w:left="760" w:right="240"/>
        <w:spacing w:after="0" w:line="264" w:lineRule="auto"/>
        <w:rPr>
          <w:sz w:val="20"/>
          <w:szCs w:val="20"/>
          <w:color w:val="auto"/>
        </w:rPr>
      </w:pPr>
      <w:r>
        <w:rPr>
          <w:rFonts w:ascii="Arial" w:cs="Arial" w:eastAsia="Arial" w:hAnsi="Arial"/>
          <w:sz w:val="18"/>
          <w:szCs w:val="18"/>
          <w:color w:val="auto"/>
        </w:rPr>
        <w:t>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1" w:lineRule="exact"/>
        <w:rPr>
          <w:sz w:val="20"/>
          <w:szCs w:val="20"/>
          <w:color w:val="auto"/>
        </w:rPr>
      </w:pPr>
    </w:p>
    <w:p>
      <w:pPr>
        <w:ind w:left="760" w:right="140" w:hanging="376"/>
        <w:spacing w:after="0" w:line="279" w:lineRule="auto"/>
        <w:tabs>
          <w:tab w:leader="none" w:pos="72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Expand our management business</w:t>
      </w:r>
      <w:r>
        <w:rPr>
          <w:rFonts w:ascii="Arial" w:cs="Arial" w:eastAsia="Arial" w:hAnsi="Arial"/>
          <w:sz w:val="17"/>
          <w:szCs w:val="17"/>
          <w:color w:val="auto"/>
        </w:rPr>
        <w:t>. Our management business enables us to generate increased revenues through management fees and expand our</w:t>
      </w:r>
      <w:r>
        <w:rPr>
          <w:rFonts w:ascii="Arial" w:cs="Arial" w:eastAsia="Arial" w:hAnsi="Arial"/>
          <w:sz w:val="17"/>
          <w:szCs w:val="17"/>
          <w:i w:val="1"/>
          <w:iCs w:val="1"/>
          <w:color w:val="auto"/>
        </w:rPr>
        <w:t xml:space="preserve"> </w:t>
      </w:r>
      <w:r>
        <w:rPr>
          <w:rFonts w:ascii="Arial" w:cs="Arial" w:eastAsia="Arial" w:hAnsi="Arial"/>
          <w:sz w:val="17"/>
          <w:szCs w:val="17"/>
          <w:color w:val="auto"/>
        </w:rPr>
        <w:t>geographic footprint. This expanded footprint enables us to reduce our operating costs through economies of scale. In addition, we see our management business as a future acquisition pipeline. We pursue strategic relationships with owners that strengthen our acquisition pipeline through agreements which give us first right of refusal to purchase the managed property in the event of a potential sale.</w:t>
      </w:r>
    </w:p>
    <w:p>
      <w:pPr>
        <w:spacing w:after="0" w:line="171" w:lineRule="exact"/>
        <w:rPr>
          <w:rFonts w:ascii="Arial" w:cs="Arial" w:eastAsia="Arial" w:hAnsi="Arial"/>
          <w:sz w:val="17"/>
          <w:szCs w:val="17"/>
          <w:color w:val="auto"/>
        </w:rPr>
      </w:pPr>
    </w:p>
    <w:p>
      <w:pPr>
        <w:ind w:left="760" w:right="40" w:hanging="376"/>
        <w:spacing w:after="0" w:line="259" w:lineRule="auto"/>
        <w:tabs>
          <w:tab w:leader="none" w:pos="72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continues to selectively pursue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properties and multi-property portfolios that we believe can provide stockholder value. We have established a reputation as a reliable, ethical buyer, which we believe enhances our ability to negotiate and close acquisitions. In addition, we believe our status as an UPREIT enables flexibility when structuring deals.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Recent U.S. and international market and economic conditions have been unprecedented and challenging, with tighter credit conditions and slower growth through the second half of 2008 and the first three quarters of 2009. For the nine months ended September 30, 2009, continued concerns about the systemic impact of inflation, energy costs, geopolitical issues, the availability and cost of credit and other macro-economic factors have contributed to increased market volatility and diminished expectations for the global economy and increased market uncertainty and instability. Continued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2009, we owned or had ownership interests in 635 operating self-storage properties. Of these properties, 286 are wholly-owned and 349 are held in joint ventures. In addition, we managed an additional 114 properties for franchisees or third parties bringing the total number of operating properties which we own and/or manage to 749. These properties are located in 33 states and Washington, D.C. As of September 30, 2009, we owned and/or managed approximately 54 million square feet of space with more than 350,000 customers.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consider a property to be in the lease-up stage after it has been issued a certificate of occupancy, but before it has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September 30, 2009, the median length of stay was approximately eleven months.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property portfolio is a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September 30, 2009 and 2008. The information as of September 30, 2008 is on a pro forma basis as though all the properties owned and/or managed at September 30, 2009 were under our control as of September 30,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Company</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Pro forma</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Company</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Pro forma</w:t>
            </w:r>
          </w:p>
        </w:tc>
        <w:tc>
          <w:tcPr>
            <w:tcW w:w="136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91"/>
              </w:rPr>
              <w:t>Company</w:t>
            </w:r>
          </w:p>
        </w:tc>
        <w:tc>
          <w:tcPr>
            <w:tcW w:w="1240" w:type="dxa"/>
            <w:vAlign w:val="bottom"/>
            <w:gridSpan w:val="2"/>
          </w:tcPr>
          <w:p>
            <w:pPr>
              <w:jc w:val="center"/>
              <w:ind w:right="77"/>
              <w:spacing w:after="0"/>
              <w:rPr>
                <w:sz w:val="20"/>
                <w:szCs w:val="20"/>
                <w:color w:val="auto"/>
              </w:rPr>
            </w:pPr>
            <w:r>
              <w:rPr>
                <w:rFonts w:ascii="Arial" w:cs="Arial" w:eastAsia="Arial" w:hAnsi="Arial"/>
                <w:sz w:val="11"/>
                <w:szCs w:val="11"/>
                <w:b w:val="1"/>
                <w:bCs w:val="1"/>
                <w:color w:val="auto"/>
                <w:w w:val="92"/>
              </w:rPr>
              <w:t>Pro forma</w:t>
            </w:r>
          </w:p>
        </w:tc>
      </w:tr>
      <w:tr>
        <w:trPr>
          <w:trHeight w:val="101"/>
        </w:trPr>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2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8"/>
              </w:rPr>
              <w:t>Net Rentable Square Feet</w:t>
            </w:r>
          </w:p>
        </w:tc>
        <w:tc>
          <w:tcPr>
            <w:tcW w:w="22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220" w:type="dxa"/>
            <w:vAlign w:val="bottom"/>
          </w:tcPr>
          <w:p>
            <w:pPr>
              <w:spacing w:after="0"/>
              <w:rPr>
                <w:sz w:val="8"/>
                <w:szCs w:val="8"/>
                <w:color w:val="auto"/>
              </w:rPr>
            </w:pPr>
          </w:p>
        </w:tc>
        <w:tc>
          <w:tcPr>
            <w:tcW w:w="11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80" w:type="dxa"/>
            <w:vAlign w:val="bottom"/>
          </w:tcPr>
          <w:p>
            <w:pPr>
              <w:spacing w:after="0"/>
              <w:rPr>
                <w:sz w:val="8"/>
                <w:szCs w:val="8"/>
                <w:color w:val="auto"/>
              </w:rPr>
            </w:pPr>
          </w:p>
        </w:tc>
      </w:tr>
      <w:tr>
        <w:trPr>
          <w:trHeight w:val="122"/>
        </w:trPr>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15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4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1"/>
              </w:rPr>
              <w:t>Feet as of</w:t>
            </w:r>
          </w:p>
        </w:tc>
        <w:tc>
          <w:tcPr>
            <w:tcW w:w="14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as of</w:t>
            </w:r>
          </w:p>
        </w:tc>
        <w:tc>
          <w:tcPr>
            <w:tcW w:w="136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91"/>
              </w:rPr>
              <w:t>Occupancy %</w:t>
            </w:r>
          </w:p>
        </w:tc>
        <w:tc>
          <w:tcPr>
            <w:tcW w:w="1240" w:type="dxa"/>
            <w:vAlign w:val="bottom"/>
            <w:gridSpan w:val="2"/>
          </w:tcPr>
          <w:p>
            <w:pPr>
              <w:jc w:val="center"/>
              <w:ind w:right="57"/>
              <w:spacing w:after="0" w:line="122" w:lineRule="exact"/>
              <w:rPr>
                <w:sz w:val="20"/>
                <w:szCs w:val="20"/>
                <w:color w:val="auto"/>
              </w:rPr>
            </w:pPr>
            <w:r>
              <w:rPr>
                <w:rFonts w:ascii="Arial" w:cs="Arial" w:eastAsia="Arial" w:hAnsi="Arial"/>
                <w:sz w:val="11"/>
                <w:szCs w:val="11"/>
                <w:b w:val="1"/>
                <w:bCs w:val="1"/>
                <w:color w:val="auto"/>
                <w:w w:val="91"/>
              </w:rPr>
              <w:t>Occupancy %</w:t>
            </w:r>
          </w:p>
        </w:tc>
      </w:tr>
      <w:tr>
        <w:trPr>
          <w:trHeight w:val="135"/>
        </w:trPr>
        <w:tc>
          <w:tcPr>
            <w:tcW w:w="1840" w:type="dxa"/>
            <w:vAlign w:val="bottom"/>
            <w:gridSpan w:val="2"/>
          </w:tcPr>
          <w:p>
            <w:pPr>
              <w:spacing w:after="0"/>
              <w:rPr>
                <w:sz w:val="20"/>
                <w:szCs w:val="20"/>
                <w:color w:val="auto"/>
              </w:rPr>
            </w:pPr>
            <w:r>
              <w:rPr>
                <w:rFonts w:ascii="Arial" w:cs="Arial" w:eastAsia="Arial" w:hAnsi="Arial"/>
                <w:sz w:val="11"/>
                <w:szCs w:val="11"/>
                <w:b w:val="1"/>
                <w:bCs w:val="1"/>
                <w:color w:val="auto"/>
              </w:rPr>
              <w:t>Location</w:t>
            </w:r>
          </w:p>
        </w:tc>
        <w:tc>
          <w:tcPr>
            <w:tcW w:w="1040" w:type="dxa"/>
            <w:vAlign w:val="bottom"/>
            <w:gridSpan w:val="2"/>
          </w:tcPr>
          <w:p>
            <w:pPr>
              <w:ind w:left="180"/>
              <w:spacing w:after="0"/>
              <w:rPr>
                <w:sz w:val="20"/>
                <w:szCs w:val="20"/>
                <w:color w:val="auto"/>
              </w:rPr>
            </w:pPr>
            <w:r>
              <w:rPr>
                <w:rFonts w:ascii="Arial" w:cs="Arial" w:eastAsia="Arial" w:hAnsi="Arial"/>
                <w:sz w:val="11"/>
                <w:szCs w:val="11"/>
                <w:b w:val="1"/>
                <w:bCs w:val="1"/>
                <w:color w:val="auto"/>
              </w:rPr>
              <w:t>Properties</w:t>
            </w: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September 30, 2009(1)</w:t>
            </w: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September 30, 2008</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September 30, 2009(2)</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September 30, 2008</w:t>
            </w:r>
          </w:p>
        </w:tc>
        <w:tc>
          <w:tcPr>
            <w:tcW w:w="136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87"/>
              </w:rPr>
              <w:t>September 30, 2009</w:t>
            </w:r>
          </w:p>
        </w:tc>
        <w:tc>
          <w:tcPr>
            <w:tcW w:w="1240" w:type="dxa"/>
            <w:vAlign w:val="bottom"/>
            <w:gridSpan w:val="2"/>
          </w:tcPr>
          <w:p>
            <w:pPr>
              <w:jc w:val="center"/>
              <w:ind w:right="57"/>
              <w:spacing w:after="0"/>
              <w:rPr>
                <w:sz w:val="20"/>
                <w:szCs w:val="20"/>
                <w:color w:val="auto"/>
              </w:rPr>
            </w:pPr>
            <w:r>
              <w:rPr>
                <w:rFonts w:ascii="Arial" w:cs="Arial" w:eastAsia="Arial" w:hAnsi="Arial"/>
                <w:sz w:val="11"/>
                <w:szCs w:val="11"/>
                <w:b w:val="1"/>
                <w:bCs w:val="1"/>
                <w:color w:val="auto"/>
                <w:w w:val="87"/>
              </w:rPr>
              <w:t>September 30, 2008</w:t>
            </w:r>
          </w:p>
        </w:tc>
      </w:tr>
      <w:tr>
        <w:trPr>
          <w:trHeight w:val="115"/>
        </w:trPr>
        <w:tc>
          <w:tcPr>
            <w:tcW w:w="16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586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581</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77,550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76,000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80.1%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Arizona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2,828</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2,845</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347,098</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347,413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46</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36,921</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37,148</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3,642,589</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3,636,146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3,791</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476,484</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476,434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89.0%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Connecticut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2,028</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2,026</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178,115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178,190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81.3%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78.3%</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20,508</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20,587</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2,184,769</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2,185,445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81.5%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82.2%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6,423</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6,430</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836,922</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835,632</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82.1%</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Hawaii</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2,857</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2,869</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145,616</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149,922</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81.7%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3,322</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3,290</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342,239</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342,319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81.4%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3,486</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3,526</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412,785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415,107</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83.8%</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87.3%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506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504</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50,190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49,740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88.5%</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1,578</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194,001</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194,270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88.6%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Louisiana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1,412</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1,405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150,335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148,315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90.8%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7,936</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7,945</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847,487</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847,054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86.8%</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84.3%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15,253</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15,278</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1,570,320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1,573,009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84.7%</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1,026</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1,038</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135,026</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136,466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90.7%</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3,146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3,148</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374,277</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374,357</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1,239</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1,254</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132,015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132,215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88.1%</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New Hampshire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1,006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1,006</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125,473</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125,909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88.7%</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18,818</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18,860</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1,835,446</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1,836,691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85.0%</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86.1%</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545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538</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71,705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68,310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84.9%</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8,657</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8,688</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608,590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609,976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83.0%</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82.1%</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2,026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2,026</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273,772</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273,492</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766</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766</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102,990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103,450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86.0%</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83.9%</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6,572</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6,572</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689,540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684,983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85.1%</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729</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729</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75,521</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75,521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89.8%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South Carolina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1,553</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1,554</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178,749</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178,719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89.3%</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3,692</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3,502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487,774</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474,327</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79.5%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Texas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12,379</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12,415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1,402,957</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1,402,408</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87.5%</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1,540</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1,537</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210,561</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210,526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86.4%</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92.6%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Virginia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3,561</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3,579</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346,872</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346,907</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87.2%</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2,550</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308,115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306,025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93.1%</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90.9%</w:t>
            </w:r>
          </w:p>
        </w:tc>
      </w:tr>
      <w:tr>
        <w:trPr>
          <w:trHeight w:val="115"/>
        </w:trPr>
        <w:tc>
          <w:tcPr>
            <w:tcW w:w="18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Total Wholly-Owned Stabilized</w:t>
            </w: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263</w:t>
            </w:r>
          </w:p>
        </w:tc>
        <w:tc>
          <w:tcPr>
            <w:tcW w:w="220" w:type="dxa"/>
            <w:vAlign w:val="bottom"/>
          </w:tcPr>
          <w:p>
            <w:pPr>
              <w:spacing w:after="0"/>
              <w:rPr>
                <w:sz w:val="10"/>
                <w:szCs w:val="10"/>
                <w:color w:val="auto"/>
              </w:rPr>
            </w:pPr>
          </w:p>
        </w:tc>
        <w:tc>
          <w:tcPr>
            <w:tcW w:w="12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179,240</w:t>
            </w:r>
          </w:p>
        </w:tc>
        <w:tc>
          <w:tcPr>
            <w:tcW w:w="240" w:type="dxa"/>
            <w:vAlign w:val="bottom"/>
          </w:tcPr>
          <w:p>
            <w:pPr>
              <w:spacing w:after="0"/>
              <w:rPr>
                <w:sz w:val="10"/>
                <w:szCs w:val="10"/>
                <w:color w:val="auto"/>
              </w:rPr>
            </w:pPr>
          </w:p>
        </w:tc>
        <w:tc>
          <w:tcPr>
            <w:tcW w:w="12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179,572</w:t>
            </w:r>
          </w:p>
        </w:tc>
        <w:tc>
          <w:tcPr>
            <w:tcW w:w="240" w:type="dxa"/>
            <w:vAlign w:val="bottom"/>
          </w:tcPr>
          <w:p>
            <w:pPr>
              <w:spacing w:after="0"/>
              <w:rPr>
                <w:sz w:val="10"/>
                <w:szCs w:val="10"/>
                <w:color w:val="auto"/>
              </w:rPr>
            </w:pPr>
          </w:p>
        </w:tc>
        <w:tc>
          <w:tcPr>
            <w:tcW w:w="12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18,815,883</w:t>
            </w:r>
          </w:p>
        </w:tc>
        <w:tc>
          <w:tcPr>
            <w:tcW w:w="220" w:type="dxa"/>
            <w:vAlign w:val="bottom"/>
          </w:tcPr>
          <w:p>
            <w:pPr>
              <w:spacing w:after="0"/>
              <w:rPr>
                <w:sz w:val="10"/>
                <w:szCs w:val="10"/>
                <w:color w:val="auto"/>
              </w:rPr>
            </w:pPr>
          </w:p>
        </w:tc>
        <w:tc>
          <w:tcPr>
            <w:tcW w:w="12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18,795,278</w:t>
            </w:r>
          </w:p>
        </w:tc>
        <w:tc>
          <w:tcPr>
            <w:tcW w:w="220" w:type="dxa"/>
            <w:vAlign w:val="bottom"/>
          </w:tcPr>
          <w:p>
            <w:pPr>
              <w:spacing w:after="0"/>
              <w:rPr>
                <w:sz w:val="10"/>
                <w:szCs w:val="10"/>
                <w:color w:val="auto"/>
              </w:rPr>
            </w:pPr>
          </w:p>
        </w:tc>
        <w:tc>
          <w:tcPr>
            <w:tcW w:w="1140" w:type="dxa"/>
            <w:vAlign w:val="bottom"/>
            <w:tcBorders>
              <w:top w:val="single" w:sz="8" w:color="auto"/>
            </w:tcBorders>
          </w:tcPr>
          <w:p>
            <w:pPr>
              <w:ind w:left="960"/>
              <w:spacing w:after="0" w:line="115" w:lineRule="exact"/>
              <w:rPr>
                <w:sz w:val="20"/>
                <w:szCs w:val="20"/>
                <w:color w:val="auto"/>
              </w:rPr>
            </w:pPr>
            <w:r>
              <w:rPr>
                <w:rFonts w:ascii="Arial" w:cs="Arial" w:eastAsia="Arial" w:hAnsi="Arial"/>
                <w:sz w:val="11"/>
                <w:szCs w:val="11"/>
                <w:b w:val="1"/>
                <w:bCs w:val="1"/>
                <w:color w:val="auto"/>
                <w:w w:val="74"/>
              </w:rPr>
              <w:t>84.2</w:t>
            </w:r>
          </w:p>
        </w:tc>
        <w:tc>
          <w:tcPr>
            <w:tcW w:w="220" w:type="dxa"/>
            <w:vAlign w:val="bottom"/>
          </w:tcPr>
          <w:p>
            <w:pPr>
              <w:jc w:val="right"/>
              <w:ind w:right="66"/>
              <w:spacing w:after="0" w:line="115" w:lineRule="exact"/>
              <w:rPr>
                <w:sz w:val="20"/>
                <w:szCs w:val="20"/>
                <w:color w:val="auto"/>
              </w:rPr>
            </w:pPr>
            <w:r>
              <w:rPr>
                <w:rFonts w:ascii="Arial" w:cs="Arial" w:eastAsia="Arial" w:hAnsi="Arial"/>
                <w:sz w:val="11"/>
                <w:szCs w:val="11"/>
                <w:b w:val="1"/>
                <w:bCs w:val="1"/>
                <w:color w:val="auto"/>
                <w:w w:val="81"/>
              </w:rPr>
              <w:t>%</w:t>
            </w:r>
          </w:p>
        </w:tc>
        <w:tc>
          <w:tcPr>
            <w:tcW w:w="1160" w:type="dxa"/>
            <w:vAlign w:val="bottom"/>
            <w:tcBorders>
              <w:top w:val="single" w:sz="8" w:color="auto"/>
            </w:tcBorders>
          </w:tcPr>
          <w:p>
            <w:pPr>
              <w:ind w:left="940"/>
              <w:spacing w:after="0" w:line="115" w:lineRule="exact"/>
              <w:rPr>
                <w:sz w:val="20"/>
                <w:szCs w:val="20"/>
                <w:color w:val="auto"/>
              </w:rPr>
            </w:pPr>
            <w:r>
              <w:rPr>
                <w:rFonts w:ascii="Arial" w:cs="Arial" w:eastAsia="Arial" w:hAnsi="Arial"/>
                <w:sz w:val="11"/>
                <w:szCs w:val="11"/>
                <w:b w:val="1"/>
                <w:bCs w:val="1"/>
                <w:color w:val="auto"/>
                <w:w w:val="83"/>
              </w:rPr>
              <w:t>85.6</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4"/>
              </w:rPr>
              <w:t>%</w:t>
            </w:r>
          </w:p>
        </w:tc>
      </w:tr>
      <w:tr>
        <w:trPr>
          <w:trHeight w:val="20"/>
        </w:trPr>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400"/>
              <w:spacing w:after="0"/>
              <w:rPr>
                <w:sz w:val="20"/>
                <w:szCs w:val="20"/>
                <w:color w:val="auto"/>
              </w:rPr>
            </w:pPr>
            <w:r>
              <w:rPr>
                <w:rFonts w:ascii="Arial" w:cs="Arial" w:eastAsia="Arial" w:hAnsi="Arial"/>
                <w:sz w:val="11"/>
                <w:szCs w:val="11"/>
                <w:b w:val="1"/>
                <w:bCs w:val="1"/>
                <w:color w:val="auto"/>
              </w:rPr>
              <w:t>Company</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Pro forma</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Company</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Pro forma</w:t>
            </w:r>
          </w:p>
        </w:tc>
        <w:tc>
          <w:tcPr>
            <w:tcW w:w="136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91"/>
              </w:rPr>
              <w:t>Company</w:t>
            </w:r>
          </w:p>
        </w:tc>
        <w:tc>
          <w:tcPr>
            <w:tcW w:w="12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2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Net Rentable Square</w:t>
            </w:r>
          </w:p>
        </w:tc>
        <w:tc>
          <w:tcPr>
            <w:tcW w:w="22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22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Number of</w:t>
            </w:r>
          </w:p>
        </w:tc>
        <w:tc>
          <w:tcPr>
            <w:tcW w:w="1720" w:type="dxa"/>
            <w:vAlign w:val="bottom"/>
            <w:gridSpan w:val="3"/>
          </w:tcPr>
          <w:p>
            <w:pPr>
              <w:ind w:left="220"/>
              <w:spacing w:after="0" w:line="122" w:lineRule="exact"/>
              <w:rPr>
                <w:sz w:val="20"/>
                <w:szCs w:val="20"/>
                <w:color w:val="auto"/>
              </w:rPr>
            </w:pPr>
            <w:r>
              <w:rPr>
                <w:rFonts w:ascii="Arial" w:cs="Arial" w:eastAsia="Arial" w:hAnsi="Arial"/>
                <w:sz w:val="11"/>
                <w:szCs w:val="11"/>
                <w:b w:val="1"/>
                <w:bCs w:val="1"/>
                <w:color w:val="auto"/>
              </w:rPr>
              <w:t>Number of Units as of</w:t>
            </w: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4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1"/>
              </w:rPr>
              <w:t>Feet as of</w:t>
            </w: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91"/>
              </w:rPr>
              <w:t>Occupancy %</w:t>
            </w:r>
          </w:p>
        </w:tc>
        <w:tc>
          <w:tcPr>
            <w:tcW w:w="12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Occupancy %</w:t>
            </w:r>
          </w:p>
        </w:tc>
        <w:tc>
          <w:tcPr>
            <w:tcW w:w="0" w:type="dxa"/>
            <w:vAlign w:val="bottom"/>
          </w:tcPr>
          <w:p>
            <w:pPr>
              <w:spacing w:after="0"/>
              <w:rPr>
                <w:sz w:val="1"/>
                <w:szCs w:val="1"/>
                <w:color w:val="auto"/>
              </w:rPr>
            </w:pPr>
          </w:p>
        </w:tc>
      </w:tr>
      <w:tr>
        <w:trPr>
          <w:trHeight w:val="135"/>
        </w:trPr>
        <w:tc>
          <w:tcPr>
            <w:tcW w:w="184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820" w:type="dxa"/>
            <w:vAlign w:val="bottom"/>
          </w:tcPr>
          <w:p>
            <w:pPr>
              <w:jc w:val="right"/>
              <w:ind w:right="126"/>
              <w:spacing w:after="0"/>
              <w:rPr>
                <w:sz w:val="20"/>
                <w:szCs w:val="20"/>
                <w:color w:val="auto"/>
              </w:rPr>
            </w:pPr>
            <w:r>
              <w:rPr>
                <w:rFonts w:ascii="Arial" w:cs="Arial" w:eastAsia="Arial" w:hAnsi="Arial"/>
                <w:sz w:val="11"/>
                <w:szCs w:val="11"/>
                <w:b w:val="1"/>
                <w:bCs w:val="1"/>
                <w:color w:val="auto"/>
              </w:rPr>
              <w:t>Properties</w:t>
            </w:r>
          </w:p>
        </w:tc>
        <w:tc>
          <w:tcPr>
            <w:tcW w:w="1720" w:type="dxa"/>
            <w:vAlign w:val="bottom"/>
            <w:gridSpan w:val="3"/>
          </w:tcPr>
          <w:p>
            <w:pPr>
              <w:ind w:left="220"/>
              <w:spacing w:after="0"/>
              <w:rPr>
                <w:sz w:val="20"/>
                <w:szCs w:val="20"/>
                <w:color w:val="auto"/>
              </w:rPr>
            </w:pPr>
            <w:r>
              <w:rPr>
                <w:rFonts w:ascii="Arial" w:cs="Arial" w:eastAsia="Arial" w:hAnsi="Arial"/>
                <w:sz w:val="11"/>
                <w:szCs w:val="11"/>
                <w:b w:val="1"/>
                <w:bCs w:val="1"/>
                <w:color w:val="auto"/>
              </w:rPr>
              <w:t>September 30, 2009(1)</w:t>
            </w: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September 30, 2008</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September 30, 2009(2)</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September 30, 2008</w:t>
            </w:r>
          </w:p>
        </w:tc>
        <w:tc>
          <w:tcPr>
            <w:tcW w:w="136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87"/>
              </w:rPr>
              <w:t>September 30, 2009</w:t>
            </w:r>
          </w:p>
        </w:tc>
        <w:tc>
          <w:tcPr>
            <w:tcW w:w="12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7"/>
              </w:rPr>
              <w:t>September 30, 2008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Joint-venture properties</w:t>
            </w: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1,705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1,710</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205,638</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205,833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Arizona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6,838</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6,862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751,414</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751,184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82.4%</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55,145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55,158</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5,636,807</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5,639,736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1,329</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1,334</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158,483</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158,413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82.2%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Connecticut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5,993</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5,992</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692,446</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693,032</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80.3%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79.7%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Delaware</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585</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588</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71,655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71,655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91.1%</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Florida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19,192</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19,240</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1,941,103</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1,938,665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81.2%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Georgia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1,870</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1,889</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245,270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246,926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79.9%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4,665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4,679</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503,626</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504,181</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2,767</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2,771</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366,173</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365,963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1,210</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1,215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160,060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161,500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2,279</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2,286</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269,916</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268,358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84.1%</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Maryland</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11,071</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11,111</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1,083,140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1,081,427</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86.5%</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9,218</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9,246</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1,046,848</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1,047,458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82.6%</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Michigan</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5,919</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5,947</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784,243</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787,118</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Missouri</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953</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117,945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117,715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83.6%</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Nevada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4,619</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4,611</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619,358</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618,818</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82.5%</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Hampshire</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1,317</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1,320</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137,594</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138,234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New Jersey</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15,666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15,675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1,647,176</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1,647,956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Mexico</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4,680</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4,698</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542,709</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537,802</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New York</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21,641</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21,659</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1,734,340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1,736,140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87.5%</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Ohio</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5,017</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755,307</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754,657</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80.2%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Oregon</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1,291</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1,294</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136,500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136,980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Pennsylvania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7,229</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7,228</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764,885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764,980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Rhode Island</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607</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607</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73,880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73,880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68.3%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77.0%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11,765</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11,792</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1,548,968</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1,547,659</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84.6%</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Texas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11,704</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11,744</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1,547,980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1,549,866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520</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520</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59,000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59,300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Virginia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11,274</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11,278</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1,191,683</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1,191,543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545</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551</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62,730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62,730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Washington, DC</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1,535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1,536</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102,003</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102,003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90.1%</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Total Stabilized Joint-Ventures</w:t>
            </w:r>
          </w:p>
        </w:tc>
        <w:tc>
          <w:tcPr>
            <w:tcW w:w="8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336</w:t>
            </w: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230,149</w:t>
            </w:r>
          </w:p>
        </w:tc>
        <w:tc>
          <w:tcPr>
            <w:tcW w:w="24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230,516</w:t>
            </w:r>
          </w:p>
        </w:tc>
        <w:tc>
          <w:tcPr>
            <w:tcW w:w="2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24,958,880</w:t>
            </w: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24,961,712</w:t>
            </w: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ind w:left="960"/>
              <w:spacing w:after="0" w:line="115" w:lineRule="exact"/>
              <w:rPr>
                <w:sz w:val="20"/>
                <w:szCs w:val="20"/>
                <w:color w:val="auto"/>
              </w:rPr>
            </w:pPr>
            <w:r>
              <w:rPr>
                <w:rFonts w:ascii="Arial" w:cs="Arial" w:eastAsia="Arial" w:hAnsi="Arial"/>
                <w:sz w:val="11"/>
                <w:szCs w:val="11"/>
                <w:b w:val="1"/>
                <w:bCs w:val="1"/>
                <w:color w:val="auto"/>
                <w:w w:val="74"/>
              </w:rPr>
              <w:t>84.3</w:t>
            </w:r>
          </w:p>
        </w:tc>
        <w:tc>
          <w:tcPr>
            <w:tcW w:w="220" w:type="dxa"/>
            <w:vAlign w:val="bottom"/>
            <w:tcBorders>
              <w:top w:val="single" w:sz="8" w:color="CCEEFF"/>
            </w:tcBorders>
            <w:shd w:val="clear" w:color="auto" w:fill="CCEEFF"/>
          </w:tcPr>
          <w:p>
            <w:pPr>
              <w:jc w:val="right"/>
              <w:ind w:right="66"/>
              <w:spacing w:after="0" w:line="115" w:lineRule="exact"/>
              <w:rPr>
                <w:sz w:val="20"/>
                <w:szCs w:val="20"/>
                <w:color w:val="auto"/>
              </w:rPr>
            </w:pPr>
            <w:r>
              <w:rPr>
                <w:rFonts w:ascii="Arial" w:cs="Arial" w:eastAsia="Arial" w:hAnsi="Arial"/>
                <w:sz w:val="11"/>
                <w:szCs w:val="11"/>
                <w:b w:val="1"/>
                <w:bCs w:val="1"/>
                <w:color w:val="auto"/>
                <w:w w:val="81"/>
              </w:rPr>
              <w:t>%</w:t>
            </w:r>
          </w:p>
        </w:tc>
        <w:tc>
          <w:tcPr>
            <w:tcW w:w="1140" w:type="dxa"/>
            <w:vAlign w:val="bottom"/>
            <w:tcBorders>
              <w:top w:val="single" w:sz="8" w:color="auto"/>
              <w:bottom w:val="single" w:sz="8" w:color="auto"/>
            </w:tcBorders>
            <w:shd w:val="clear" w:color="auto" w:fill="CCEEFF"/>
          </w:tcPr>
          <w:p>
            <w:pPr>
              <w:ind w:left="940"/>
              <w:spacing w:after="0" w:line="115" w:lineRule="exact"/>
              <w:rPr>
                <w:sz w:val="20"/>
                <w:szCs w:val="20"/>
                <w:color w:val="auto"/>
              </w:rPr>
            </w:pPr>
            <w:r>
              <w:rPr>
                <w:rFonts w:ascii="Arial" w:cs="Arial" w:eastAsia="Arial" w:hAnsi="Arial"/>
                <w:sz w:val="11"/>
                <w:szCs w:val="11"/>
                <w:b w:val="1"/>
                <w:bCs w:val="1"/>
                <w:color w:val="auto"/>
                <w:w w:val="83"/>
              </w:rPr>
              <w:t>86.2</w:t>
            </w:r>
          </w:p>
        </w:tc>
        <w:tc>
          <w:tcPr>
            <w:tcW w:w="100" w:type="dxa"/>
            <w:vAlign w:val="bottom"/>
            <w:tcBorders>
              <w:top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825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825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95,175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95,175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3,380</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3,365</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400,135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399,070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75.2%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76.9%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Colorado</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339</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339</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31,629</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31,639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94.4%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651</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650</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52,066</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51,966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2,709</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2,742</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401,789</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411,664</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73.2%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77.3%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2,319</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2,329</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261,394</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248,460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73.3%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71.9%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Indiana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502</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500</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55,425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55,425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65.4%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69.1%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1,516</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1,534</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226,470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225,460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72.3%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74.3%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Kentucky</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539</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541</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66,000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65,900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78.3%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76.3%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7,644</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7,675</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842,289</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847,513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75.1%</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76.0%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1,186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1,200</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108,830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108,980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67.4%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63.3%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Missouri</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1,533</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1,525</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305,888</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306,333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72.2%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Nevada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1,576</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170,775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171,555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4,334</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4,341</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418,300</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419,435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82.7%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77.2%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1,106</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1,106</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131,907</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131,967</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703</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83,055</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77,955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82.3%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1,094</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1,095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167,060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162,200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55.5%</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61.3%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Pennsylvania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8,384</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8,376</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1,021,451</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1,022,497</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61.6%</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63.2%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Tennessee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882</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884</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131,140</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130,385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2,232</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2,244</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302,249</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301,519</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Utah</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371</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371</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46,805</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46,905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96.3%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2,767</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2,781</w:t>
            </w:r>
          </w:p>
        </w:tc>
        <w:tc>
          <w:tcPr>
            <w:tcW w:w="2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274,583</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270,002</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Washington, DC</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1,255</w:t>
            </w:r>
          </w:p>
        </w:tc>
        <w:tc>
          <w:tcPr>
            <w:tcW w:w="24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1,255</w:t>
            </w:r>
          </w:p>
        </w:tc>
        <w:tc>
          <w:tcPr>
            <w:tcW w:w="24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111,759</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111,759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89.0%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2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Stabilized Managed</w:t>
            </w:r>
          </w:p>
        </w:tc>
        <w:tc>
          <w:tcPr>
            <w:tcW w:w="82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Properties</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47,848</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47,957</w:t>
            </w:r>
          </w:p>
        </w:tc>
        <w:tc>
          <w:tcPr>
            <w:tcW w:w="24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5,706,174</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5,693,764</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1"/>
                <w:szCs w:val="11"/>
                <w:b w:val="1"/>
                <w:bCs w:val="1"/>
                <w:color w:val="auto"/>
              </w:rPr>
              <w:t>74.6%</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w w:val="89"/>
              </w:rPr>
              <w:t>75.7%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Stabilized Properties</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457,237</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458,045</w:t>
            </w: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49,480,937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49,450,754</w:t>
            </w:r>
          </w:p>
        </w:tc>
        <w:tc>
          <w:tcPr>
            <w:tcW w:w="136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9"/>
                <w:szCs w:val="9"/>
                <w:b w:val="1"/>
                <w:bCs w:val="1"/>
                <w:color w:val="auto"/>
              </w:rPr>
              <w:t>83.1</w:t>
            </w:r>
            <w:r>
              <w:rPr>
                <w:rFonts w:ascii="Arial" w:cs="Arial" w:eastAsia="Arial" w:hAnsi="Arial"/>
                <w:sz w:val="17"/>
                <w:szCs w:val="17"/>
                <w:b w:val="1"/>
                <w:bCs w:val="1"/>
                <w:color w:val="auto"/>
                <w:vertAlign w:val="superscript"/>
              </w:rPr>
              <w:t>%</w:t>
            </w:r>
          </w:p>
        </w:tc>
        <w:tc>
          <w:tcPr>
            <w:tcW w:w="124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9"/>
                <w:szCs w:val="9"/>
                <w:b w:val="1"/>
                <w:bCs w:val="1"/>
                <w:color w:val="auto"/>
              </w:rPr>
              <w:t>84.8</w:t>
            </w:r>
            <w:r>
              <w:rPr>
                <w:rFonts w:ascii="Arial" w:cs="Arial" w:eastAsia="Arial" w:hAnsi="Arial"/>
                <w:sz w:val="17"/>
                <w:szCs w:val="17"/>
                <w:b w:val="1"/>
                <w:bCs w:val="1"/>
                <w:color w:val="auto"/>
                <w:vertAlign w:val="superscript"/>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unit count as of September 30, 2009, which may differ from September 30, 2008 unit count due to unit conversions or expansions.</w:t>
      </w:r>
    </w:p>
    <w:p>
      <w:pPr>
        <w:spacing w:after="0" w:line="236" w:lineRule="exact"/>
        <w:rPr>
          <w:rFonts w:ascii="Arial" w:cs="Arial" w:eastAsia="Arial" w:hAnsi="Arial"/>
          <w:sz w:val="17"/>
          <w:szCs w:val="17"/>
          <w:i w:val="1"/>
          <w:iCs w:val="1"/>
          <w:color w:val="auto"/>
        </w:rPr>
      </w:pPr>
    </w:p>
    <w:p>
      <w:pPr>
        <w:ind w:right="160" w:firstLine="8"/>
        <w:spacing w:after="0" w:line="277"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September 30, 2009, which may differ from September 30, 2008 net rentable square feet due to unit conversions or expansions.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September 30, 2009 and 2008. The information as of September 30, 2008 is on a pro forma basis as though all the properties owned and/or managed at September 30, 2009 were under our control as of September 30, 2008.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Pro forma</w:t>
            </w:r>
          </w:p>
        </w:tc>
        <w:tc>
          <w:tcPr>
            <w:tcW w:w="1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5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2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1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3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0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80" w:type="dxa"/>
            <w:vAlign w:val="bottom"/>
          </w:tcPr>
          <w:p>
            <w:pPr>
              <w:spacing w:after="0"/>
              <w:rPr>
                <w:sz w:val="8"/>
                <w:szCs w:val="8"/>
                <w:color w:val="auto"/>
              </w:rPr>
            </w:pPr>
          </w:p>
        </w:tc>
        <w:tc>
          <w:tcPr>
            <w:tcW w:w="10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5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2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w:t>
            </w:r>
          </w:p>
        </w:tc>
        <w:tc>
          <w:tcPr>
            <w:tcW w:w="11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Occupancy %</w:t>
            </w:r>
          </w:p>
        </w:tc>
        <w:tc>
          <w:tcPr>
            <w:tcW w:w="0" w:type="dxa"/>
            <w:vAlign w:val="bottom"/>
          </w:tcPr>
          <w:p>
            <w:pPr>
              <w:spacing w:after="0"/>
              <w:rPr>
                <w:sz w:val="1"/>
                <w:szCs w:val="1"/>
                <w:color w:val="auto"/>
              </w:rPr>
            </w:pPr>
          </w:p>
        </w:tc>
      </w:tr>
      <w:tr>
        <w:trPr>
          <w:trHeight w:val="135"/>
        </w:trPr>
        <w:tc>
          <w:tcPr>
            <w:tcW w:w="208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680" w:type="dxa"/>
            <w:vAlign w:val="bottom"/>
          </w:tcPr>
          <w:p>
            <w:pPr>
              <w:ind w:left="160"/>
              <w:spacing w:after="0"/>
              <w:rPr>
                <w:sz w:val="20"/>
                <w:szCs w:val="20"/>
                <w:color w:val="auto"/>
              </w:rPr>
            </w:pPr>
            <w:r>
              <w:rPr>
                <w:rFonts w:ascii="Arial" w:cs="Arial" w:eastAsia="Arial" w:hAnsi="Arial"/>
                <w:sz w:val="11"/>
                <w:szCs w:val="11"/>
                <w:b w:val="1"/>
                <w:bCs w:val="1"/>
                <w:color w:val="auto"/>
                <w:w w:val="91"/>
              </w:rPr>
              <w:t>Properties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2009(1)</w:t>
            </w: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September 30, 2008</w:t>
            </w:r>
          </w:p>
        </w:tc>
        <w:tc>
          <w:tcPr>
            <w:tcW w:w="1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September 30, 2009(2)</w:t>
            </w:r>
          </w:p>
        </w:tc>
        <w:tc>
          <w:tcPr>
            <w:tcW w:w="1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September 30, 2008</w:t>
            </w:r>
          </w:p>
        </w:tc>
        <w:tc>
          <w:tcPr>
            <w:tcW w:w="12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September 30, 2009</w:t>
            </w:r>
          </w:p>
        </w:tc>
        <w:tc>
          <w:tcPr>
            <w:tcW w:w="11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September 30, 2008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6,532</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4,284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718,706</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463,743</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35.9%</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1,668</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816</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156,445</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72,395</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17.8%</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2,715</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1,913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276,435</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202,925</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44.7%</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1,393</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635</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149,937</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79,958</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49.2%</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2,062</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2,032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206,947</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212,402</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65.9%</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636</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635</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57,190</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57,325</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64.9%</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Oregon</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741</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76,100</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0.0%</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South Carolina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622</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488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74,657</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59,367</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86.9%</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Wholly-Owned Lease up</w:t>
            </w: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23</w:t>
            </w:r>
          </w:p>
        </w:tc>
        <w:tc>
          <w:tcPr>
            <w:tcW w:w="18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16,369</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10,803</w:t>
            </w:r>
          </w:p>
        </w:tc>
        <w:tc>
          <w:tcPr>
            <w:tcW w:w="180" w:type="dxa"/>
            <w:vAlign w:val="bottom"/>
            <w:vMerge w:val="continue"/>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1,716,417</w:t>
            </w:r>
          </w:p>
        </w:tc>
        <w:tc>
          <w:tcPr>
            <w:tcW w:w="160" w:type="dxa"/>
            <w:vAlign w:val="bottom"/>
          </w:tcPr>
          <w:p>
            <w:pPr>
              <w:spacing w:after="0"/>
              <w:rPr>
                <w:sz w:val="10"/>
                <w:szCs w:val="10"/>
                <w:color w:val="auto"/>
              </w:rPr>
            </w:pPr>
          </w:p>
        </w:tc>
        <w:tc>
          <w:tcPr>
            <w:tcW w:w="13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1,148,115</w:t>
            </w:r>
          </w:p>
        </w:tc>
        <w:tc>
          <w:tcPr>
            <w:tcW w:w="160" w:type="dxa"/>
            <w:vAlign w:val="bottom"/>
            <w:vMerge w:val="continue"/>
          </w:tcPr>
          <w:p>
            <w:pPr>
              <w:spacing w:after="0"/>
              <w:rPr>
                <w:sz w:val="10"/>
                <w:szCs w:val="10"/>
                <w:color w:val="auto"/>
              </w:rPr>
            </w:pPr>
          </w:p>
        </w:tc>
        <w:tc>
          <w:tcPr>
            <w:tcW w:w="1260" w:type="dxa"/>
            <w:vAlign w:val="bottom"/>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42.0%</w:t>
            </w:r>
          </w:p>
        </w:tc>
        <w:tc>
          <w:tcPr>
            <w:tcW w:w="118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38.0%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8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4,864</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2,873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531,785</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329,202</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38.9%</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906</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807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113,485</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109,401</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47.0%</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1,764</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1,811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190,703</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190,733</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78.6%</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Maryland</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853</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859</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71,349</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71,349</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75.3%</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712</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712</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59,993</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60,098</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33.6%</w:t>
            </w:r>
          </w:p>
        </w:tc>
        <w:tc>
          <w:tcPr>
            <w:tcW w:w="1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2"/>
          </w:tcPr>
          <w:p>
            <w:pPr>
              <w:spacing w:after="0" w:line="122" w:lineRule="exact"/>
              <w:rPr>
                <w:sz w:val="20"/>
                <w:szCs w:val="20"/>
                <w:color w:val="auto"/>
              </w:rPr>
            </w:pPr>
            <w:r>
              <w:rPr>
                <w:rFonts w:ascii="Arial" w:cs="Arial" w:eastAsia="Arial" w:hAnsi="Arial"/>
                <w:sz w:val="11"/>
                <w:szCs w:val="11"/>
                <w:color w:val="auto"/>
              </w:rPr>
              <w:t>Rhode Island</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483</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494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56,045</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55,645</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70.4%</w:t>
            </w:r>
          </w:p>
        </w:tc>
        <w:tc>
          <w:tcPr>
            <w:tcW w:w="11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gridSpan w:val="2"/>
            <w:vMerge w:val="restart"/>
            <w:shd w:val="clear" w:color="auto" w:fill="CCEEFF"/>
          </w:tcPr>
          <w:p>
            <w:pPr>
              <w:spacing w:after="0"/>
              <w:rPr>
                <w:sz w:val="20"/>
                <w:szCs w:val="20"/>
                <w:color w:val="auto"/>
              </w:rPr>
            </w:pPr>
            <w:r>
              <w:rPr>
                <w:rFonts w:ascii="Arial" w:cs="Arial" w:eastAsia="Arial" w:hAnsi="Arial"/>
                <w:sz w:val="11"/>
                <w:szCs w:val="11"/>
                <w:b w:val="1"/>
                <w:bCs w:val="1"/>
                <w:color w:val="auto"/>
              </w:rPr>
              <w:t>Total Lease up Joint-Ventures</w:t>
            </w: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gridSpan w:val="2"/>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1"/>
              </w:rPr>
              <w:t>13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9,582</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7,556</w:t>
            </w:r>
          </w:p>
        </w:tc>
        <w:tc>
          <w:tcPr>
            <w:tcW w:w="18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1,023,360</w:t>
            </w:r>
          </w:p>
        </w:tc>
        <w:tc>
          <w:tcPr>
            <w:tcW w:w="160" w:type="dxa"/>
            <w:vAlign w:val="bottom"/>
            <w:shd w:val="clear" w:color="auto" w:fill="CCEEFF"/>
          </w:tcPr>
          <w:p>
            <w:pPr>
              <w:spacing w:after="0"/>
              <w:rPr>
                <w:sz w:val="10"/>
                <w:szCs w:val="10"/>
                <w:color w:val="auto"/>
              </w:rPr>
            </w:pPr>
          </w:p>
        </w:tc>
        <w:tc>
          <w:tcPr>
            <w:tcW w:w="13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816,428</w:t>
            </w:r>
          </w:p>
        </w:tc>
        <w:tc>
          <w:tcPr>
            <w:tcW w:w="160" w:type="dxa"/>
            <w:vAlign w:val="bottom"/>
            <w:vMerge w:val="continue"/>
            <w:shd w:val="clear" w:color="auto" w:fill="CCEEFF"/>
          </w:tcPr>
          <w:p>
            <w:pPr>
              <w:spacing w:after="0"/>
              <w:rPr>
                <w:sz w:val="10"/>
                <w:szCs w:val="10"/>
                <w:color w:val="auto"/>
              </w:rPr>
            </w:pPr>
          </w:p>
        </w:tc>
        <w:tc>
          <w:tcPr>
            <w:tcW w:w="126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b w:val="1"/>
                <w:bCs w:val="1"/>
                <w:color w:val="auto"/>
              </w:rPr>
              <w:t>51.2%</w:t>
            </w:r>
          </w:p>
        </w:tc>
        <w:tc>
          <w:tcPr>
            <w:tcW w:w="11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Managed properties</w:t>
            </w: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Alabama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627</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77,452</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4.8%</w:t>
            </w:r>
          </w:p>
        </w:tc>
        <w:tc>
          <w:tcPr>
            <w:tcW w:w="11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1,739</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1,594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237,259</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189,730</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46.2%</w:t>
            </w:r>
          </w:p>
        </w:tc>
        <w:tc>
          <w:tcPr>
            <w:tcW w:w="11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45.8%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Colorado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522</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536</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61,070</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60,870</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73.0%</w:t>
            </w:r>
          </w:p>
        </w:tc>
        <w:tc>
          <w:tcPr>
            <w:tcW w:w="11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4,910</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1,396</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453,828</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134,781</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19.1%</w:t>
            </w:r>
          </w:p>
        </w:tc>
        <w:tc>
          <w:tcPr>
            <w:tcW w:w="11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Georgia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4,752</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4,025</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665,720</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521,810</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42.8%</w:t>
            </w:r>
          </w:p>
        </w:tc>
        <w:tc>
          <w:tcPr>
            <w:tcW w:w="11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2,155</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1,590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204,112</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151,479</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48.3%</w:t>
            </w:r>
          </w:p>
        </w:tc>
        <w:tc>
          <w:tcPr>
            <w:tcW w:w="11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45.9%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848</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860</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77,895</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77,905</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55.8%</w:t>
            </w:r>
          </w:p>
        </w:tc>
        <w:tc>
          <w:tcPr>
            <w:tcW w:w="11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45.1%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905</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45,875</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15.0%</w:t>
            </w:r>
          </w:p>
        </w:tc>
        <w:tc>
          <w:tcPr>
            <w:tcW w:w="11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1,990</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1,994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173,044</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174,211</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35.7%</w:t>
            </w:r>
          </w:p>
        </w:tc>
        <w:tc>
          <w:tcPr>
            <w:tcW w:w="11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505</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510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69,550</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68,960</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60.8%</w:t>
            </w:r>
          </w:p>
        </w:tc>
        <w:tc>
          <w:tcPr>
            <w:tcW w:w="11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Utah</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658</w:t>
            </w:r>
          </w:p>
        </w:tc>
        <w:tc>
          <w:tcPr>
            <w:tcW w:w="180" w:type="dxa"/>
            <w:vAlign w:val="bottom"/>
          </w:tcPr>
          <w:p>
            <w:pPr>
              <w:spacing w:after="0"/>
              <w:rPr>
                <w:sz w:val="10"/>
                <w:szCs w:val="10"/>
                <w:color w:val="auto"/>
              </w:rPr>
            </w:pPr>
          </w:p>
        </w:tc>
        <w:tc>
          <w:tcPr>
            <w:tcW w:w="14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75,451</w:t>
            </w:r>
          </w:p>
        </w:tc>
        <w:tc>
          <w:tcPr>
            <w:tcW w:w="160" w:type="dxa"/>
            <w:vAlign w:val="bottom"/>
          </w:tcPr>
          <w:p>
            <w:pPr>
              <w:spacing w:after="0"/>
              <w:rPr>
                <w:sz w:val="10"/>
                <w:szCs w:val="10"/>
                <w:color w:val="auto"/>
              </w:rPr>
            </w:pPr>
          </w:p>
        </w:tc>
        <w:tc>
          <w:tcPr>
            <w:tcW w:w="1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46.6%</w:t>
            </w:r>
          </w:p>
        </w:tc>
        <w:tc>
          <w:tcPr>
            <w:tcW w:w="11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476</w:t>
            </w: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480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63,809</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63,809</w:t>
            </w:r>
          </w:p>
        </w:tc>
        <w:tc>
          <w:tcPr>
            <w:tcW w:w="12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40.3%</w:t>
            </w:r>
          </w:p>
        </w:tc>
        <w:tc>
          <w:tcPr>
            <w:tcW w:w="11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1"/>
                <w:szCs w:val="11"/>
                <w:b w:val="1"/>
                <w:bCs w:val="1"/>
                <w:color w:val="auto"/>
              </w:rPr>
              <w:t>Total Lease up Managed Properties</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80" w:type="dxa"/>
            <w:vAlign w:val="bottom"/>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28</w:t>
            </w:r>
          </w:p>
        </w:tc>
        <w:tc>
          <w:tcPr>
            <w:tcW w:w="18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20,087</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12,985</w:t>
            </w:r>
          </w:p>
        </w:tc>
        <w:tc>
          <w:tcPr>
            <w:tcW w:w="180" w:type="dxa"/>
            <w:vAlign w:val="bottom"/>
            <w:vMerge w:val="continue"/>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2,205,065</w:t>
            </w:r>
          </w:p>
        </w:tc>
        <w:tc>
          <w:tcPr>
            <w:tcW w:w="160" w:type="dxa"/>
            <w:vAlign w:val="bottom"/>
          </w:tcPr>
          <w:p>
            <w:pPr>
              <w:spacing w:after="0"/>
              <w:rPr>
                <w:sz w:val="10"/>
                <w:szCs w:val="10"/>
                <w:color w:val="auto"/>
              </w:rPr>
            </w:pPr>
          </w:p>
        </w:tc>
        <w:tc>
          <w:tcPr>
            <w:tcW w:w="13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1,443,555</w:t>
            </w:r>
          </w:p>
        </w:tc>
        <w:tc>
          <w:tcPr>
            <w:tcW w:w="160" w:type="dxa"/>
            <w:vAlign w:val="bottom"/>
            <w:vMerge w:val="continue"/>
          </w:tcPr>
          <w:p>
            <w:pPr>
              <w:spacing w:after="0"/>
              <w:rPr>
                <w:sz w:val="10"/>
                <w:szCs w:val="10"/>
                <w:color w:val="auto"/>
              </w:rPr>
            </w:pPr>
          </w:p>
        </w:tc>
        <w:tc>
          <w:tcPr>
            <w:tcW w:w="1260" w:type="dxa"/>
            <w:vAlign w:val="bottom"/>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38.3%</w:t>
            </w:r>
          </w:p>
        </w:tc>
        <w:tc>
          <w:tcPr>
            <w:tcW w:w="1180" w:type="dxa"/>
            <w:vAlign w:val="bottom"/>
            <w:gridSpan w:val="3"/>
          </w:tcPr>
          <w:p>
            <w:pPr>
              <w:jc w:val="right"/>
              <w:spacing w:after="0" w:line="115" w:lineRule="exact"/>
              <w:rPr>
                <w:sz w:val="20"/>
                <w:szCs w:val="20"/>
                <w:color w:val="auto"/>
              </w:rPr>
            </w:pPr>
            <w:r>
              <w:rPr>
                <w:rFonts w:ascii="Arial" w:cs="Arial" w:eastAsia="Arial" w:hAnsi="Arial"/>
                <w:sz w:val="11"/>
                <w:szCs w:val="11"/>
                <w:b w:val="1"/>
                <w:bCs w:val="1"/>
                <w:color w:val="auto"/>
              </w:rPr>
              <w:t>32.4%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1"/>
                <w:szCs w:val="11"/>
                <w:b w:val="1"/>
                <w:bCs w:val="1"/>
                <w:color w:val="auto"/>
              </w:rPr>
              <w:t>Total Lease up Properties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64</w:t>
            </w: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b w:val="1"/>
                <w:bCs w:val="1"/>
                <w:color w:val="auto"/>
              </w:rPr>
              <w:t>46,038</w:t>
            </w:r>
          </w:p>
        </w:tc>
        <w:tc>
          <w:tcPr>
            <w:tcW w:w="1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31,344</w:t>
            </w: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rPr>
              <w:t>4,944,842</w:t>
            </w:r>
          </w:p>
        </w:tc>
        <w:tc>
          <w:tcPr>
            <w:tcW w:w="16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3,408,098</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9"/>
                <w:szCs w:val="9"/>
                <w:b w:val="1"/>
                <w:bCs w:val="1"/>
                <w:color w:val="auto"/>
              </w:rPr>
              <w:t>42.2</w:t>
            </w:r>
            <w:r>
              <w:rPr>
                <w:rFonts w:ascii="Arial" w:cs="Arial" w:eastAsia="Arial" w:hAnsi="Arial"/>
                <w:sz w:val="17"/>
                <w:szCs w:val="17"/>
                <w:b w:val="1"/>
                <w:bCs w:val="1"/>
                <w:color w:val="auto"/>
                <w:vertAlign w:val="superscript"/>
              </w:rPr>
              <w:t>%</w:t>
            </w:r>
          </w:p>
        </w:tc>
        <w:tc>
          <w:tcPr>
            <w:tcW w:w="1180" w:type="dxa"/>
            <w:vAlign w:val="bottom"/>
            <w:gridSpan w:val="3"/>
          </w:tcPr>
          <w:p>
            <w:pPr>
              <w:jc w:val="right"/>
              <w:spacing w:after="0" w:line="149" w:lineRule="exact"/>
              <w:rPr>
                <w:sz w:val="20"/>
                <w:szCs w:val="20"/>
                <w:color w:val="auto"/>
              </w:rPr>
            </w:pPr>
            <w:r>
              <w:rPr>
                <w:rFonts w:ascii="Arial" w:cs="Arial" w:eastAsia="Arial" w:hAnsi="Arial"/>
                <w:sz w:val="9"/>
                <w:szCs w:val="9"/>
                <w:b w:val="1"/>
                <w:bCs w:val="1"/>
                <w:color w:val="auto"/>
              </w:rPr>
              <w:t>40.1</w:t>
            </w:r>
            <w:r>
              <w:rPr>
                <w:rFonts w:ascii="Arial" w:cs="Arial" w:eastAsia="Arial" w:hAnsi="Arial"/>
                <w:sz w:val="17"/>
                <w:szCs w:val="17"/>
                <w:b w:val="1"/>
                <w:bCs w:val="1"/>
                <w:color w:val="auto"/>
                <w:vertAlign w:val="superscript"/>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unit count as of September 30, 2009, which may differ from September 30, 2008 unit count due to unit conversions or expansions.</w:t>
      </w:r>
    </w:p>
    <w:p>
      <w:pPr>
        <w:spacing w:after="0" w:line="236" w:lineRule="exact"/>
        <w:rPr>
          <w:rFonts w:ascii="Arial" w:cs="Arial" w:eastAsia="Arial" w:hAnsi="Arial"/>
          <w:sz w:val="17"/>
          <w:szCs w:val="17"/>
          <w:i w:val="1"/>
          <w:iCs w:val="1"/>
          <w:color w:val="auto"/>
        </w:rPr>
      </w:pPr>
    </w:p>
    <w:p>
      <w:pPr>
        <w:ind w:right="160" w:firstLine="8"/>
        <w:spacing w:after="0" w:line="277" w:lineRule="auto"/>
        <w:tabs>
          <w:tab w:leader="none" w:pos="2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September 30, 2009, which may differ from September 30, 2008 net rentable square feet due to unit conversions or expansions.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Results for the three and nine months ended September 30, 2009 include the operations of 635 properties (293 of which were consolidated and 342 of which were in joint ventures accounted for using the equity method) compared to the results for the three and nine months ended September 30, 2008, which included the operations of 617 properties (272 of which were consolidated and 345 of which were in joint ventures accounted for using the equity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2"/>
              </w:rPr>
              <w:t>$ Change</w:t>
            </w:r>
          </w:p>
        </w:tc>
        <w:tc>
          <w:tcPr>
            <w:tcW w:w="1120" w:type="dxa"/>
            <w:vAlign w:val="bottom"/>
            <w:gridSpan w:val="2"/>
            <w:vMerge w:val="restart"/>
          </w:tcPr>
          <w:p>
            <w:pPr>
              <w:jc w:val="right"/>
              <w:ind w:right="382"/>
              <w:spacing w:after="0"/>
              <w:rPr>
                <w:sz w:val="20"/>
                <w:szCs w:val="20"/>
                <w:color w:val="auto"/>
              </w:rPr>
            </w:pPr>
            <w:r>
              <w:rPr>
                <w:rFonts w:ascii="Arial" w:cs="Arial" w:eastAsia="Arial" w:hAnsi="Arial"/>
                <w:sz w:val="13"/>
                <w:szCs w:val="13"/>
                <w:b w:val="1"/>
                <w:bCs w:val="1"/>
                <w:color w:val="auto"/>
              </w:rPr>
              <w:t>% Change</w:t>
            </w:r>
          </w:p>
        </w:tc>
        <w:tc>
          <w:tcPr>
            <w:tcW w:w="180" w:type="dxa"/>
            <w:vAlign w:val="bottom"/>
          </w:tcPr>
          <w:p>
            <w:pPr>
              <w:spacing w:after="0"/>
              <w:rPr>
                <w:sz w:val="13"/>
                <w:szCs w:val="13"/>
                <w:color w:val="auto"/>
              </w:rPr>
            </w:pPr>
          </w:p>
        </w:tc>
        <w:tc>
          <w:tcPr>
            <w:tcW w:w="2420" w:type="dxa"/>
            <w:vAlign w:val="bottom"/>
            <w:gridSpan w:val="6"/>
          </w:tcPr>
          <w:p>
            <w:pPr>
              <w:ind w:left="120"/>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2"/>
              </w:rPr>
              <w:t>$ Change</w:t>
            </w: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Revenues:</w:t>
            </w:r>
          </w:p>
        </w:tc>
        <w:tc>
          <w:tcPr>
            <w:tcW w:w="3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80"/>
              <w:spacing w:after="0" w:line="135" w:lineRule="exact"/>
              <w:rPr>
                <w:sz w:val="20"/>
                <w:szCs w:val="20"/>
                <w:color w:val="auto"/>
              </w:rPr>
            </w:pPr>
            <w:r>
              <w:rPr>
                <w:rFonts w:ascii="Arial" w:cs="Arial" w:eastAsia="Arial" w:hAnsi="Arial"/>
                <w:sz w:val="13"/>
                <w:szCs w:val="13"/>
                <w:color w:val="auto"/>
              </w:rPr>
              <w:t>Property rental</w:t>
            </w:r>
          </w:p>
        </w:tc>
        <w:tc>
          <w:tcPr>
            <w:tcW w:w="1060" w:type="dxa"/>
            <w:vAlign w:val="bottom"/>
            <w:gridSpan w:val="2"/>
          </w:tcPr>
          <w:p>
            <w:pPr>
              <w:jc w:val="right"/>
              <w:ind w:right="622"/>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60,380</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59,997</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383</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0.6%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178,494</w:t>
            </w:r>
          </w:p>
        </w:tc>
        <w:tc>
          <w:tcPr>
            <w:tcW w:w="360" w:type="dxa"/>
            <w:vAlign w:val="bottom"/>
            <w:gridSpan w:val="2"/>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174,906</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3,588</w:t>
            </w:r>
          </w:p>
        </w:tc>
        <w:tc>
          <w:tcPr>
            <w:tcW w:w="10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21"/>
        </w:trPr>
        <w:tc>
          <w:tcPr>
            <w:tcW w:w="14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Management and</w:t>
            </w: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franchise fees</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5,191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(226)</w:t>
            </w:r>
          </w:p>
        </w:tc>
        <w:tc>
          <w:tcPr>
            <w:tcW w:w="112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(4.2)%</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15,685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1460" w:type="dxa"/>
            <w:vAlign w:val="bottom"/>
          </w:tcPr>
          <w:p>
            <w:pPr>
              <w:ind w:left="180"/>
              <w:spacing w:after="0" w:line="135" w:lineRule="exact"/>
              <w:rPr>
                <w:sz w:val="20"/>
                <w:szCs w:val="20"/>
                <w:color w:val="auto"/>
              </w:rPr>
            </w:pPr>
            <w:r>
              <w:rPr>
                <w:rFonts w:ascii="Arial" w:cs="Arial" w:eastAsia="Arial" w:hAnsi="Arial"/>
                <w:sz w:val="13"/>
                <w:szCs w:val="13"/>
                <w:color w:val="auto"/>
              </w:rPr>
              <w:t>Tenant reinsurance</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5,542</w:t>
            </w:r>
          </w:p>
        </w:tc>
        <w:tc>
          <w:tcPr>
            <w:tcW w:w="2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1,277</w:t>
            </w:r>
          </w:p>
        </w:tc>
        <w:tc>
          <w:tcPr>
            <w:tcW w:w="240" w:type="dxa"/>
            <w:vAlign w:val="bottom"/>
          </w:tcPr>
          <w:p>
            <w:pPr>
              <w:spacing w:after="0"/>
              <w:rPr>
                <w:sz w:val="11"/>
                <w:szCs w:val="11"/>
                <w:color w:val="auto"/>
              </w:rPr>
            </w:pP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29.9%</w:t>
            </w:r>
          </w:p>
        </w:tc>
        <w:tc>
          <w:tcPr>
            <w:tcW w:w="18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15,246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3,523</w:t>
            </w:r>
          </w:p>
        </w:tc>
        <w:tc>
          <w:tcPr>
            <w:tcW w:w="10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income</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2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13.0%</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(224)</w:t>
            </w:r>
          </w:p>
        </w:tc>
        <w:tc>
          <w:tcPr>
            <w:tcW w:w="10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42"/>
        </w:trPr>
        <w:tc>
          <w:tcPr>
            <w:tcW w:w="1460" w:type="dxa"/>
            <w:vAlign w:val="bottom"/>
          </w:tcPr>
          <w:p>
            <w:pPr>
              <w:ind w:left="360"/>
              <w:spacing w:after="0" w:line="143" w:lineRule="exact"/>
              <w:rPr>
                <w:sz w:val="20"/>
                <w:szCs w:val="20"/>
                <w:color w:val="auto"/>
              </w:rPr>
            </w:pPr>
            <w:r>
              <w:rPr>
                <w:rFonts w:ascii="Arial" w:cs="Arial" w:eastAsia="Arial" w:hAnsi="Arial"/>
                <w:sz w:val="13"/>
                <w:szCs w:val="13"/>
                <w:color w:val="auto"/>
              </w:rPr>
              <w:t>Total revenues</w:t>
            </w:r>
          </w:p>
        </w:tc>
        <w:tc>
          <w:tcPr>
            <w:tcW w:w="320" w:type="dxa"/>
            <w:vAlign w:val="bottom"/>
          </w:tcPr>
          <w:p>
            <w:pPr>
              <w:spacing w:after="0"/>
              <w:rPr>
                <w:sz w:val="12"/>
                <w:szCs w:val="12"/>
                <w:color w:val="auto"/>
              </w:rPr>
            </w:pPr>
          </w:p>
        </w:tc>
        <w:tc>
          <w:tcPr>
            <w:tcW w:w="740" w:type="dxa"/>
            <w:vAlign w:val="bottom"/>
            <w:tcBorders>
              <w:top w:val="single" w:sz="8" w:color="auto"/>
            </w:tcBorders>
          </w:tcPr>
          <w:p>
            <w:pPr>
              <w:jc w:val="right"/>
              <w:ind w:right="622"/>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71,304</w:t>
            </w:r>
          </w:p>
        </w:tc>
        <w:tc>
          <w:tcPr>
            <w:tcW w:w="240" w:type="dxa"/>
            <w:vAlign w:val="bottom"/>
          </w:tcPr>
          <w:p>
            <w:pPr>
              <w:spacing w:after="0"/>
              <w:rPr>
                <w:sz w:val="12"/>
                <w:szCs w:val="12"/>
                <w:color w:val="auto"/>
              </w:rPr>
            </w:pPr>
          </w:p>
        </w:tc>
        <w:tc>
          <w:tcPr>
            <w:tcW w:w="260" w:type="dxa"/>
            <w:vAlign w:val="bottom"/>
            <w:tcBorders>
              <w:top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69,848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1,456</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w:t>
            </w:r>
          </w:p>
        </w:tc>
        <w:tc>
          <w:tcPr>
            <w:tcW w:w="320" w:type="dxa"/>
            <w:vAlign w:val="bottom"/>
          </w:tcPr>
          <w:p>
            <w:pPr>
              <w:jc w:val="right"/>
              <w:ind w:right="162"/>
              <w:spacing w:after="0"/>
              <w:rPr>
                <w:sz w:val="20"/>
                <w:szCs w:val="20"/>
                <w:color w:val="auto"/>
              </w:rPr>
            </w:pPr>
            <w:r>
              <w:rPr>
                <w:rFonts w:ascii="Arial" w:cs="Arial" w:eastAsia="Arial" w:hAnsi="Arial"/>
                <w:sz w:val="12"/>
                <w:szCs w:val="12"/>
                <w:color w:val="auto"/>
                <w:w w:val="74"/>
              </w:rPr>
              <w:t>%</w:t>
            </w: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209,626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202,891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6,735</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3.3</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Property Rental — </w:t>
      </w:r>
      <w:r>
        <w:rPr>
          <w:rFonts w:ascii="Arial" w:cs="Arial" w:eastAsia="Arial" w:hAnsi="Arial"/>
          <w:sz w:val="18"/>
          <w:szCs w:val="18"/>
          <w:color w:val="auto"/>
        </w:rPr>
        <w:t>The increase in property rental revenues for the three and nine months ended September 30, 2009 consists of $2,880 and $7,567,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associated with acquisitions and consolidations completed during 2009 and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 $777 and $2,178 respectively from increases in occupancy and rental rates at lease-up properties. These increases were offset by decreases of $3,274 and $6,157, respectively in revenues at stabilized properties due mainly to a decrease in occupancy and incoming rental rates compared with the same periods in the prior year.</w:t>
      </w:r>
    </w:p>
    <w:p>
      <w:pPr>
        <w:spacing w:after="0" w:line="177"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Management and Franchise Fees — </w:t>
      </w:r>
      <w:r>
        <w:rPr>
          <w:rFonts w:ascii="Arial" w:cs="Arial" w:eastAsia="Arial" w:hAnsi="Arial"/>
          <w:sz w:val="16"/>
          <w:szCs w:val="16"/>
          <w:color w:val="auto"/>
        </w:rPr>
        <w:t>Our taxable REIT subsidiary, Extra Space Management, Inc. manages properties owned by our joint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franchisees and third parties. Management and franchise fees generally represent 6% of cash collected from properties owned by unconsolidated joint ventures, franchisees and third parties. Revenues from management fees and franchise fees have remained stable compared to the previous year.</w:t>
      </w:r>
    </w:p>
    <w:p>
      <w:pPr>
        <w:spacing w:after="0" w:line="14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the increase of overall customer participation to approximately 55% at</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2009 compared to approximately 46% at September 30,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Pr>
          <w:p>
            <w:pPr>
              <w:spacing w:after="0"/>
              <w:rPr>
                <w:sz w:val="13"/>
                <w:szCs w:val="13"/>
                <w:color w:val="auto"/>
              </w:rPr>
            </w:pPr>
          </w:p>
        </w:tc>
        <w:tc>
          <w:tcPr>
            <w:tcW w:w="254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w w:val="97"/>
              </w:rPr>
              <w:t>Three Months Ended September 30,</w:t>
            </w: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83"/>
              </w:rPr>
              <w:t>Change</w:t>
            </w:r>
          </w:p>
        </w:tc>
        <w:tc>
          <w:tcPr>
            <w:tcW w:w="1000" w:type="dxa"/>
            <w:vAlign w:val="bottom"/>
            <w:gridSpan w:val="2"/>
            <w:vMerge w:val="restart"/>
          </w:tcPr>
          <w:p>
            <w:pPr>
              <w:jc w:val="right"/>
              <w:ind w:right="242"/>
              <w:spacing w:after="0"/>
              <w:rPr>
                <w:sz w:val="20"/>
                <w:szCs w:val="20"/>
                <w:color w:val="auto"/>
              </w:rPr>
            </w:pPr>
            <w:r>
              <w:rPr>
                <w:rFonts w:ascii="Arial" w:cs="Arial" w:eastAsia="Arial" w:hAnsi="Arial"/>
                <w:sz w:val="13"/>
                <w:szCs w:val="13"/>
                <w:b w:val="1"/>
                <w:bCs w:val="1"/>
                <w:color w:val="auto"/>
              </w:rPr>
              <w:t>% Change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5"/>
          </w:tcPr>
          <w:p>
            <w:pPr>
              <w:ind w:left="100"/>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 Change</w:t>
            </w: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2009</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Expenses:</w:t>
            </w:r>
          </w:p>
        </w:tc>
        <w:tc>
          <w:tcPr>
            <w:tcW w:w="7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180"/>
              <w:spacing w:after="0" w:line="135" w:lineRule="exact"/>
              <w:rPr>
                <w:sz w:val="20"/>
                <w:szCs w:val="20"/>
                <w:color w:val="auto"/>
              </w:rPr>
            </w:pPr>
            <w:r>
              <w:rPr>
                <w:rFonts w:ascii="Arial" w:cs="Arial" w:eastAsia="Arial" w:hAnsi="Arial"/>
                <w:sz w:val="13"/>
                <w:szCs w:val="13"/>
                <w:color w:val="auto"/>
              </w:rPr>
              <w:t>Property operations</w:t>
            </w:r>
          </w:p>
        </w:tc>
        <w:tc>
          <w:tcPr>
            <w:tcW w:w="720" w:type="dxa"/>
            <w:vAlign w:val="bottom"/>
          </w:tcPr>
          <w:p>
            <w:pPr>
              <w:jc w:val="right"/>
              <w:ind w:right="605"/>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0"/>
              </w:rPr>
              <w:t>23,022</w:t>
            </w:r>
          </w:p>
        </w:tc>
        <w:tc>
          <w:tcPr>
            <w:tcW w:w="340" w:type="dxa"/>
            <w:vAlign w:val="bottom"/>
            <w:gridSpan w:val="2"/>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21,367</w:t>
            </w:r>
          </w:p>
        </w:tc>
        <w:tc>
          <w:tcPr>
            <w:tcW w:w="34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1,655</w:t>
            </w:r>
          </w:p>
        </w:tc>
        <w:tc>
          <w:tcPr>
            <w:tcW w:w="10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7.7%</w:t>
            </w:r>
          </w:p>
        </w:tc>
        <w:tc>
          <w:tcPr>
            <w:tcW w:w="2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67,456</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62,871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4,585</w:t>
            </w:r>
          </w:p>
        </w:tc>
        <w:tc>
          <w:tcPr>
            <w:tcW w:w="220" w:type="dxa"/>
            <w:vAlign w:val="bottom"/>
          </w:tcPr>
          <w:p>
            <w:pPr>
              <w:spacing w:after="0"/>
              <w:rPr>
                <w:sz w:val="11"/>
                <w:szCs w:val="11"/>
                <w:color w:val="auto"/>
              </w:rPr>
            </w:pPr>
          </w:p>
        </w:tc>
        <w:tc>
          <w:tcPr>
            <w:tcW w:w="9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Tenant reinsurance</w:t>
            </w:r>
          </w:p>
        </w:tc>
        <w:tc>
          <w:tcPr>
            <w:tcW w:w="7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1,264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(162)</w:t>
            </w:r>
          </w:p>
        </w:tc>
        <w:tc>
          <w:tcPr>
            <w:tcW w:w="10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3,996</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3,958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2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1"/>
        </w:trPr>
        <w:tc>
          <w:tcPr>
            <w:tcW w:w="2180" w:type="dxa"/>
            <w:vAlign w:val="bottom"/>
          </w:tcPr>
          <w:p>
            <w:pPr>
              <w:ind w:left="180"/>
              <w:spacing w:after="0" w:line="121" w:lineRule="exact"/>
              <w:rPr>
                <w:sz w:val="20"/>
                <w:szCs w:val="20"/>
                <w:color w:val="auto"/>
              </w:rPr>
            </w:pPr>
            <w:r>
              <w:rPr>
                <w:rFonts w:ascii="Arial" w:cs="Arial" w:eastAsia="Arial" w:hAnsi="Arial"/>
                <w:sz w:val="13"/>
                <w:szCs w:val="13"/>
                <w:color w:val="auto"/>
              </w:rPr>
              <w:t>Unrecovered development and</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360"/>
              <w:spacing w:after="0"/>
              <w:rPr>
                <w:sz w:val="20"/>
                <w:szCs w:val="20"/>
                <w:color w:val="auto"/>
              </w:rPr>
            </w:pPr>
            <w:r>
              <w:rPr>
                <w:rFonts w:ascii="Arial" w:cs="Arial" w:eastAsia="Arial" w:hAnsi="Arial"/>
                <w:sz w:val="13"/>
                <w:szCs w:val="13"/>
                <w:color w:val="auto"/>
              </w:rPr>
              <w:t>acquisition costs</w:t>
            </w:r>
          </w:p>
        </w:tc>
        <w:tc>
          <w:tcPr>
            <w:tcW w:w="7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(17)</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18,905</w:t>
            </w:r>
          </w:p>
        </w:tc>
        <w:tc>
          <w:tcPr>
            <w:tcW w:w="22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1,631</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17,274</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1,059.1%</w:t>
            </w:r>
          </w:p>
        </w:tc>
        <w:tc>
          <w:tcPr>
            <w:tcW w:w="0" w:type="dxa"/>
            <w:vAlign w:val="bottom"/>
          </w:tcPr>
          <w:p>
            <w:pPr>
              <w:spacing w:after="0"/>
              <w:rPr>
                <w:sz w:val="1"/>
                <w:szCs w:val="1"/>
                <w:color w:val="auto"/>
              </w:rPr>
            </w:pPr>
          </w:p>
        </w:tc>
      </w:tr>
      <w:tr>
        <w:trPr>
          <w:trHeight w:val="121"/>
        </w:trPr>
        <w:tc>
          <w:tcPr>
            <w:tcW w:w="218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Severance costs associated with</w:t>
            </w: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wind-down of development</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program</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1,400</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180" w:type="dxa"/>
            <w:vAlign w:val="bottom"/>
          </w:tcPr>
          <w:p>
            <w:pPr>
              <w:ind w:left="180"/>
              <w:spacing w:after="0" w:line="135" w:lineRule="exact"/>
              <w:rPr>
                <w:sz w:val="20"/>
                <w:szCs w:val="20"/>
                <w:color w:val="auto"/>
              </w:rPr>
            </w:pPr>
            <w:r>
              <w:rPr>
                <w:rFonts w:ascii="Arial" w:cs="Arial" w:eastAsia="Arial" w:hAnsi="Arial"/>
                <w:sz w:val="13"/>
                <w:szCs w:val="13"/>
                <w:color w:val="auto"/>
              </w:rPr>
              <w:t>General and administrative</w:t>
            </w:r>
          </w:p>
        </w:tc>
        <w:tc>
          <w:tcPr>
            <w:tcW w:w="72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9,982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10,316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(334)</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31,195</w:t>
            </w:r>
          </w:p>
        </w:tc>
        <w:tc>
          <w:tcPr>
            <w:tcW w:w="22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30,378</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817</w:t>
            </w:r>
          </w:p>
        </w:tc>
        <w:tc>
          <w:tcPr>
            <w:tcW w:w="9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Depreciation and amortization</w:t>
            </w:r>
          </w:p>
        </w:tc>
        <w:tc>
          <w:tcPr>
            <w:tcW w:w="7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0"/>
              </w:rPr>
              <w:t>13,797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12,355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1,442</w:t>
            </w:r>
          </w:p>
        </w:tc>
        <w:tc>
          <w:tcPr>
            <w:tcW w:w="10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11.7%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39,160</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35,633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3,527</w:t>
            </w:r>
          </w:p>
        </w:tc>
        <w:tc>
          <w:tcPr>
            <w:tcW w:w="2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42"/>
        </w:trPr>
        <w:tc>
          <w:tcPr>
            <w:tcW w:w="2180" w:type="dxa"/>
            <w:vAlign w:val="bottom"/>
          </w:tcPr>
          <w:p>
            <w:pPr>
              <w:ind w:left="360"/>
              <w:spacing w:after="0" w:line="143" w:lineRule="exact"/>
              <w:rPr>
                <w:sz w:val="20"/>
                <w:szCs w:val="20"/>
                <w:color w:val="auto"/>
              </w:rPr>
            </w:pPr>
            <w:r>
              <w:rPr>
                <w:rFonts w:ascii="Arial" w:cs="Arial" w:eastAsia="Arial" w:hAnsi="Arial"/>
                <w:sz w:val="13"/>
                <w:szCs w:val="13"/>
                <w:color w:val="auto"/>
              </w:rPr>
              <w:t>Total expenses</w:t>
            </w:r>
          </w:p>
        </w:tc>
        <w:tc>
          <w:tcPr>
            <w:tcW w:w="720" w:type="dxa"/>
            <w:vAlign w:val="bottom"/>
            <w:tcBorders>
              <w:top w:val="single" w:sz="8" w:color="auto"/>
            </w:tcBorders>
          </w:tcPr>
          <w:p>
            <w:pPr>
              <w:jc w:val="right"/>
              <w:ind w:right="605"/>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48,087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45,503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97"/>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2,584</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5.7</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162,112</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134,471</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27,641</w:t>
            </w:r>
          </w:p>
        </w:tc>
        <w:tc>
          <w:tcPr>
            <w:tcW w:w="220" w:type="dxa"/>
            <w:vAlign w:val="bottom"/>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20.6</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Property Operations — </w:t>
      </w:r>
      <w:r>
        <w:rPr>
          <w:rFonts w:ascii="Arial" w:cs="Arial" w:eastAsia="Arial" w:hAnsi="Arial"/>
          <w:sz w:val="16"/>
          <w:szCs w:val="16"/>
          <w:color w:val="auto"/>
        </w:rPr>
        <w:t>The increase in property operations expense during the three months ended September 30, 2009 consists of $972 related to increases</w:t>
      </w:r>
      <w:r>
        <w:rPr>
          <w:rFonts w:ascii="Arial" w:cs="Arial" w:eastAsia="Arial" w:hAnsi="Arial"/>
          <w:sz w:val="16"/>
          <w:szCs w:val="16"/>
          <w:b w:val="1"/>
          <w:bCs w:val="1"/>
          <w:color w:val="auto"/>
        </w:rPr>
        <w:t xml:space="preserve"> </w:t>
      </w:r>
      <w:r>
        <w:rPr>
          <w:rFonts w:ascii="Arial" w:cs="Arial" w:eastAsia="Arial" w:hAnsi="Arial"/>
          <w:sz w:val="16"/>
          <w:szCs w:val="16"/>
          <w:color w:val="auto"/>
        </w:rPr>
        <w:t>in expenses at lease up properties, and $984 related to property acquisitions and consolidations completed in 2009 and 2008, offset by a decrease of $301 related to lower expenses at stabilized properties. For the nine months ended September 30, 2009, the increase was primarily due to $2,746 related to property acquisitions and consolidations completed in 2009 and 2008 and $1,934 related to increases in expenses at lease up properties. For the nine months ended September 30, 2009, the property operations expense at stabilized properties also increased due to increases in telephone and property taxes.</w:t>
      </w:r>
    </w:p>
    <w:p>
      <w:pPr>
        <w:sectPr>
          <w:pgSz w:w="11900" w:h="16838" w:orient="portrait"/>
          <w:cols w:equalWidth="0" w:num="1">
            <w:col w:w="11420"/>
          </w:cols>
          <w:pgMar w:left="240" w:top="256" w:right="239" w:bottom="0" w:gutter="0" w:footer="0" w:header="0"/>
        </w:sectPr>
      </w:pPr>
    </w:p>
    <w:bookmarkStart w:id="25" w:name="page26"/>
    <w:bookmarkEnd w:id="25"/>
    <w:p>
      <w:pPr>
        <w:ind w:right="44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Tenant reinsurance expense represents the costs that are incurred to provide tenant reinsurance. During 2008 and the first three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quarters of 2009, the tenant reinsurance program increased overall customer participation to approximately 55% at September 30, 2009 compared to approximately 46% September 30, 2008.</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Unrecovered Development and Acquisition Costs — </w:t>
      </w:r>
      <w:r>
        <w:rPr>
          <w:rFonts w:ascii="Arial" w:cs="Arial" w:eastAsia="Arial" w:hAnsi="Arial"/>
          <w:sz w:val="17"/>
          <w:szCs w:val="17"/>
          <w:color w:val="auto"/>
        </w:rPr>
        <w:t>These costs relate to unsuccessful development and acquisition activities during the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indicated. On June 2, 2009, the Company announced that it had begun a wind-down of its development program. As a result of the decision, the Company recorded $18,883 of one time impairment charges in order to write down the carrying value of undeveloped land, development projects that will be completed and investments in development projects to their estimated fair values less cost to sell. There were no significant unrecovered development and acquisition costs during the three months ended September 30, 2009 or 2008. The unrecovered development and acquisition costs incurred during the nine months ended September 30, 2008 include $1,257 relating to due diligence costs that were part of an unsuccessful attempt by the Company to purchase a large portfolio of properties during the second quarter of 2008. The remainder of these costs relate to entitlement and other due diligence work done on development projects that the Company elected not to pursue.</w:t>
      </w:r>
    </w:p>
    <w:p>
      <w:pPr>
        <w:spacing w:after="0" w:line="17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Severance costs associated with wind-down of development program — </w:t>
      </w:r>
      <w:r>
        <w:rPr>
          <w:rFonts w:ascii="Arial" w:cs="Arial" w:eastAsia="Arial" w:hAnsi="Arial"/>
          <w:sz w:val="18"/>
          <w:szCs w:val="18"/>
          <w:color w:val="auto"/>
        </w:rPr>
        <w:t>On June 2, 2009, the Company announced that it has begun a wind-down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program. As a result of the decision, the Company recorded severance costs of $1,400.</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The increase in general and administrative expenses for the nine months ended September 30, 2009 was due to the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cost associated with the management of our properties which increased as we operated 741 properties as of September 30, 2009 compared to 684 properties as of September 30, 2008.</w:t>
      </w:r>
    </w:p>
    <w:p>
      <w:pPr>
        <w:spacing w:after="0" w:line="17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The increase in depreciation and amortization expense is a result of additional properties that were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development in 2009 and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540" w:type="dxa"/>
            <w:vAlign w:val="bottom"/>
            <w:gridSpan w:val="7"/>
          </w:tcPr>
          <w:p>
            <w:pPr>
              <w:jc w:val="right"/>
              <w:ind w:right="358"/>
              <w:spacing w:after="0"/>
              <w:rPr>
                <w:sz w:val="20"/>
                <w:szCs w:val="20"/>
                <w:color w:val="auto"/>
              </w:rPr>
            </w:pPr>
            <w:r>
              <w:rPr>
                <w:rFonts w:ascii="Arial" w:cs="Arial" w:eastAsia="Arial" w:hAnsi="Arial"/>
                <w:sz w:val="13"/>
                <w:szCs w:val="13"/>
                <w:b w:val="1"/>
                <w:bCs w:val="1"/>
                <w:color w:val="auto"/>
                <w:w w:val="95"/>
              </w:rPr>
              <w:t>Three Months Ended September 30,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278"/>
              <w:spacing w:after="0"/>
              <w:rPr>
                <w:sz w:val="20"/>
                <w:szCs w:val="20"/>
                <w:color w:val="auto"/>
              </w:rPr>
            </w:pPr>
            <w:r>
              <w:rPr>
                <w:rFonts w:ascii="Arial" w:cs="Arial" w:eastAsia="Arial" w:hAnsi="Arial"/>
                <w:sz w:val="13"/>
                <w:szCs w:val="13"/>
                <w:b w:val="1"/>
                <w:bCs w:val="1"/>
                <w:color w:val="auto"/>
                <w:w w:val="92"/>
              </w:rPr>
              <w:t>$ Change</w:t>
            </w:r>
          </w:p>
        </w:tc>
        <w:tc>
          <w:tcPr>
            <w:tcW w:w="1040" w:type="dxa"/>
            <w:vAlign w:val="bottom"/>
            <w:gridSpan w:val="2"/>
            <w:vMerge w:val="restart"/>
          </w:tcPr>
          <w:p>
            <w:pPr>
              <w:jc w:val="right"/>
              <w:ind w:right="297"/>
              <w:spacing w:after="0"/>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3"/>
                <w:szCs w:val="13"/>
                <w:color w:val="auto"/>
              </w:rPr>
            </w:pPr>
          </w:p>
        </w:tc>
        <w:tc>
          <w:tcPr>
            <w:tcW w:w="2280" w:type="dxa"/>
            <w:vAlign w:val="bottom"/>
            <w:gridSpan w:val="5"/>
          </w:tcPr>
          <w:p>
            <w:pPr>
              <w:jc w:val="right"/>
              <w:ind w:right="278"/>
              <w:spacing w:after="0"/>
              <w:rPr>
                <w:sz w:val="20"/>
                <w:szCs w:val="20"/>
                <w:color w:val="auto"/>
              </w:rPr>
            </w:pPr>
            <w:r>
              <w:rPr>
                <w:rFonts w:ascii="Arial" w:cs="Arial" w:eastAsia="Arial" w:hAnsi="Arial"/>
                <w:sz w:val="13"/>
                <w:szCs w:val="13"/>
                <w:b w:val="1"/>
                <w:bCs w:val="1"/>
                <w:color w:val="auto"/>
                <w:w w:val="90"/>
              </w:rPr>
              <w:t>Nine Months Ended September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88"/>
              </w:rPr>
              <w:t>$ Change</w:t>
            </w:r>
          </w:p>
        </w:tc>
        <w:tc>
          <w:tcPr>
            <w:tcW w:w="1020" w:type="dxa"/>
            <w:vAlign w:val="bottom"/>
            <w:gridSpan w:val="2"/>
            <w:vMerge w:val="restart"/>
          </w:tcPr>
          <w:p>
            <w:pPr>
              <w:jc w:val="right"/>
              <w:ind w:right="25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Other revenue and expenses:</w:t>
            </w:r>
          </w:p>
        </w:tc>
        <w:tc>
          <w:tcPr>
            <w:tcW w:w="6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80"/>
              <w:spacing w:after="0" w:line="135" w:lineRule="exact"/>
              <w:rPr>
                <w:sz w:val="20"/>
                <w:szCs w:val="20"/>
                <w:color w:val="auto"/>
              </w:rPr>
            </w:pPr>
            <w:r>
              <w:rPr>
                <w:rFonts w:ascii="Arial" w:cs="Arial" w:eastAsia="Arial" w:hAnsi="Arial"/>
                <w:sz w:val="13"/>
                <w:szCs w:val="13"/>
                <w:color w:val="auto"/>
              </w:rPr>
              <w:t>Interest expense</w:t>
            </w:r>
          </w:p>
        </w:tc>
        <w:tc>
          <w:tcPr>
            <w:tcW w:w="680" w:type="dxa"/>
            <w:vAlign w:val="bottom"/>
          </w:tcPr>
          <w:p>
            <w:pPr>
              <w:jc w:val="right"/>
              <w:ind w:right="565"/>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w w:val="86"/>
              </w:rPr>
              <w:t>(17,697)</w:t>
            </w:r>
          </w:p>
        </w:tc>
        <w:tc>
          <w:tcPr>
            <w:tcW w:w="300" w:type="dxa"/>
            <w:vAlign w:val="bottom"/>
            <w:gridSpan w:val="2"/>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(15,904)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(1,793)</w:t>
            </w:r>
          </w:p>
        </w:tc>
        <w:tc>
          <w:tcPr>
            <w:tcW w:w="10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11.3%</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(49,308)</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(48,220)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(1,088)</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Non-cash interest expense related to</w:t>
            </w: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amortization of discount on</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exchangeable senior notes</w:t>
            </w:r>
          </w:p>
        </w:tc>
        <w:tc>
          <w:tcPr>
            <w:tcW w:w="6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(1,059)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629</w:t>
            </w:r>
          </w:p>
        </w:tc>
        <w:tc>
          <w:tcPr>
            <w:tcW w:w="104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(59.4)%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(1,834)</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(3,147)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35"/>
        </w:trPr>
        <w:tc>
          <w:tcPr>
            <w:tcW w:w="2420" w:type="dxa"/>
            <w:vAlign w:val="bottom"/>
          </w:tcPr>
          <w:p>
            <w:pPr>
              <w:ind w:left="180"/>
              <w:spacing w:after="0" w:line="135" w:lineRule="exact"/>
              <w:rPr>
                <w:sz w:val="20"/>
                <w:szCs w:val="20"/>
                <w:color w:val="auto"/>
              </w:rPr>
            </w:pPr>
            <w:r>
              <w:rPr>
                <w:rFonts w:ascii="Arial" w:cs="Arial" w:eastAsia="Arial" w:hAnsi="Arial"/>
                <w:sz w:val="13"/>
                <w:szCs w:val="13"/>
                <w:color w:val="auto"/>
              </w:rPr>
              <w:t>Interest income</w:t>
            </w:r>
          </w:p>
        </w:tc>
        <w:tc>
          <w:tcPr>
            <w:tcW w:w="680" w:type="dxa"/>
            <w:vAlign w:val="bottom"/>
          </w:tcPr>
          <w:p>
            <w:pPr>
              <w:spacing w:after="0"/>
              <w:rPr>
                <w:sz w:val="11"/>
                <w:szCs w:val="11"/>
                <w:color w:val="auto"/>
              </w:rPr>
            </w:pPr>
          </w:p>
        </w:tc>
        <w:tc>
          <w:tcPr>
            <w:tcW w:w="5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245</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1,280</w:t>
            </w:r>
          </w:p>
        </w:tc>
        <w:tc>
          <w:tcPr>
            <w:tcW w:w="100" w:type="dxa"/>
            <w:vAlign w:val="bottom"/>
          </w:tcPr>
          <w:p>
            <w:pPr>
              <w:spacing w:after="0"/>
              <w:rPr>
                <w:sz w:val="11"/>
                <w:szCs w:val="11"/>
                <w:color w:val="auto"/>
              </w:rPr>
            </w:pP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(1,035)</w:t>
            </w:r>
          </w:p>
        </w:tc>
        <w:tc>
          <w:tcPr>
            <w:tcW w:w="104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(80.9)%</w:t>
            </w:r>
          </w:p>
        </w:tc>
        <w:tc>
          <w:tcPr>
            <w:tcW w:w="140" w:type="dxa"/>
            <w:vAlign w:val="bottom"/>
          </w:tcPr>
          <w:p>
            <w:pPr>
              <w:spacing w:after="0"/>
              <w:rPr>
                <w:sz w:val="11"/>
                <w:szCs w:val="11"/>
                <w:color w:val="auto"/>
              </w:rPr>
            </w:pPr>
          </w:p>
        </w:tc>
        <w:tc>
          <w:tcPr>
            <w:tcW w:w="112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1,098</w:t>
            </w:r>
          </w:p>
        </w:tc>
        <w:tc>
          <w:tcPr>
            <w:tcW w:w="220" w:type="dxa"/>
            <w:vAlign w:val="bottom"/>
          </w:tcPr>
          <w:p>
            <w:pPr>
              <w:spacing w:after="0"/>
              <w:rPr>
                <w:sz w:val="11"/>
                <w:szCs w:val="11"/>
                <w:color w:val="auto"/>
              </w:rPr>
            </w:pPr>
          </w:p>
        </w:tc>
        <w:tc>
          <w:tcPr>
            <w:tcW w:w="94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2,575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(1,477)</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7"/>
              </w:rPr>
              <w:t>Interest income on note receivable from</w:t>
            </w: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w w:val="97"/>
              </w:rPr>
              <w:t>Preferred Operating Partnership unit</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holder</w:t>
            </w:r>
          </w:p>
        </w:tc>
        <w:tc>
          <w:tcPr>
            <w:tcW w:w="6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1,213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1,213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3,638</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3,638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20" w:type="dxa"/>
            <w:vAlign w:val="bottom"/>
          </w:tcPr>
          <w:p>
            <w:pPr>
              <w:ind w:left="180"/>
              <w:spacing w:after="0" w:line="121" w:lineRule="exact"/>
              <w:rPr>
                <w:sz w:val="20"/>
                <w:szCs w:val="20"/>
                <w:color w:val="auto"/>
              </w:rPr>
            </w:pPr>
            <w:r>
              <w:rPr>
                <w:rFonts w:ascii="Arial" w:cs="Arial" w:eastAsia="Arial" w:hAnsi="Arial"/>
                <w:sz w:val="13"/>
                <w:szCs w:val="13"/>
                <w:color w:val="auto"/>
              </w:rPr>
              <w:t>Equity in earnings of real estate</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rPr>
                <w:sz w:val="20"/>
                <w:szCs w:val="20"/>
                <w:color w:val="auto"/>
              </w:rPr>
            </w:pPr>
            <w:r>
              <w:rPr>
                <w:rFonts w:ascii="Arial" w:cs="Arial" w:eastAsia="Arial" w:hAnsi="Arial"/>
                <w:sz w:val="13"/>
                <w:szCs w:val="13"/>
                <w:color w:val="auto"/>
              </w:rPr>
              <w:t>ventures</w:t>
            </w:r>
          </w:p>
        </w:tc>
        <w:tc>
          <w:tcPr>
            <w:tcW w:w="680" w:type="dxa"/>
            <w:vAlign w:val="bottom"/>
          </w:tcPr>
          <w:p>
            <w:pPr>
              <w:spacing w:after="0"/>
              <w:rPr>
                <w:sz w:val="12"/>
                <w:szCs w:val="12"/>
                <w:color w:val="auto"/>
              </w:rPr>
            </w:pPr>
          </w:p>
        </w:tc>
        <w:tc>
          <w:tcPr>
            <w:tcW w:w="520" w:type="dxa"/>
            <w:vAlign w:val="bottom"/>
            <w:gridSpan w:val="2"/>
          </w:tcPr>
          <w:p>
            <w:pPr>
              <w:jc w:val="right"/>
              <w:ind w:right="78"/>
              <w:spacing w:after="0"/>
              <w:rPr>
                <w:sz w:val="20"/>
                <w:szCs w:val="20"/>
                <w:color w:val="auto"/>
              </w:rPr>
            </w:pPr>
            <w:r>
              <w:rPr>
                <w:rFonts w:ascii="Arial" w:cs="Arial" w:eastAsia="Arial" w:hAnsi="Arial"/>
                <w:sz w:val="13"/>
                <w:szCs w:val="13"/>
                <w:color w:val="auto"/>
              </w:rPr>
              <w:t>1,752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38"/>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880" w:type="dxa"/>
            <w:vAlign w:val="bottom"/>
            <w:gridSpan w:val="2"/>
          </w:tcPr>
          <w:p>
            <w:pPr>
              <w:jc w:val="right"/>
              <w:ind w:right="98"/>
              <w:spacing w:after="0"/>
              <w:rPr>
                <w:sz w:val="20"/>
                <w:szCs w:val="20"/>
                <w:color w:val="auto"/>
              </w:rPr>
            </w:pPr>
            <w:r>
              <w:rPr>
                <w:rFonts w:ascii="Arial" w:cs="Arial" w:eastAsia="Arial" w:hAnsi="Arial"/>
                <w:sz w:val="13"/>
                <w:szCs w:val="13"/>
                <w:color w:val="auto"/>
              </w:rPr>
              <w:t>(263)</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(13.1)%</w:t>
            </w:r>
          </w:p>
        </w:tc>
        <w:tc>
          <w:tcPr>
            <w:tcW w:w="140" w:type="dxa"/>
            <w:vAlign w:val="bottom"/>
          </w:tcPr>
          <w:p>
            <w:pPr>
              <w:spacing w:after="0"/>
              <w:rPr>
                <w:sz w:val="12"/>
                <w:szCs w:val="12"/>
                <w:color w:val="auto"/>
              </w:rPr>
            </w:pPr>
          </w:p>
        </w:tc>
        <w:tc>
          <w:tcPr>
            <w:tcW w:w="1120" w:type="dxa"/>
            <w:vAlign w:val="bottom"/>
            <w:gridSpan w:val="2"/>
          </w:tcPr>
          <w:p>
            <w:pPr>
              <w:jc w:val="right"/>
              <w:ind w:right="118"/>
              <w:spacing w:after="0"/>
              <w:rPr>
                <w:sz w:val="20"/>
                <w:szCs w:val="20"/>
                <w:color w:val="auto"/>
              </w:rPr>
            </w:pPr>
            <w:r>
              <w:rPr>
                <w:rFonts w:ascii="Arial" w:cs="Arial" w:eastAsia="Arial" w:hAnsi="Arial"/>
                <w:sz w:val="13"/>
                <w:szCs w:val="13"/>
                <w:color w:val="auto"/>
              </w:rPr>
              <w:t>5,288</w:t>
            </w:r>
          </w:p>
        </w:tc>
        <w:tc>
          <w:tcPr>
            <w:tcW w:w="220" w:type="dxa"/>
            <w:vAlign w:val="bottom"/>
          </w:tcPr>
          <w:p>
            <w:pPr>
              <w:spacing w:after="0"/>
              <w:rPr>
                <w:sz w:val="12"/>
                <w:szCs w:val="12"/>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3"/>
                <w:szCs w:val="13"/>
                <w:color w:val="auto"/>
              </w:rPr>
              <w:t>4,610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678</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20" w:type="dxa"/>
            <w:vAlign w:val="bottom"/>
          </w:tcPr>
          <w:p>
            <w:pPr>
              <w:ind w:left="180"/>
              <w:spacing w:after="0" w:line="121" w:lineRule="exact"/>
              <w:rPr>
                <w:sz w:val="20"/>
                <w:szCs w:val="20"/>
                <w:color w:val="auto"/>
              </w:rPr>
            </w:pPr>
            <w:r>
              <w:rPr>
                <w:rFonts w:ascii="Arial" w:cs="Arial" w:eastAsia="Arial" w:hAnsi="Arial"/>
                <w:sz w:val="13"/>
                <w:szCs w:val="13"/>
                <w:color w:val="auto"/>
              </w:rPr>
              <w:t>Gain on repurchase of exchangeable</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rPr>
                <w:sz w:val="20"/>
                <w:szCs w:val="20"/>
                <w:color w:val="auto"/>
              </w:rPr>
            </w:pPr>
            <w:r>
              <w:rPr>
                <w:rFonts w:ascii="Arial" w:cs="Arial" w:eastAsia="Arial" w:hAnsi="Arial"/>
                <w:sz w:val="13"/>
                <w:szCs w:val="13"/>
                <w:color w:val="auto"/>
              </w:rPr>
              <w:t>senior notes</w:t>
            </w:r>
          </w:p>
        </w:tc>
        <w:tc>
          <w:tcPr>
            <w:tcW w:w="680" w:type="dxa"/>
            <w:vAlign w:val="bottom"/>
          </w:tcPr>
          <w:p>
            <w:pPr>
              <w:spacing w:after="0"/>
              <w:rPr>
                <w:sz w:val="12"/>
                <w:szCs w:val="12"/>
                <w:color w:val="auto"/>
              </w:rPr>
            </w:pPr>
          </w:p>
        </w:tc>
        <w:tc>
          <w:tcPr>
            <w:tcW w:w="52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118"/>
              <w:spacing w:after="0"/>
              <w:rPr>
                <w:sz w:val="20"/>
                <w:szCs w:val="20"/>
                <w:color w:val="auto"/>
              </w:rPr>
            </w:pPr>
            <w:r>
              <w:rPr>
                <w:rFonts w:ascii="Arial" w:cs="Arial" w:eastAsia="Arial" w:hAnsi="Arial"/>
                <w:sz w:val="13"/>
                <w:szCs w:val="13"/>
                <w:color w:val="auto"/>
              </w:rPr>
              <w:t>27,576</w:t>
            </w:r>
          </w:p>
        </w:tc>
        <w:tc>
          <w:tcPr>
            <w:tcW w:w="220" w:type="dxa"/>
            <w:vAlign w:val="bottom"/>
          </w:tcPr>
          <w:p>
            <w:pPr>
              <w:spacing w:after="0"/>
              <w:rPr>
                <w:sz w:val="12"/>
                <w:szCs w:val="12"/>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27,576</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Loss on sale of investments available</w:t>
            </w: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for sale</w:t>
            </w:r>
          </w:p>
        </w:tc>
        <w:tc>
          <w:tcPr>
            <w:tcW w:w="6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(1,415)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420" w:type="dxa"/>
            <w:vAlign w:val="bottom"/>
          </w:tcPr>
          <w:p>
            <w:pPr>
              <w:ind w:left="180"/>
              <w:spacing w:after="0" w:line="135" w:lineRule="exact"/>
              <w:rPr>
                <w:sz w:val="20"/>
                <w:szCs w:val="20"/>
                <w:color w:val="auto"/>
              </w:rPr>
            </w:pPr>
            <w:r>
              <w:rPr>
                <w:rFonts w:ascii="Arial" w:cs="Arial" w:eastAsia="Arial" w:hAnsi="Arial"/>
                <w:sz w:val="13"/>
                <w:szCs w:val="13"/>
                <w:color w:val="auto"/>
              </w:rPr>
              <w:t>Income tax expense</w:t>
            </w:r>
          </w:p>
        </w:tc>
        <w:tc>
          <w:tcPr>
            <w:tcW w:w="680" w:type="dxa"/>
            <w:vAlign w:val="bottom"/>
          </w:tcPr>
          <w:p>
            <w:pPr>
              <w:spacing w:after="0"/>
              <w:rPr>
                <w:sz w:val="11"/>
                <w:szCs w:val="11"/>
                <w:color w:val="auto"/>
              </w:rPr>
            </w:pPr>
          </w:p>
        </w:tc>
        <w:tc>
          <w:tcPr>
            <w:tcW w:w="52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(726)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(723)</w:t>
            </w:r>
          </w:p>
        </w:tc>
        <w:tc>
          <w:tcPr>
            <w:tcW w:w="10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24,100.0%</w:t>
            </w:r>
          </w:p>
        </w:tc>
        <w:tc>
          <w:tcPr>
            <w:tcW w:w="140" w:type="dxa"/>
            <w:vAlign w:val="bottom"/>
          </w:tcPr>
          <w:p>
            <w:pPr>
              <w:spacing w:after="0"/>
              <w:rPr>
                <w:sz w:val="11"/>
                <w:szCs w:val="11"/>
                <w:color w:val="auto"/>
              </w:rPr>
            </w:pPr>
          </w:p>
        </w:tc>
        <w:tc>
          <w:tcPr>
            <w:tcW w:w="11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(2,317)</w:t>
            </w:r>
          </w:p>
        </w:tc>
        <w:tc>
          <w:tcPr>
            <w:tcW w:w="220" w:type="dxa"/>
            <w:vAlign w:val="bottom"/>
          </w:tcPr>
          <w:p>
            <w:pPr>
              <w:spacing w:after="0"/>
              <w:rPr>
                <w:sz w:val="11"/>
                <w:szCs w:val="11"/>
                <w:color w:val="auto"/>
              </w:rPr>
            </w:pPr>
          </w:p>
        </w:tc>
        <w:tc>
          <w:tcPr>
            <w:tcW w:w="9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(190)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(2,127)</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1,119.5%</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bottom w:val="single" w:sz="8" w:color="CCEEFF"/>
            </w:tcBorders>
            <w:shd w:val="clear" w:color="auto" w:fill="CCEEFF"/>
          </w:tcPr>
          <w:p>
            <w:pPr>
              <w:ind w:left="360"/>
              <w:spacing w:after="0" w:line="143" w:lineRule="exact"/>
              <w:rPr>
                <w:sz w:val="20"/>
                <w:szCs w:val="20"/>
                <w:color w:val="auto"/>
              </w:rPr>
            </w:pPr>
            <w:r>
              <w:rPr>
                <w:rFonts w:ascii="Arial" w:cs="Arial" w:eastAsia="Arial" w:hAnsi="Arial"/>
                <w:sz w:val="13"/>
                <w:szCs w:val="13"/>
                <w:color w:val="auto"/>
              </w:rPr>
              <w:t>Total other revenue (expense)</w:t>
            </w:r>
          </w:p>
        </w:tc>
        <w:tc>
          <w:tcPr>
            <w:tcW w:w="68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(15,643</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(12,458</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(3,185</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25.6</w:t>
            </w:r>
          </w:p>
        </w:tc>
        <w:tc>
          <w:tcPr>
            <w:tcW w:w="240" w:type="dxa"/>
            <w:vAlign w:val="bottom"/>
            <w:tcBorders>
              <w:top w:val="single" w:sz="8" w:color="CCEEFF"/>
              <w:bottom w:val="single" w:sz="8" w:color="CCEEFF"/>
            </w:tcBorders>
            <w:shd w:val="clear" w:color="auto" w:fill="CCEEFF"/>
          </w:tcPr>
          <w:p>
            <w:pPr>
              <w:jc w:val="right"/>
              <w:ind w:right="57"/>
              <w:spacing w:after="0" w:line="141" w:lineRule="exact"/>
              <w:rPr>
                <w:sz w:val="20"/>
                <w:szCs w:val="20"/>
                <w:color w:val="auto"/>
              </w:rPr>
            </w:pPr>
            <w:r>
              <w:rPr>
                <w:rFonts w:ascii="Arial" w:cs="Arial" w:eastAsia="Arial" w:hAnsi="Arial"/>
                <w:sz w:val="13"/>
                <w:szCs w:val="13"/>
                <w:color w:val="auto"/>
                <w:w w:val="86"/>
              </w:rPr>
              <w:t>%</w:t>
            </w: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(15,859</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(42,149</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26,290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(62.4</w:t>
            </w:r>
          </w:p>
        </w:tc>
        <w:tc>
          <w:tcPr>
            <w:tcW w:w="22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Interest Expense — </w:t>
      </w:r>
      <w:r>
        <w:rPr>
          <w:rFonts w:ascii="Arial" w:cs="Arial" w:eastAsia="Arial" w:hAnsi="Arial"/>
          <w:sz w:val="18"/>
          <w:szCs w:val="18"/>
          <w:color w:val="auto"/>
        </w:rPr>
        <w:t>The increase in interest expense for the three months ended September 30, 2009 was primarily the result of $61,770 of debt that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reverse interest rate swap that expired, thus increasing the interest rate on the debt. The increase in interest expense for the nine months ended September 30, 2009 relates primarily to an increase in debt of $94,000 over the prior year.</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Non-cash Interest Expense Related to Amortization of Discount on Exchangeable Senior Notes — </w:t>
      </w:r>
      <w:r>
        <w:rPr>
          <w:rFonts w:ascii="Arial" w:cs="Arial" w:eastAsia="Arial" w:hAnsi="Arial"/>
          <w:sz w:val="18"/>
          <w:szCs w:val="18"/>
          <w:color w:val="auto"/>
        </w:rPr>
        <w:t>The decrease in non-cash interest expense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amortization of discount on exchangeable senior notes for the three and nine months ended September 30, 2009 was due to the Company repurchasing a total of $154,837 of its notes in 2008 and 2009. The discount associated with the repurchased notes was written off as a result of these repurchases which decreased the ongoing amortization of the discount in 2009 when compared to 2008.</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The decrease in interest income is primarily due to the decrease in our investments available for sale from $21,812 to $0 in early 2008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decrease in cash compared to the same periods in the prior year.</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Equity in Earnings of Real Estate Ventures — </w:t>
      </w:r>
      <w:r>
        <w:rPr>
          <w:rFonts w:ascii="Arial" w:cs="Arial" w:eastAsia="Arial" w:hAnsi="Arial"/>
          <w:sz w:val="16"/>
          <w:szCs w:val="16"/>
          <w:color w:val="auto"/>
        </w:rPr>
        <w:t>The decrease in equity in earnings of real estate ventures for the three months ended September 30, 2009 is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due primarily to decreased revenues at these joint ventures. The increase in equity in earnings of real estate ventures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compared to the prior year is due primarily to the increase in our investment in the VRS joint venture from 5% to 45% on July 1, 2008.</w:t>
      </w:r>
    </w:p>
    <w:p>
      <w:pPr>
        <w:spacing w:after="0" w:line="230"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Gain on Repurchase of Exchangeable Senior Notes — </w:t>
      </w:r>
      <w:r>
        <w:rPr>
          <w:rFonts w:ascii="Arial" w:cs="Arial" w:eastAsia="Arial" w:hAnsi="Arial"/>
          <w:sz w:val="18"/>
          <w:szCs w:val="18"/>
          <w:color w:val="auto"/>
        </w:rPr>
        <w:t>This amount represents the gain recorded on the repurchase of $114,500 principal amount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senior notes in March and May 2009. There were no repurchases of exchangeable senior notes during the nine months ended September 30, 2008.</w:t>
      </w:r>
    </w:p>
    <w:p>
      <w:pPr>
        <w:spacing w:after="0" w:line="176"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 xml:space="preserve">Loss on Sale of Investments Available for Sale — </w:t>
      </w:r>
      <w:r>
        <w:rPr>
          <w:rFonts w:ascii="Arial" w:cs="Arial" w:eastAsia="Arial" w:hAnsi="Arial"/>
          <w:sz w:val="17"/>
          <w:szCs w:val="17"/>
          <w:color w:val="auto"/>
        </w:rPr>
        <w:t>This amount represents the loss recorded on February 29, 2008 related to the liquidation of auction rates</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held in investments available for sale. There was no loss for the three or nine months ended September 30, 2009.</w:t>
      </w:r>
    </w:p>
    <w:p>
      <w:pPr>
        <w:spacing w:after="0" w:line="13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 The increase in income tax expense relates to our net operating loss carryforward being used completely in 2008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profitability of our TRS.</w:t>
      </w:r>
    </w:p>
    <w:p>
      <w:pPr>
        <w:sectPr>
          <w:pgSz w:w="11900" w:h="16838" w:orient="portrait"/>
          <w:cols w:equalWidth="0" w:num="1">
            <w:col w:w="11420"/>
          </w:cols>
          <w:pgMar w:left="240" w:top="337" w:right="239" w:bottom="0" w:gutter="0" w:footer="0" w:header="0"/>
        </w:sectPr>
      </w:pPr>
    </w:p>
    <w:bookmarkStart w:id="26" w:name="page27"/>
    <w:bookmarkEnd w:id="26"/>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0"/>
              </w:rPr>
              <w:t>Three Months Ended September 30,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2"/>
              </w:rPr>
              <w:t>$ Change</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 Change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0"/>
              </w:rPr>
              <w:t>Nine Months Ended September 30,</w:t>
            </w:r>
          </w:p>
        </w:tc>
        <w:tc>
          <w:tcPr>
            <w:tcW w:w="120" w:type="dxa"/>
            <w:vAlign w:val="bottom"/>
          </w:tcPr>
          <w:p>
            <w:pPr>
              <w:spacing w:after="0"/>
              <w:rPr>
                <w:sz w:val="13"/>
                <w:szCs w:val="13"/>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88"/>
              </w:rPr>
              <w:t>$ Change</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4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Net income allocated to noncontrolling</w:t>
            </w:r>
          </w:p>
        </w:tc>
        <w:tc>
          <w:tcPr>
            <w:tcW w:w="12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interests:</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180"/>
              <w:spacing w:after="0" w:line="121" w:lineRule="exact"/>
              <w:rPr>
                <w:sz w:val="20"/>
                <w:szCs w:val="20"/>
                <w:color w:val="auto"/>
              </w:rPr>
            </w:pPr>
            <w:r>
              <w:rPr>
                <w:rFonts w:ascii="Arial" w:cs="Arial" w:eastAsia="Arial" w:hAnsi="Arial"/>
                <w:sz w:val="13"/>
                <w:szCs w:val="13"/>
                <w:color w:val="auto"/>
              </w:rPr>
              <w:t>Net income allocated to Preferred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360"/>
              <w:spacing w:after="0" w:line="135" w:lineRule="exact"/>
              <w:rPr>
                <w:sz w:val="20"/>
                <w:szCs w:val="20"/>
                <w:color w:val="auto"/>
              </w:rPr>
            </w:pPr>
            <w:r>
              <w:rPr>
                <w:rFonts w:ascii="Arial" w:cs="Arial" w:eastAsia="Arial" w:hAnsi="Arial"/>
                <w:sz w:val="13"/>
                <w:szCs w:val="13"/>
                <w:color w:val="auto"/>
              </w:rPr>
              <w:t>Operating Partnership noncontrolling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360"/>
              <w:spacing w:after="0"/>
              <w:rPr>
                <w:sz w:val="20"/>
                <w:szCs w:val="20"/>
                <w:color w:val="auto"/>
              </w:rPr>
            </w:pPr>
            <w:r>
              <w:rPr>
                <w:rFonts w:ascii="Arial" w:cs="Arial" w:eastAsia="Arial" w:hAnsi="Arial"/>
                <w:sz w:val="13"/>
                <w:szCs w:val="13"/>
                <w:color w:val="auto"/>
              </w:rPr>
              <w:t>interests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(1,506)</w:t>
            </w: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(1,570)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64</w:t>
            </w:r>
          </w:p>
        </w:tc>
        <w:tc>
          <w:tcPr>
            <w:tcW w:w="18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(4,681)</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(4,627)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1"/>
        </w:trPr>
        <w:tc>
          <w:tcPr>
            <w:tcW w:w="25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Net income allocated to Operating</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Partnership and other non-controlling</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(929)</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360"/>
              <w:spacing w:after="0" w:line="121" w:lineRule="exact"/>
              <w:rPr>
                <w:sz w:val="20"/>
                <w:szCs w:val="20"/>
                <w:color w:val="auto"/>
              </w:rPr>
            </w:pPr>
            <w:r>
              <w:rPr>
                <w:rFonts w:ascii="Arial" w:cs="Arial" w:eastAsia="Arial" w:hAnsi="Arial"/>
                <w:sz w:val="13"/>
                <w:szCs w:val="13"/>
                <w:color w:val="auto"/>
              </w:rPr>
              <w:t>Total income allocated to</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540" w:type="dxa"/>
            <w:vAlign w:val="bottom"/>
            <w:vMerge w:val="continue"/>
          </w:tcPr>
          <w:p>
            <w:pPr>
              <w:spacing w:after="0"/>
              <w:rPr>
                <w:sz w:val="8"/>
                <w:szCs w:val="8"/>
                <w:color w:val="auto"/>
              </w:rPr>
            </w:pP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vMerge w:val="restart"/>
          </w:tcPr>
          <w:p>
            <w:pPr>
              <w:jc w:val="right"/>
              <w:ind w:right="80"/>
              <w:spacing w:after="0" w:line="236" w:lineRule="exact"/>
              <w:rPr>
                <w:sz w:val="20"/>
                <w:szCs w:val="20"/>
                <w:color w:val="auto"/>
              </w:rPr>
            </w:pPr>
            <w:r>
              <w:rPr>
                <w:rFonts w:ascii="Arial" w:cs="Arial" w:eastAsia="Arial" w:hAnsi="Arial"/>
                <w:sz w:val="13"/>
                <w:szCs w:val="13"/>
                <w:color w:val="auto"/>
              </w:rPr>
              <w:t>(1,607</w:t>
            </w:r>
            <w:r>
              <w:rPr>
                <w:rFonts w:ascii="Arial" w:cs="Arial" w:eastAsia="Arial" w:hAnsi="Arial"/>
                <w:sz w:val="25"/>
                <w:szCs w:val="25"/>
                <w:color w:val="auto"/>
                <w:vertAlign w:val="superscript"/>
              </w:rPr>
              <w:t>)</w:t>
            </w: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3"/>
                <w:szCs w:val="13"/>
                <w:color w:val="auto"/>
              </w:rPr>
              <w:t>(1,971</w:t>
            </w:r>
            <w:r>
              <w:rPr>
                <w:rFonts w:ascii="Arial" w:cs="Arial" w:eastAsia="Arial" w:hAnsi="Arial"/>
                <w:sz w:val="25"/>
                <w:szCs w:val="25"/>
                <w:color w:val="auto"/>
                <w:vertAlign w:val="superscript"/>
              </w:rPr>
              <w:t>)</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364</w:t>
            </w:r>
          </w:p>
        </w:tc>
        <w:tc>
          <w:tcPr>
            <w:tcW w:w="1000" w:type="dxa"/>
            <w:vAlign w:val="bottom"/>
            <w:gridSpan w:val="2"/>
            <w:vMerge w:val="restart"/>
          </w:tcPr>
          <w:p>
            <w:pPr>
              <w:jc w:val="right"/>
              <w:ind w:right="40"/>
              <w:spacing w:after="0" w:line="236" w:lineRule="exact"/>
              <w:rPr>
                <w:sz w:val="20"/>
                <w:szCs w:val="20"/>
                <w:color w:val="auto"/>
              </w:rPr>
            </w:pPr>
            <w:r>
              <w:rPr>
                <w:rFonts w:ascii="Arial" w:cs="Arial" w:eastAsia="Arial" w:hAnsi="Arial"/>
                <w:sz w:val="13"/>
                <w:szCs w:val="13"/>
                <w:color w:val="auto"/>
              </w:rPr>
              <w:t>(18.5</w:t>
            </w:r>
            <w:r>
              <w:rPr>
                <w:rFonts w:ascii="Arial" w:cs="Arial" w:eastAsia="Arial" w:hAnsi="Arial"/>
                <w:sz w:val="25"/>
                <w:szCs w:val="25"/>
                <w:color w:val="auto"/>
                <w:vertAlign w:val="superscript"/>
              </w:rPr>
              <w:t>)%</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tcPr>
          <w:p>
            <w:pPr>
              <w:jc w:val="right"/>
              <w:ind w:right="120"/>
              <w:spacing w:after="0" w:line="236" w:lineRule="exact"/>
              <w:rPr>
                <w:sz w:val="20"/>
                <w:szCs w:val="20"/>
                <w:color w:val="auto"/>
              </w:rPr>
            </w:pPr>
            <w:r>
              <w:rPr>
                <w:rFonts w:ascii="Arial" w:cs="Arial" w:eastAsia="Arial" w:hAnsi="Arial"/>
                <w:sz w:val="13"/>
                <w:szCs w:val="13"/>
                <w:color w:val="auto"/>
              </w:rPr>
              <w:t>(5,610</w:t>
            </w:r>
            <w:r>
              <w:rPr>
                <w:rFonts w:ascii="Arial" w:cs="Arial" w:eastAsia="Arial" w:hAnsi="Arial"/>
                <w:sz w:val="25"/>
                <w:szCs w:val="25"/>
                <w:color w:val="auto"/>
                <w:vertAlign w:val="superscript"/>
              </w:rPr>
              <w:t>)</w:t>
            </w:r>
          </w:p>
        </w:tc>
        <w:tc>
          <w:tcPr>
            <w:tcW w:w="240" w:type="dxa"/>
            <w:vAlign w:val="bottom"/>
            <w:vMerge w:val="restart"/>
          </w:tcPr>
          <w:p>
            <w:pPr>
              <w:jc w:val="right"/>
              <w:ind w:right="133"/>
              <w:spacing w:after="0"/>
              <w:rPr>
                <w:sz w:val="20"/>
                <w:szCs w:val="20"/>
                <w:color w:val="auto"/>
              </w:rPr>
            </w:pPr>
            <w:r>
              <w:rPr>
                <w:rFonts w:ascii="Arial" w:cs="Arial" w:eastAsia="Arial" w:hAnsi="Arial"/>
                <w:sz w:val="9"/>
                <w:szCs w:val="9"/>
                <w:color w:val="auto"/>
                <w:w w:val="78"/>
              </w:rPr>
              <w:t>$</w:t>
            </w:r>
          </w:p>
        </w:tc>
        <w:tc>
          <w:tcPr>
            <w:tcW w:w="980" w:type="dxa"/>
            <w:vAlign w:val="bottom"/>
            <w:gridSpan w:val="2"/>
            <w:vMerge w:val="restart"/>
          </w:tcPr>
          <w:p>
            <w:pPr>
              <w:jc w:val="right"/>
              <w:ind w:right="120"/>
              <w:spacing w:after="0" w:line="236" w:lineRule="exact"/>
              <w:rPr>
                <w:sz w:val="20"/>
                <w:szCs w:val="20"/>
                <w:color w:val="auto"/>
              </w:rPr>
            </w:pPr>
            <w:r>
              <w:rPr>
                <w:rFonts w:ascii="Arial" w:cs="Arial" w:eastAsia="Arial" w:hAnsi="Arial"/>
                <w:sz w:val="13"/>
                <w:szCs w:val="13"/>
                <w:color w:val="auto"/>
              </w:rPr>
              <w:t>(5,523</w:t>
            </w:r>
            <w:r>
              <w:rPr>
                <w:rFonts w:ascii="Arial" w:cs="Arial" w:eastAsia="Arial" w:hAnsi="Arial"/>
                <w:sz w:val="25"/>
                <w:szCs w:val="25"/>
                <w:color w:val="auto"/>
                <w:vertAlign w:val="superscript"/>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tcPr>
          <w:p>
            <w:pPr>
              <w:jc w:val="right"/>
              <w:ind w:right="120"/>
              <w:spacing w:after="0" w:line="236" w:lineRule="exact"/>
              <w:rPr>
                <w:sz w:val="20"/>
                <w:szCs w:val="20"/>
                <w:color w:val="auto"/>
              </w:rPr>
            </w:pPr>
            <w:r>
              <w:rPr>
                <w:rFonts w:ascii="Arial" w:cs="Arial" w:eastAsia="Arial" w:hAnsi="Arial"/>
                <w:sz w:val="13"/>
                <w:szCs w:val="13"/>
                <w:color w:val="auto"/>
              </w:rPr>
              <w:t>(87</w:t>
            </w:r>
            <w:r>
              <w:rPr>
                <w:rFonts w:ascii="Arial" w:cs="Arial" w:eastAsia="Arial" w:hAnsi="Arial"/>
                <w:sz w:val="25"/>
                <w:szCs w:val="25"/>
                <w:color w:val="auto"/>
                <w:vertAlign w:val="superscript"/>
              </w:rPr>
              <w:t>)</w:t>
            </w:r>
          </w:p>
        </w:tc>
        <w:tc>
          <w:tcPr>
            <w:tcW w:w="900" w:type="dxa"/>
            <w:vAlign w:val="bottom"/>
            <w:gridSpan w:val="2"/>
            <w:vMerge w:val="restart"/>
          </w:tcPr>
          <w:p>
            <w:pPr>
              <w:jc w:val="right"/>
              <w:spacing w:after="0" w:line="236" w:lineRule="exact"/>
              <w:rPr>
                <w:sz w:val="20"/>
                <w:szCs w:val="20"/>
                <w:color w:val="auto"/>
              </w:rPr>
            </w:pPr>
            <w:r>
              <w:rPr>
                <w:rFonts w:ascii="Arial" w:cs="Arial" w:eastAsia="Arial" w:hAnsi="Arial"/>
                <w:sz w:val="13"/>
                <w:szCs w:val="13"/>
                <w:color w:val="auto"/>
              </w:rPr>
              <w:t>1.6</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36"/>
        </w:trPr>
        <w:tc>
          <w:tcPr>
            <w:tcW w:w="2540" w:type="dxa"/>
            <w:vAlign w:val="bottom"/>
          </w:tcPr>
          <w:p>
            <w:pPr>
              <w:ind w:left="540"/>
              <w:spacing w:after="0" w:line="136" w:lineRule="exact"/>
              <w:rPr>
                <w:sz w:val="20"/>
                <w:szCs w:val="20"/>
                <w:color w:val="auto"/>
              </w:rPr>
            </w:pPr>
            <w:r>
              <w:rPr>
                <w:rFonts w:ascii="Arial" w:cs="Arial" w:eastAsia="Arial" w:hAnsi="Arial"/>
                <w:sz w:val="13"/>
                <w:szCs w:val="13"/>
                <w:color w:val="auto"/>
              </w:rPr>
              <w:t>noncontrolling interests:</w:t>
            </w:r>
          </w:p>
        </w:tc>
        <w:tc>
          <w:tcPr>
            <w:tcW w:w="12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Net income allocated to Preferred Operating Partnership noncontrolling interests — </w:t>
      </w:r>
      <w:r>
        <w:rPr>
          <w:rFonts w:ascii="Arial" w:cs="Arial" w:eastAsia="Arial" w:hAnsi="Arial"/>
          <w:sz w:val="18"/>
          <w:szCs w:val="18"/>
          <w:color w:val="auto"/>
        </w:rPr>
        <w:t>Income allocated to the Preferred Operating Partnership equals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fixed distribution paid to the Preferred OP unit holder plus approximately 1.1% and 1.1%, respectively, of the remaining net income allocated after the adjustment for the fixed distribution paid as of September 30, 2009 and 2008.</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Net income allocated to Operating Partnership and other noncontrolling interests — </w:t>
      </w:r>
      <w:r>
        <w:rPr>
          <w:rFonts w:ascii="Arial" w:cs="Arial" w:eastAsia="Arial" w:hAnsi="Arial"/>
          <w:sz w:val="18"/>
          <w:szCs w:val="18"/>
          <w:color w:val="auto"/>
        </w:rPr>
        <w:t>Income allocated to the Operating Partnership as of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2009 and 2008 represents approximately 4.3% and 4.7%, respectively, of net income after the allocation of the fixed distribution paid to the Preferred OP unit holder. Loss allocated to other noncontrolling interests represents the losses allocated to partners in consolidated joint ventures on eight properties that were in the lease-up phase during the three and nine months ended September 30,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consolidated financial statements.</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as an indicator of our ability to make cash distributions. The following table sets forth our calculation of FFO for the three and nine months ended September 30,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Real estate depreciation</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12,959</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10,791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35,943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Joint venture real estate depreciation and amortization</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(gain) loss on sale of properties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Distributions paid on Preferred Operating Partnership units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(1,438)</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Income allocated to Operating Partnership noncontrolling</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1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20,918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23,987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STABILIZED PROPERTY RESULTS</w:t>
      </w:r>
    </w:p>
    <w:p>
      <w:pPr>
        <w:spacing w:after="0" w:line="22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(revenues include tenant reinsurance income).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9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4"/>
                <w:szCs w:val="14"/>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September30,</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w:t>
            </w:r>
          </w:p>
        </w:tc>
      </w:tr>
      <w:tr>
        <w:trPr>
          <w:trHeight w:val="142"/>
        </w:trPr>
        <w:tc>
          <w:tcPr>
            <w:tcW w:w="29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4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1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r>
      <w:tr>
        <w:trPr>
          <w:trHeight w:val="182"/>
        </w:trPr>
        <w:tc>
          <w:tcPr>
            <w:tcW w:w="2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Same-store rental and tenant</w:t>
            </w: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r>
      <w:tr>
        <w:trPr>
          <w:trHeight w:val="230"/>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revenues</w:t>
            </w: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57,013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59,703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170,402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174,819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Same-store operating and tenant</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40"/>
        </w:trPr>
        <w:tc>
          <w:tcPr>
            <w:tcW w:w="2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reinsurance expenses</w:t>
            </w:r>
          </w:p>
        </w:tc>
        <w:tc>
          <w:tcPr>
            <w:tcW w:w="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0"/>
              </w:rPr>
              <w:t>20,253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20,495</w:t>
            </w:r>
          </w:p>
        </w:tc>
        <w:tc>
          <w:tcPr>
            <w:tcW w:w="14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60,256</w:t>
            </w:r>
          </w:p>
        </w:tc>
        <w:tc>
          <w:tcPr>
            <w:tcW w:w="2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60,751</w:t>
            </w:r>
          </w:p>
        </w:tc>
        <w:tc>
          <w:tcPr>
            <w:tcW w:w="1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(0.8)%</w:t>
            </w:r>
          </w:p>
        </w:tc>
      </w:tr>
    </w:tbl>
    <w:p>
      <w:pPr>
        <w:sectPr>
          <w:pgSz w:w="11900" w:h="16900" w:orient="portrait"/>
          <w:cols w:equalWidth="0" w:num="1">
            <w:col w:w="11460"/>
          </w:cols>
          <w:pgMar w:left="240" w:top="125" w:right="1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36,760</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39,208</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110,146</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114,068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 same-store rental and tenant</w:t>
            </w:r>
          </w:p>
        </w:tc>
        <w:tc>
          <w:tcPr>
            <w:tcW w:w="1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revenues</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8,909</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4,559</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95.4%</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23,338</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11,810</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Non same-store operating and tenant</w:t>
            </w: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reinsurance expenses</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4,033</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2,298</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75.5%</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11,196</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6,078</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Total rental and tenant reinsurance</w:t>
            </w: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65,922</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64,262</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2.6%</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193,740</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186,629</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and tenant</w:t>
            </w:r>
          </w:p>
        </w:tc>
        <w:tc>
          <w:tcPr>
            <w:tcW w:w="1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expenses</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24,286</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22,793</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6.6%</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71,452</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66,829</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Same-store square foot occupancy as</w:t>
            </w:r>
          </w:p>
        </w:tc>
        <w:tc>
          <w:tcPr>
            <w:tcW w:w="1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quarter end</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84.2%</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85.6%</w:t>
            </w:r>
          </w:p>
        </w:tc>
        <w:tc>
          <w:tcPr>
            <w:tcW w:w="13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84.2%</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85.6%</w:t>
            </w: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252</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252</w:t>
            </w:r>
          </w:p>
        </w:tc>
        <w:tc>
          <w:tcPr>
            <w:tcW w:w="13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252</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252</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decrease in same-store rental revenues for the three and nine months ended September 30, 2009 as compared to the three and nine months ended September 30, 2008 was due to decreased rental rates to incoming customers and a reduction in occupancy. The decrease in same-store operating expenses was primarily due to lower payroll, advertising and insurance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flows provided by operating activities were $66,092 and $76,026, respectively, for the nine months ended September 30, 2009 and 2008. The decrease compared to the prior year primarily relates to the decrease in net income exclusive of gain on sale of exchangeable notes and unrecovered development costs and severance costs relating to the wind-down of our development program.</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Cash used in investing activities was $87,360 and $130,568, respectively, for the nine months ended September 30, 2009 and 2008. The decrease relates primarily to the $44,100 decrease in investments in real estate ventures as we increased our ownership in the VRS Self Storage LLC joint venture in 2008 and had no similar large investment increases in 2009. In addition, the acquisition of real estate assets decreased from $55,602 in 2008 to $27,378 in 2009. These decreases were partially offset by the increase of investing in development and construction of real estate assets of $14,126 over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financing activities was $58,288 and $149,241, respectively, for the nine months ended September 30, 2009 and 2008. The decrease in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by financing activities is primarily the result of $232,718 in proceeds received as a result of issuing common stock in 2008 compared to $0 in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during the nine months ended September 30, 2009, we drew an additional $73,000 on our lines of credit and obtained proceeds of $309,879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notes payable, compared to proceeds of only $4,063 from notes payable and lines of credit during the nine months ended September 30, 2008.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offset by the increase of $80,853 in the amount paid by the Company to repurchase a portion of our exchangeable senior notes, and repayment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$207,981 of debt during the nine months ended September 30, 2009 compared to repayments of only $24,097 for the nine months ended September 30, 2008.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SUMMARY</w:t>
      </w:r>
    </w:p>
    <w:p>
      <w:pPr>
        <w:spacing w:after="0" w:line="22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Our net operating income for the nine months ended September 30, 2009 decreased on a same-store basis with decreases in revenues and decreases in expenses. Same-store revenue decreased 2.5% and net operating income decreased 3.4%. Same-store expenses showed a modest year-on-year decrease of 0.8</w:t>
      </w:r>
    </w:p>
    <w:p>
      <w:pPr>
        <w:spacing w:after="0" w:line="1" w:lineRule="exact"/>
        <w:rPr>
          <w:sz w:val="20"/>
          <w:szCs w:val="20"/>
          <w:color w:val="auto"/>
        </w:rPr>
      </w:pPr>
    </w:p>
    <w:p>
      <w:pPr>
        <w:ind w:left="5620" w:right="4260" w:hanging="5612"/>
        <w:spacing w:after="0" w:line="511" w:lineRule="auto"/>
        <w:tabs>
          <w:tab w:leader="none" w:pos="2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Occupancy decreased to 84.2 % as compared to 85.6% for the same period of the previous year.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Stabilized properties located in Massachusetts, New York, Northern California, Texas, and Washington, D.C. were the top performing assets for the nine months ended September 30, 2009. Stabilized properties located in Arizona, Florida, Georgia and Southern California performed below the portfolio average.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2009, we had $100,992 available in cash and cash equivalents. We intend to use this cash to repay debt scheduled to mature in 2009 and 2010 and for general corporate purposes. We are required to distribute at least 90% of our net taxable income, excluding net capital gains, to our stockholders on an annual basis to maintain our qualification as a REIT. Recently issued guidance from the IRS allows for up to 90% of a REIT’s dividends to be paid with its common stock in 2009 if certain conditions are met.</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 April 6, 2009, we announced modifications to our 2009 dividend distributions. We did not pay a dividend in the second or third quarters of 2009. We expect to pay a fourth quarter dividend, which when combined with the first quarter cash dividend of $0.25 per share, previously paid on March 31, 2009, is expected to satisfy the REIT distribution requirements and allow us to avoid the payment of corporate income tax for the year.</w:t>
      </w:r>
    </w:p>
    <w:p>
      <w:pPr>
        <w:spacing w:after="0" w:line="16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2008 and the first nine months of 2009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October 19, 2007, we entered into a $100,000 revolving line of credit (the “Credit Line”). We intend to use the proceeds of the Credit Line to repay debt and for general corporate purposes. The Credit Line has an interest rate of between 100 and 205 basis points over LIBOR, depending on certain of our financial ratios (1.25% at September 30, 2009). The Credit Line is collateralized by mortgages on certain real estate assets. The Credit Line matures on October 31, 2010 with two one-year extensions available. Outstanding balances on the Credit Line at September 30, 2009 and December 31, 2008 were $100,000 and $27,000, respectively. We are subject to certain restrictive covenants relating to the Credit Line. The Company was in compliance with all covenants as of September 30, 2009.</w:t>
      </w:r>
    </w:p>
    <w:p>
      <w:pPr>
        <w:sectPr>
          <w:pgSz w:w="11900" w:h="16838" w:orient="portrait"/>
          <w:cols w:equalWidth="0" w:num="1">
            <w:col w:w="11420"/>
          </w:cols>
          <w:pgMar w:left="240" w:top="140" w:right="239" w:bottom="68" w:gutter="0" w:footer="0" w:header="0"/>
        </w:sectPr>
      </w:pPr>
    </w:p>
    <w:bookmarkStart w:id="28" w:name="page29"/>
    <w:bookmarkEnd w:id="28"/>
    <w:p>
      <w:pPr>
        <w:ind w:right="80"/>
        <w:spacing w:after="0" w:line="257" w:lineRule="auto"/>
        <w:rPr>
          <w:sz w:val="20"/>
          <w:szCs w:val="20"/>
          <w:color w:val="auto"/>
        </w:rPr>
      </w:pPr>
      <w:r>
        <w:rPr>
          <w:rFonts w:ascii="Arial" w:cs="Arial" w:eastAsia="Arial" w:hAnsi="Arial"/>
          <w:sz w:val="18"/>
          <w:szCs w:val="18"/>
          <w:color w:val="auto"/>
        </w:rPr>
        <w:t>On February 13, 2009, we entered into a $50,000 revolving secured line of credit (the “Secondary Credit Line”) that is collateralized by mortgages on certain real estate assets and matures on February 13, 2012. We intend to use the proceeds of the Secondary Credit Line to repay debt and for general corporate purposes. The Secondary Credit Line has an interest rate of LIBOR plus 325 basis points (3.50% at September 30, 2009). As of September 30, 2009, there were no amounts drawn on the Secondary Credit Line. We are subject to certain restrictive covenants relating to the Secondary Credit Line. The Company was in compliance with all covenants as of September 30, 2009.</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2009, we had $1,359,199 of debt, resulting in a debt to total capitalization ratio of 58.5%. As of September 30, 2009, the ratio of total fixed rate debt and other instruments to total debt was 80.4% (including $97,581 on which we have interest rate swaps that have been included as fixed-rate debt). The weighted average interest rate of the total of fixed and variable rate debt at September 30, 2009 was 5.0%. Certain of our real estate assets are pledged as collateral for our debt. We are subject to certain restrictive covenants relating to our outstanding debt. We were in compliance with all covenants at September 30, 2009.</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lines of credit. In addition, the Company is actively pursuing additional term loans secured by unencumbered properties.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liquidity needs consist primarily of cash distributions to stockholders,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U.S. credit markets are experiencing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make acquisitions and fund current development projects. In addition, the financial condition of the lenders of our credit facilities may worsen to the point that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See the notes to our financial statements for a further description of our exchangeable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September 30,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Payments due by Period: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Less Than</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0"/>
                <w:szCs w:val="10"/>
                <w:color w:val="auto"/>
              </w:rPr>
            </w:pPr>
          </w:p>
        </w:tc>
        <w:tc>
          <w:tcPr>
            <w:tcW w:w="92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 exchangeable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senior notes and lines of credit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92,421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221,184</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1,359,199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173,978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253,171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266,853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665,197</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2009, the weighted-average interest rate for all fixed rate loans was 5.5%, and the weighted-average interest rate for all variable rate loans was 3.0%.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ectPr>
          <w:pgSz w:w="11900" w:h="16838" w:orient="portrait"/>
          <w:cols w:equalWidth="0" w:num="1">
            <w:col w:w="11420"/>
          </w:cols>
          <w:pgMar w:left="240" w:top="125" w:right="239" w:bottom="0" w:gutter="0" w:footer="0" w:header="0"/>
        </w:sectPr>
      </w:pPr>
    </w:p>
    <w:bookmarkStart w:id="29" w:name="page30"/>
    <w:bookmarkEnd w:id="29"/>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2008 and through September 30, 2009, we repurchased $154,837 in aggregate principal amount of our exchangeable senior notes for $112,574 in cash. 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2009, we had $1.4 billion in total debt, of which $266.0 million was subject to variable interest rates. If LIBOR were to increase or decrease by 100 basis points, the increase or decrease in interest expense on the variable rate debt would increase or decrease future earnings and cash flows by $1.8 million annually (amount excludes debt that has interest rate floors).</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 of our fixed rate notes payable and notes payable to trusts at September 30, 2009 was $1.2 billion.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341" w:right="259" w:bottom="32" w:gutter="0" w:footer="0" w:header="0"/>
        </w:sectPr>
      </w:pPr>
    </w:p>
    <w:bookmarkStart w:id="30" w:name="page31"/>
    <w:bookmarkEnd w:id="30"/>
    <w:p>
      <w:pPr>
        <w:spacing w:after="0" w:line="2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carrying value of these fixed rates notes payable and notes payable to trusts at September 30, 2009 was $1.0 billion. The fair value of the exchangeable senior notes at September 30, 2009 was $126.0 million. The carrying value of the exchangeable senior notes at September 30, 2009 was $95.2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disclosure committee that is responsible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will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2008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November 5, 2009, we issued 217,930 shares of common stock to Kenneth M. Woolley, a member of our board of directors, in exchange for an equal number of Operating Partnership (“OP”) units of our Operating Partnership. The OP units were tendered to us for redemption in accordance with the terms and provisions of the partnership agreement of our Operating Partnership. The shares were issued in a private placement in reliance on Section 4(2) of the Securities Act of 1933, as amended, and the rules and regulations promulgated thereunder. We received no additional consideration for the redemption.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Third Amendment to the Contribution Agreement between Extra Space Storage LLC and HSRE-ESP IA, LLC.</w:t>
      </w:r>
    </w:p>
    <w:p>
      <w:pPr>
        <w:spacing w:after="0" w:line="225"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760" w:hanging="742"/>
        <w:spacing w:after="0" w:line="277"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the Chief Executive Officer and Chief Financial Officer pursuant to 18 U.S.C. Section 1350, as adopted pursuant to Section 906 of the Sarbanes-Oxley Act of 2002.</w:t>
      </w:r>
    </w:p>
    <w:p>
      <w:pPr>
        <w:sectPr>
          <w:pgSz w:w="11900" w:h="16861" w:orient="portrait"/>
          <w:cols w:equalWidth="0" w:num="1">
            <w:col w:w="11380"/>
          </w:cols>
          <w:pgMar w:left="240" w:top="125" w:right="279" w:bottom="0" w:gutter="0" w:footer="0" w:header="0"/>
        </w:sectPr>
      </w:pPr>
    </w:p>
    <w:bookmarkStart w:id="31" w:name="page32"/>
    <w:bookmarkEnd w:id="31"/>
    <w:p>
      <w:pPr>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2009</w:t>
            </w:r>
          </w:p>
        </w:tc>
        <w:tc>
          <w:tcPr>
            <w:tcW w:w="198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4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2009</w:t>
            </w:r>
          </w:p>
        </w:tc>
        <w:tc>
          <w:tcPr>
            <w:tcW w:w="198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4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5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67"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CONTRIBUTION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(Pool 2)</w:t>
      </w:r>
    </w:p>
    <w:p>
      <w:pPr>
        <w:spacing w:after="0" w:line="207"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THIS THIRD AMENDMENT TO CONTRIBUTION AGREEMENT </w:t>
      </w:r>
      <w:r>
        <w:rPr>
          <w:rFonts w:ascii="Arial" w:cs="Arial" w:eastAsia="Arial" w:hAnsi="Arial"/>
          <w:sz w:val="18"/>
          <w:szCs w:val="18"/>
          <w:color w:val="auto"/>
        </w:rPr>
        <w:t>(the “</w:t>
      </w:r>
      <w:r>
        <w:rPr>
          <w:rFonts w:ascii="Arial" w:cs="Arial" w:eastAsia="Arial" w:hAnsi="Arial"/>
          <w:sz w:val="18"/>
          <w:szCs w:val="18"/>
          <w:b w:val="1"/>
          <w:bCs w:val="1"/>
          <w:color w:val="auto"/>
        </w:rPr>
        <w:t>Third Amendment</w:t>
      </w:r>
      <w:r>
        <w:rPr>
          <w:rFonts w:ascii="Arial" w:cs="Arial" w:eastAsia="Arial" w:hAnsi="Arial"/>
          <w:sz w:val="18"/>
          <w:szCs w:val="18"/>
          <w:color w:val="auto"/>
        </w:rPr>
        <w:t>”) is made and entered into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24, 2009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EXTRA SPACE STORAGE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Extra Space</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HSRE-ESP IA,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HSRE</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Extra Space and HSRE entered into that certain Contribution Agreement dated June 23, 2009 (the “</w:t>
      </w:r>
      <w:r>
        <w:rPr>
          <w:rFonts w:ascii="Arial" w:cs="Arial" w:eastAsia="Arial" w:hAnsi="Arial"/>
          <w:sz w:val="16"/>
          <w:szCs w:val="16"/>
          <w:b w:val="1"/>
          <w:bCs w:val="1"/>
          <w:color w:val="auto"/>
        </w:rPr>
        <w:t>Original Agreement</w:t>
      </w:r>
      <w:r>
        <w:rPr>
          <w:rFonts w:ascii="Arial" w:cs="Arial" w:eastAsia="Arial" w:hAnsi="Arial"/>
          <w:sz w:val="16"/>
          <w:szCs w:val="16"/>
          <w:color w:val="auto"/>
        </w:rPr>
        <w:t>”) relating to</w:t>
      </w:r>
    </w:p>
    <w:p>
      <w:pPr>
        <w:spacing w:after="0" w:line="50" w:lineRule="exact"/>
        <w:rPr>
          <w:sz w:val="20"/>
          <w:szCs w:val="20"/>
          <w:color w:val="auto"/>
        </w:rPr>
      </w:pPr>
    </w:p>
    <w:p>
      <w:pPr>
        <w:ind w:firstLine="8"/>
        <w:spacing w:after="0" w:line="253"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formation of HSRE-ESP I, LLC, a Delaware limited liability company (“</w:t>
      </w:r>
      <w:r>
        <w:rPr>
          <w:rFonts w:ascii="Arial" w:cs="Arial" w:eastAsia="Arial" w:hAnsi="Arial"/>
          <w:sz w:val="18"/>
          <w:szCs w:val="18"/>
          <w:b w:val="1"/>
          <w:bCs w:val="1"/>
          <w:color w:val="auto"/>
        </w:rPr>
        <w:t>HSRE-ESP</w:t>
      </w:r>
      <w:r>
        <w:rPr>
          <w:rFonts w:ascii="Arial" w:cs="Arial" w:eastAsia="Arial" w:hAnsi="Arial"/>
          <w:sz w:val="18"/>
          <w:szCs w:val="18"/>
          <w:color w:val="auto"/>
        </w:rPr>
        <w:t>”); (ii) the contribution by Extra Space to HSRE-ESP of Extra Space’s ninety nine percent (99%) ownership interest in Extra Space Properties Fifty One LLC, a Delaware limited liability company (“</w:t>
      </w:r>
      <w:r>
        <w:rPr>
          <w:rFonts w:ascii="Arial" w:cs="Arial" w:eastAsia="Arial" w:hAnsi="Arial"/>
          <w:sz w:val="18"/>
          <w:szCs w:val="18"/>
          <w:b w:val="1"/>
          <w:bCs w:val="1"/>
          <w:color w:val="auto"/>
        </w:rPr>
        <w:t>ESP Fifty One</w:t>
      </w:r>
      <w:r>
        <w:rPr>
          <w:rFonts w:ascii="Arial" w:cs="Arial" w:eastAsia="Arial" w:hAnsi="Arial"/>
          <w:sz w:val="18"/>
          <w:szCs w:val="18"/>
          <w:color w:val="auto"/>
        </w:rPr>
        <w:t>”), and one hundred percent (100%) of the ownership interest in Extra Space Properties Fifty Seven LLC, a Delaware limited liability company, which owns the remaining one percent (1%) interest in ESP Fifty One; and (iii) HSRE’s contribution of cash to HSRE-ESP; all of which are more particularly described in the Contribution Agreement; and</w:t>
      </w:r>
    </w:p>
    <w:p>
      <w:pPr>
        <w:spacing w:after="0" w:line="187" w:lineRule="exact"/>
        <w:rPr>
          <w:sz w:val="20"/>
          <w:szCs w:val="20"/>
          <w:color w:val="auto"/>
        </w:rPr>
      </w:pPr>
    </w:p>
    <w:p>
      <w:pPr>
        <w:jc w:val="both"/>
        <w:ind w:right="36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that certain First Amendment to Contribution Agreement (Pool 2) dated effective as of August 7, 2009 (hereinafter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First Amendment</w:t>
      </w:r>
      <w:r>
        <w:rPr>
          <w:rFonts w:ascii="Arial" w:cs="Arial" w:eastAsia="Arial" w:hAnsi="Arial"/>
          <w:sz w:val="17"/>
          <w:szCs w:val="17"/>
          <w:color w:val="auto"/>
        </w:rPr>
        <w:t>”) and that certain Second Amendment to Contribution Agreement (Pool 2) dated effective as of September 10, 2009 (hereinafter the “</w:t>
      </w:r>
      <w:r>
        <w:rPr>
          <w:rFonts w:ascii="Arial" w:cs="Arial" w:eastAsia="Arial" w:hAnsi="Arial"/>
          <w:sz w:val="17"/>
          <w:szCs w:val="17"/>
          <w:b w:val="1"/>
          <w:bCs w:val="1"/>
          <w:color w:val="auto"/>
        </w:rPr>
        <w:t>Second Amendment</w:t>
      </w:r>
      <w:r>
        <w:rPr>
          <w:rFonts w:ascii="Arial" w:cs="Arial" w:eastAsia="Arial" w:hAnsi="Arial"/>
          <w:sz w:val="17"/>
          <w:szCs w:val="17"/>
          <w:color w:val="auto"/>
        </w:rPr>
        <w:t>”), Extra Space and HSRE made certain amendments to the Original Agreement;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Extra Space and HSRE desire to enter into this Third Amendment and further amend the Original Agreement as provided herein.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consideration of the covenants and conditions set forth herein, and other good and valuable consideration, the receipt and sufficiency of which are hereby acknowledged, Extra Space and HSRE agree as follows:</w:t>
      </w:r>
    </w:p>
    <w:p>
      <w:pPr>
        <w:spacing w:after="0" w:line="166" w:lineRule="exact"/>
        <w:rPr>
          <w:sz w:val="20"/>
          <w:szCs w:val="20"/>
          <w:color w:val="auto"/>
        </w:rPr>
      </w:pPr>
    </w:p>
    <w:p>
      <w:pPr>
        <w:ind w:right="300" w:firstLine="1305"/>
        <w:spacing w:after="0" w:line="261" w:lineRule="auto"/>
        <w:tabs>
          <w:tab w:leader="none" w:pos="2017"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 and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the Recitals set forth above are true and correct and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into the body of this Third Amendment. Unless otherwise set forth herein, all capitalized terms used in this Third Amendment shall have the same meaning in this Third Amendment as set forth in either the Original Agreement, as amended or supplemented by the First Amendment, the Second Amendment and this Third Amendment (collectively the “</w:t>
      </w:r>
      <w:r>
        <w:rPr>
          <w:rFonts w:ascii="Arial" w:cs="Arial" w:eastAsia="Arial" w:hAnsi="Arial"/>
          <w:sz w:val="18"/>
          <w:szCs w:val="18"/>
          <w:b w:val="1"/>
          <w:bCs w:val="1"/>
          <w:color w:val="auto"/>
        </w:rPr>
        <w:t>Contribution Agreement</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300" w:firstLine="1305"/>
        <w:spacing w:after="0" w:line="347" w:lineRule="auto"/>
        <w:tabs>
          <w:tab w:leader="none" w:pos="2017"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Expiration of Due Diligence Period</w:t>
      </w:r>
      <w:r>
        <w:rPr>
          <w:rFonts w:ascii="Arial" w:cs="Arial" w:eastAsia="Arial" w:hAnsi="Arial"/>
          <w:sz w:val="16"/>
          <w:szCs w:val="16"/>
          <w:color w:val="auto"/>
        </w:rPr>
        <w:t>. The parties acknowledge that the Due Diligence Period has expired and that HSRE has</w:t>
      </w:r>
      <w:r>
        <w:rPr>
          <w:rFonts w:ascii="Arial" w:cs="Arial" w:eastAsia="Arial" w:hAnsi="Arial"/>
          <w:sz w:val="16"/>
          <w:szCs w:val="16"/>
          <w:b w:val="1"/>
          <w:bCs w:val="1"/>
          <w:color w:val="auto"/>
        </w:rPr>
        <w:t xml:space="preserve"> </w:t>
      </w:r>
      <w:r>
        <w:rPr>
          <w:rFonts w:ascii="Arial" w:cs="Arial" w:eastAsia="Arial" w:hAnsi="Arial"/>
          <w:sz w:val="16"/>
          <w:szCs w:val="16"/>
          <w:color w:val="auto"/>
        </w:rPr>
        <w:t>waived and does hereby waive any rights it might have to terminate Contribution Agreement pursuant to Section 8.3 of the Contribution Agreement.</w:t>
      </w:r>
    </w:p>
    <w:p>
      <w:pPr>
        <w:spacing w:after="0" w:line="116" w:lineRule="exact"/>
        <w:rPr>
          <w:rFonts w:ascii="Arial" w:cs="Arial" w:eastAsia="Arial" w:hAnsi="Arial"/>
          <w:sz w:val="16"/>
          <w:szCs w:val="16"/>
          <w:color w:val="auto"/>
        </w:rPr>
      </w:pPr>
    </w:p>
    <w:p>
      <w:pPr>
        <w:ind w:right="20" w:firstLine="1305"/>
        <w:spacing w:after="0" w:line="261" w:lineRule="auto"/>
        <w:tabs>
          <w:tab w:leader="none" w:pos="2017"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Approval of Third Party Loan Documents</w:t>
      </w:r>
      <w:r>
        <w:rPr>
          <w:rFonts w:ascii="Arial" w:cs="Arial" w:eastAsia="Arial" w:hAnsi="Arial"/>
          <w:sz w:val="18"/>
          <w:szCs w:val="18"/>
          <w:color w:val="auto"/>
        </w:rPr>
        <w:t>. Pursuant to Section 3.2.1.1 of the Contribution Agreement, HSRE hereby approves</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interest rate, payment schedule, repayment term and other terms of the Existing Indebtedness and approves the Third Party Loan Documents. The parties acknowledge, however, that as part of the application to the Lender to consent to the transaction which is the subject of this Agreement Extra Space, at HSRE’s request, included a request that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agree to certain modifications of the Third Party Loan Documents in the form attached hereto as Exhibit No. 1 and by this reference made a part hereof (hereinafter the “</w:t>
      </w:r>
      <w:r>
        <w:rPr>
          <w:rFonts w:ascii="Arial" w:cs="Arial" w:eastAsia="Arial" w:hAnsi="Arial"/>
          <w:sz w:val="16"/>
          <w:szCs w:val="16"/>
          <w:b w:val="1"/>
          <w:bCs w:val="1"/>
          <w:color w:val="auto"/>
        </w:rPr>
        <w:t>Requested Loan Document Modifications</w:t>
      </w:r>
      <w:r>
        <w:rPr>
          <w:rFonts w:ascii="Arial" w:cs="Arial" w:eastAsia="Arial" w:hAnsi="Arial"/>
          <w:sz w:val="16"/>
          <w:szCs w:val="16"/>
          <w:color w:val="auto"/>
        </w:rPr>
        <w:t>”). The parties agree that HSRE may, in good faith, continue to pursue the Lender’s consent to the Requested Loan Document Modifications to the Third Party Loan Documents and Extra Space agrees to cooperate in good faith with HSRE in such requests. Notwithstanding anything to the contrary in Section 11.1.5 of the Contribution Agreement, HSRE’s obligations under the Contribution Agreement shall not be contingent or otherwise conditioned upon either the Lender or any servicer of the Existing Indebtedness consenting to the Requested Loan Document Modifications. HSRE agrees that within five (5) business days of the date of this Third Amendment, HSRE shall, in good faith, submit to the Lender all of the information and documentation heretofore requested in writing from HSRE by the Lender and shall hereafter submit to the Lender in a reasonably timely manner all information and documentation hereafter requested from the Lender.</w:t>
      </w:r>
    </w:p>
    <w:p>
      <w:pPr>
        <w:spacing w:after="0" w:line="162" w:lineRule="exact"/>
        <w:rPr>
          <w:sz w:val="20"/>
          <w:szCs w:val="20"/>
          <w:color w:val="auto"/>
        </w:rPr>
      </w:pPr>
    </w:p>
    <w:p>
      <w:pPr>
        <w:ind w:right="180" w:firstLine="1305"/>
        <w:spacing w:after="0" w:line="282" w:lineRule="auto"/>
        <w:tabs>
          <w:tab w:leader="none" w:pos="2017"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 to Extend Closing for Lender Approval Extension Period</w:t>
      </w:r>
      <w:r>
        <w:rPr>
          <w:rFonts w:ascii="Arial" w:cs="Arial" w:eastAsia="Arial" w:hAnsi="Arial"/>
          <w:sz w:val="18"/>
          <w:szCs w:val="18"/>
          <w:color w:val="auto"/>
        </w:rPr>
        <w:t>. Pursuant to Section 3.2.3 of the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HSRE hereby exercises HSRE’s option to extend the Closing for the Lender Approval Extension Period.</w:t>
      </w:r>
    </w:p>
    <w:p>
      <w:pPr>
        <w:spacing w:after="0" w:line="161" w:lineRule="exact"/>
        <w:rPr>
          <w:rFonts w:ascii="Arial" w:cs="Arial" w:eastAsia="Arial" w:hAnsi="Arial"/>
          <w:sz w:val="18"/>
          <w:szCs w:val="18"/>
          <w:color w:val="auto"/>
        </w:rPr>
      </w:pPr>
    </w:p>
    <w:p>
      <w:pPr>
        <w:ind w:right="20" w:firstLine="1305"/>
        <w:spacing w:after="0" w:line="272" w:lineRule="auto"/>
        <w:tabs>
          <w:tab w:leader="none" w:pos="2017"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Regarding Capital Expenditure Fund and Waiver of Repair Notice</w:t>
      </w:r>
      <w:r>
        <w:rPr>
          <w:rFonts w:ascii="Arial" w:cs="Arial" w:eastAsia="Arial" w:hAnsi="Arial"/>
          <w:sz w:val="17"/>
          <w:szCs w:val="17"/>
          <w:color w:val="auto"/>
        </w:rPr>
        <w:t>. Prior to the Closing, Extra Space shall</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to ESP 51 the sum of $116,750.00 (hereinafter the “</w:t>
      </w:r>
      <w:r>
        <w:rPr>
          <w:rFonts w:ascii="Arial" w:cs="Arial" w:eastAsia="Arial" w:hAnsi="Arial"/>
          <w:sz w:val="17"/>
          <w:szCs w:val="17"/>
          <w:b w:val="1"/>
          <w:bCs w:val="1"/>
          <w:color w:val="auto"/>
        </w:rPr>
        <w:t>Capital Expenditure Fund</w:t>
      </w:r>
      <w:r>
        <w:rPr>
          <w:rFonts w:ascii="Arial" w:cs="Arial" w:eastAsia="Arial" w:hAnsi="Arial"/>
          <w:sz w:val="17"/>
          <w:szCs w:val="17"/>
          <w:color w:val="auto"/>
        </w:rPr>
        <w:t>”). The Capital Expenditure Fund shall be used by HSRE-ESP to fund the cost of performing such of the capital repairs indentified in Schedule No. 1 attached hereto and by this reference made a part hereof (hereinafter the “</w:t>
      </w:r>
      <w:r>
        <w:rPr>
          <w:rFonts w:ascii="Arial" w:cs="Arial" w:eastAsia="Arial" w:hAnsi="Arial"/>
          <w:sz w:val="17"/>
          <w:szCs w:val="17"/>
          <w:b w:val="1"/>
          <w:bCs w:val="1"/>
          <w:color w:val="auto"/>
        </w:rPr>
        <w:t>Capital Repair Schedule</w:t>
      </w:r>
      <w:r>
        <w:rPr>
          <w:rFonts w:ascii="Arial" w:cs="Arial" w:eastAsia="Arial" w:hAnsi="Arial"/>
          <w:sz w:val="17"/>
          <w:szCs w:val="17"/>
          <w:color w:val="auto"/>
        </w:rPr>
        <w:t>”) as HSRE may, from time to time, direct. Extra Space’s advance to ESP 51 of the Capital Expenditure Fund (A) shall be in full and complete satisfaction of Extra Space’s obligation to repair any of the items listed HSRE’s September 9, 2009 Repair Notice and (B) shall not be treated as a capital contribution or a loan by Extra Space to HSRE-ESP or to ESP 51 and shall not cause an increase in the Contribution Value. Pursuant to Section 8.1 of the Contribution Agreement, HSRE hereby waives any and all requirements that Extra Space repair any of the Repair Items or any of the other repair and/or maintenance items identified by HSRE in HSRE’s September 9, 2009 Repair Notice.</w:t>
      </w:r>
    </w:p>
    <w:p>
      <w:pPr>
        <w:spacing w:after="0" w:line="172" w:lineRule="exact"/>
        <w:rPr>
          <w:rFonts w:ascii="Arial" w:cs="Arial" w:eastAsia="Arial" w:hAnsi="Arial"/>
          <w:sz w:val="17"/>
          <w:szCs w:val="17"/>
          <w:color w:val="auto"/>
        </w:rPr>
      </w:pPr>
    </w:p>
    <w:p>
      <w:pPr>
        <w:ind w:right="80" w:firstLine="1305"/>
        <w:spacing w:after="0" w:line="291" w:lineRule="auto"/>
        <w:tabs>
          <w:tab w:leader="none" w:pos="2017"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Agreement Regarding Designation of Insurance Program</w:t>
      </w:r>
      <w:r>
        <w:rPr>
          <w:rFonts w:ascii="Arial" w:cs="Arial" w:eastAsia="Arial" w:hAnsi="Arial"/>
          <w:sz w:val="16"/>
          <w:szCs w:val="16"/>
          <w:color w:val="auto"/>
        </w:rPr>
        <w:t>. The parties acknowledge that property and casualty insurance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Facilities is currently provided pursuant to a “REIT Program” pursuant to which ESP 57 and ESP Texas have elected to carry high deductibles for certain potential risks. The parties also acknowledge that Extra Space has proposed that casualty insurance for the Facilities can be provided either pursuant to Extra Space’s existing REIT Program, or, at a higher cost, through Extra Space’s “JV Program” pursuant to which ESP 57 and ESP Texas can elect to reduce or eliminate the deductible risks, or by using HSRE’s property and casualty insurance program. The parties agree that provided such insurance satisfies the requirements of the Lender with respect to the Facilities, HSRE may, at the time of Closing, elect that property and casualty insurance for the Facilities be provided pursuant to any of the three preceding described programs. Any further changes in the casualty insurance coverage for the Facilities will be approved as part of the process of approving the Annual Business Plan and/or Annual Operating Budget.</w:t>
      </w:r>
    </w:p>
    <w:p>
      <w:pPr>
        <w:sectPr>
          <w:pgSz w:w="11900" w:h="16838" w:orient="portrait"/>
          <w:cols w:equalWidth="0" w:num="1">
            <w:col w:w="11420"/>
          </w:cols>
          <w:pgMar w:left="240" w:top="121" w:right="239" w:bottom="39" w:gutter="0" w:footer="0" w:header="0"/>
        </w:sectPr>
      </w:pPr>
    </w:p>
    <w:bookmarkStart w:id="33" w:name="page34"/>
    <w:bookmarkEnd w:id="33"/>
    <w:p>
      <w:pPr>
        <w:spacing w:after="0" w:line="92" w:lineRule="exact"/>
        <w:rPr>
          <w:sz w:val="20"/>
          <w:szCs w:val="20"/>
          <w:color w:val="auto"/>
        </w:rPr>
      </w:pPr>
    </w:p>
    <w:p>
      <w:pPr>
        <w:ind w:right="20" w:firstLine="1305"/>
        <w:spacing w:after="0" w:line="295" w:lineRule="auto"/>
        <w:tabs>
          <w:tab w:leader="none" w:pos="2017"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Business Plan and Annual Operating Budget</w:t>
      </w:r>
      <w:r>
        <w:rPr>
          <w:rFonts w:ascii="Arial" w:cs="Arial" w:eastAsia="Arial" w:hAnsi="Arial"/>
          <w:sz w:val="16"/>
          <w:szCs w:val="16"/>
          <w:color w:val="auto"/>
        </w:rPr>
        <w:t>. The parties acknowledge that Extra Space delivered to HSRE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Business Plan and the Annual Operating Budget in accordance with Section 8.4 of the Contribution Agreement and that Extra Space is in the process of preparing the Annual Business Plan and Annual Operating Budget for fiscal year 2010. HSRE hereby approves the Annual Business Plan and the Annual Operating Agreement as previously submitted to HSRE by Extra Space and acknowledges that such approval constitutes HSRE’s approval of the Annual Business Plan and Annual Budget within the meaning of Section 11.1.4 of the Contribution Agreement. Upon completion of the fiscal year 2010 Annual Business Plan and Annual Operating Budget, the fiscal year 2010 Annual Business Plan and Annual Operating Budget shall be reviewed and approved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parties in accordance with the provisions of the form of HSRE-ESP Operating Agreement and the form of Property Management Agreement. Notwithstanding anything to the contrary in Section 11.1.4 of the Contribution Agreement, HSRE’s obligations under the Contribution Agreement shall not be contingent or otherwise conditioned upon HSRE’s approval of the fiscal year 2010 Annual Business Plan and/or Annual Operating Budget.</w:t>
      </w:r>
    </w:p>
    <w:p>
      <w:pPr>
        <w:spacing w:after="0" w:line="143" w:lineRule="exact"/>
        <w:rPr>
          <w:sz w:val="20"/>
          <w:szCs w:val="20"/>
          <w:color w:val="auto"/>
        </w:rPr>
      </w:pPr>
    </w:p>
    <w:p>
      <w:pPr>
        <w:jc w:val="both"/>
        <w:ind w:firstLine="1305"/>
        <w:spacing w:after="0" w:line="266" w:lineRule="auto"/>
        <w:tabs>
          <w:tab w:leader="none" w:pos="2017"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Title Objections, Environmental Objections, Insurance Objections and Budget Objections</w:t>
      </w:r>
      <w:r>
        <w:rPr>
          <w:rFonts w:ascii="Arial" w:cs="Arial" w:eastAsia="Arial" w:hAnsi="Arial"/>
          <w:sz w:val="18"/>
          <w:szCs w:val="18"/>
          <w:color w:val="auto"/>
        </w:rPr>
        <w:t>. HSRE hereby waives</w:t>
      </w:r>
      <w:r>
        <w:rPr>
          <w:rFonts w:ascii="Arial" w:cs="Arial" w:eastAsia="Arial" w:hAnsi="Arial"/>
          <w:sz w:val="18"/>
          <w:szCs w:val="18"/>
          <w:b w:val="1"/>
          <w:bCs w:val="1"/>
          <w:color w:val="auto"/>
        </w:rPr>
        <w:t xml:space="preserve"> </w:t>
      </w:r>
      <w:r>
        <w:rPr>
          <w:rFonts w:ascii="Arial" w:cs="Arial" w:eastAsia="Arial" w:hAnsi="Arial"/>
          <w:sz w:val="18"/>
          <w:szCs w:val="18"/>
          <w:color w:val="auto"/>
        </w:rPr>
        <w:t>all of its Title Objections, Environmental Objections, Insurance Objections and Budget Objections, subject, however, to Extra Space’s undertakings expressly set forth in Extra Space’s Objection Response.</w:t>
      </w:r>
    </w:p>
    <w:p>
      <w:pPr>
        <w:spacing w:after="0" w:line="176" w:lineRule="exact"/>
        <w:rPr>
          <w:rFonts w:ascii="Arial" w:cs="Arial" w:eastAsia="Arial" w:hAnsi="Arial"/>
          <w:sz w:val="18"/>
          <w:szCs w:val="18"/>
          <w:color w:val="auto"/>
        </w:rPr>
      </w:pPr>
    </w:p>
    <w:p>
      <w:pPr>
        <w:ind w:right="120" w:firstLine="1305"/>
        <w:spacing w:after="0" w:line="293" w:lineRule="auto"/>
        <w:tabs>
          <w:tab w:leader="none" w:pos="2017"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of Sections 2.2.2, 2.2.3 and 2.2.4 of the Contribution Agreement</w:t>
      </w:r>
      <w:r>
        <w:rPr>
          <w:rFonts w:ascii="Arial" w:cs="Arial" w:eastAsia="Arial" w:hAnsi="Arial"/>
          <w:sz w:val="16"/>
          <w:szCs w:val="16"/>
          <w:color w:val="auto"/>
        </w:rPr>
        <w:t>. Sections 2.2.2, 2.2.3 and 2.2.4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Agreement are hereby amended by deleting said Sections 2.2.2, 2.2.3 and 2.2.4 in their entirety and replacing them with the following Sections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2.2.2, 2.2.3 and 2.2.4:</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u w:val="single" w:color="auto"/>
          <w:color w:val="auto"/>
        </w:rPr>
        <w:t>Distribution Amount</w:t>
      </w:r>
      <w:r>
        <w:rPr>
          <w:rFonts w:ascii="Arial" w:cs="Arial" w:eastAsia="Arial" w:hAnsi="Arial"/>
          <w:sz w:val="16"/>
          <w:szCs w:val="16"/>
          <w:color w:val="auto"/>
        </w:rPr>
        <w:t>. Immediately after the Closing Extra Space and HSRE shall cause HSRE-ESP to distribute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Extra Space cash in an amount (the “</w:t>
      </w:r>
      <w:r>
        <w:rPr>
          <w:rFonts w:ascii="Arial" w:cs="Arial" w:eastAsia="Arial" w:hAnsi="Arial"/>
          <w:sz w:val="17"/>
          <w:szCs w:val="17"/>
          <w:b w:val="1"/>
          <w:bCs w:val="1"/>
          <w:color w:val="auto"/>
        </w:rPr>
        <w:t>Extra Space Distribution Amount</w:t>
      </w:r>
      <w:r>
        <w:rPr>
          <w:rFonts w:ascii="Arial" w:cs="Arial" w:eastAsia="Arial" w:hAnsi="Arial"/>
          <w:sz w:val="17"/>
          <w:szCs w:val="17"/>
          <w:color w:val="auto"/>
        </w:rPr>
        <w:t>”) equal to the sum of: (i) the “Initial HSRE Contribution Amount”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(hereinafter defined) minus (ii) any closing costs and prorations described in Section 4.3.4 below (including the costs described 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4.3.4 below) (collectively, the “</w:t>
      </w:r>
      <w:r>
        <w:rPr>
          <w:rFonts w:ascii="Arial" w:cs="Arial" w:eastAsia="Arial" w:hAnsi="Arial"/>
          <w:sz w:val="17"/>
          <w:szCs w:val="17"/>
          <w:b w:val="1"/>
          <w:bCs w:val="1"/>
          <w:color w:val="auto"/>
        </w:rPr>
        <w:t>Prorations</w:t>
      </w:r>
      <w:r>
        <w:rPr>
          <w:rFonts w:ascii="Arial" w:cs="Arial" w:eastAsia="Arial" w:hAnsi="Arial"/>
          <w:sz w:val="17"/>
          <w:szCs w:val="17"/>
          <w:color w:val="auto"/>
        </w:rPr>
        <w:t>”) and credited, as of the Proration Date (as defined below), to HSRE-ESP, plus (iii) any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Prorations credited, as of the Proration Date, to Extra Space. As used herein, the term “</w:t>
      </w:r>
      <w:r>
        <w:rPr>
          <w:rFonts w:ascii="Arial" w:cs="Arial" w:eastAsia="Arial" w:hAnsi="Arial"/>
          <w:sz w:val="17"/>
          <w:szCs w:val="17"/>
          <w:b w:val="1"/>
          <w:bCs w:val="1"/>
          <w:color w:val="auto"/>
        </w:rPr>
        <w:t>Initial HSRE Contribution Amount</w:t>
      </w:r>
      <w:r>
        <w:rPr>
          <w:rFonts w:ascii="Arial" w:cs="Arial" w:eastAsia="Arial" w:hAnsi="Arial"/>
          <w:sz w:val="17"/>
          <w:szCs w:val="17"/>
          <w:color w:val="auto"/>
        </w:rPr>
        <w:t>” shall mean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fifty percent (50%) of the difference between (A) the Contribution Value, minus (B) the sum of the aggregate unpaid principal balance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Existing Indebtedness plus all accrued and unpaid interest with respect to the Existing Indebtedness as of the Proration Date. Extra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Space and HSRE agree that for purposes of determining the balance of Extra Space’s “Capital Account” (as defined in the HSRE-ESP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Agreement) and Extra Space’s “Adjusted Capital Account” (as defined in the HSRE-ESP Operating Agreement), the gross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of Extra Space’s initial “Capital Contribution” to HSRE-ESP shall be reduced by the Initial HSRE Contribution Amount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fact that the amount actually distributed to Extra Space by HSRE-ESP is adjusted (either increased or decreased)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pursuant to the provisions of this Section 2.2.2. The parties hereby agree that the provisions of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are intended to cause the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Adjusted Capital Accounts of HSRE and Extra Space to be in an 50.00%/50.00% ratio, respectively, following the contribution of the ESP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Interests by Extra Space and the Initial HSRE Contribution Amount by HSRE and the distribution of the Extra Space Distribution Amount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Extra Space and the pro-rations and credits provided for herein.</w:t>
      </w:r>
    </w:p>
    <w:p>
      <w:pPr>
        <w:spacing w:after="0" w:line="207" w:lineRule="exact"/>
        <w:rPr>
          <w:sz w:val="20"/>
          <w:szCs w:val="20"/>
          <w:color w:val="auto"/>
        </w:rPr>
      </w:pPr>
    </w:p>
    <w:p>
      <w:pPr>
        <w:ind w:left="660" w:right="740" w:firstLine="648"/>
        <w:spacing w:after="0" w:line="266"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Cash to be Contributed by HSRE</w:t>
      </w:r>
      <w:r>
        <w:rPr>
          <w:rFonts w:ascii="Arial" w:cs="Arial" w:eastAsia="Arial" w:hAnsi="Arial"/>
          <w:sz w:val="18"/>
          <w:szCs w:val="18"/>
          <w:color w:val="auto"/>
        </w:rPr>
        <w:t>. At Closing, HSRE shall contribute to HSRE-ESP cash in an amount (the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HSRE Contribution Amount</w:t>
      </w:r>
      <w:r>
        <w:rPr>
          <w:rFonts w:ascii="Arial" w:cs="Arial" w:eastAsia="Arial" w:hAnsi="Arial"/>
          <w:sz w:val="18"/>
          <w:szCs w:val="18"/>
          <w:color w:val="auto"/>
        </w:rPr>
        <w:t>”) equal to the sum of (i) the Initial HSRE Contribution Amount, plus (ii) Fifty Percent (50.00%)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Prorations charged to HSRE-ESP.</w:t>
      </w:r>
    </w:p>
    <w:p>
      <w:pPr>
        <w:spacing w:after="0" w:line="180" w:lineRule="exact"/>
        <w:rPr>
          <w:sz w:val="20"/>
          <w:szCs w:val="20"/>
          <w:color w:val="auto"/>
        </w:rPr>
      </w:pPr>
    </w:p>
    <w:p>
      <w:pPr>
        <w:ind w:left="660" w:right="800" w:firstLine="648"/>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Cash to be Contributed by Extra Space</w:t>
      </w:r>
      <w:r>
        <w:rPr>
          <w:rFonts w:ascii="Arial" w:cs="Arial" w:eastAsia="Arial" w:hAnsi="Arial"/>
          <w:sz w:val="16"/>
          <w:szCs w:val="16"/>
          <w:color w:val="auto"/>
        </w:rPr>
        <w:t>. At Closing, Extra Space shall contribute to HSRE-ESP cash in an amount (the “</w:t>
      </w:r>
      <w:r>
        <w:rPr>
          <w:rFonts w:ascii="Arial" w:cs="Arial" w:eastAsia="Arial" w:hAnsi="Arial"/>
          <w:sz w:val="16"/>
          <w:szCs w:val="16"/>
          <w:b w:val="1"/>
          <w:bCs w:val="1"/>
          <w:color w:val="auto"/>
        </w:rPr>
        <w:t>Total Extra Space Contribution Amount</w:t>
      </w:r>
      <w:r>
        <w:rPr>
          <w:rFonts w:ascii="Arial" w:cs="Arial" w:eastAsia="Arial" w:hAnsi="Arial"/>
          <w:sz w:val="16"/>
          <w:szCs w:val="16"/>
          <w:color w:val="auto"/>
        </w:rPr>
        <w:t>”) equal to the sum of Fifty Percent (50.00%) of the Prorations charged to HSRE-ESP.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1305"/>
        <w:spacing w:after="0" w:line="282" w:lineRule="auto"/>
        <w:tabs>
          <w:tab w:leader="none" w:pos="2017"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Section 3.2.3 of Contribution Agreement</w:t>
      </w:r>
      <w:r>
        <w:rPr>
          <w:rFonts w:ascii="Arial" w:cs="Arial" w:eastAsia="Arial" w:hAnsi="Arial"/>
          <w:sz w:val="18"/>
          <w:szCs w:val="18"/>
          <w:color w:val="auto"/>
        </w:rPr>
        <w:t>. Section 3.2.3 of the Contribution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deleting said Section 3.2.3 in its entirety and replacing it with the following Section 3.2.3:</w:t>
      </w:r>
    </w:p>
    <w:p>
      <w:pPr>
        <w:spacing w:after="0" w:line="166" w:lineRule="exact"/>
        <w:rPr>
          <w:sz w:val="20"/>
          <w:szCs w:val="20"/>
          <w:color w:val="auto"/>
        </w:rPr>
      </w:pPr>
    </w:p>
    <w:p>
      <w:pPr>
        <w:ind w:left="660" w:right="680" w:firstLine="648"/>
        <w:spacing w:after="0" w:line="288" w:lineRule="auto"/>
        <w:rPr>
          <w:sz w:val="20"/>
          <w:szCs w:val="20"/>
          <w:color w:val="auto"/>
        </w:rPr>
      </w:pPr>
      <w:r>
        <w:rPr>
          <w:rFonts w:ascii="Arial" w:cs="Arial" w:eastAsia="Arial" w:hAnsi="Arial"/>
          <w:sz w:val="16"/>
          <w:szCs w:val="16"/>
          <w:color w:val="auto"/>
        </w:rPr>
        <w:t>3.2.3 Notwithstanding anything to the contrary in this Agreement, if at the Closing Date, Lender and/or any servicer of Existing Indebtedness has not consented to the transaction which is the subject of this Agreement and provided that HSRE has not terminated this Agreement pursuant to Section 8.3 below, HSRE shall have the option to either (A) extend the Closing for an additional ninety (90) days (hereinafter the “</w:t>
      </w:r>
      <w:r>
        <w:rPr>
          <w:rFonts w:ascii="Arial" w:cs="Arial" w:eastAsia="Arial" w:hAnsi="Arial"/>
          <w:sz w:val="16"/>
          <w:szCs w:val="16"/>
          <w:b w:val="1"/>
          <w:bCs w:val="1"/>
          <w:color w:val="auto"/>
        </w:rPr>
        <w:t>Lender Approval Extension Period</w:t>
      </w:r>
      <w:r>
        <w:rPr>
          <w:rFonts w:ascii="Arial" w:cs="Arial" w:eastAsia="Arial" w:hAnsi="Arial"/>
          <w:sz w:val="16"/>
          <w:szCs w:val="16"/>
          <w:color w:val="auto"/>
        </w:rPr>
        <w:t>”) to permit Extra Space to continue to pursue with reasonable diligence Lender’s consent to the transaction which is the subject of this Agreement or (B) terminate this Agreement. Such option shall be exercised by HSRE giving Extra Space written notice of HSRE’s election to either extend the Closing or terminate this Agreement pursuant to this Section 3.2.3 at any time on or before the date on which the Closing Date would be scheduled to occur but for such extension. If HSRE fails to give such written notice to Extra Space, such failure shall be deemed to be an election to terminate this Agreement. If HSRE elects to extend the Closing for the Lender Approval Extension Period, the Closing shall be on the earlier of the date on which the Lender Approval Extension Period expires or fifteen (15) days after the Lender consents to the transaction which is the subject of this Agreement.</w:t>
      </w:r>
    </w:p>
    <w:p>
      <w:pPr>
        <w:spacing w:after="0" w:line="165" w:lineRule="exact"/>
        <w:rPr>
          <w:sz w:val="20"/>
          <w:szCs w:val="20"/>
          <w:color w:val="auto"/>
        </w:rPr>
      </w:pPr>
    </w:p>
    <w:p>
      <w:pPr>
        <w:ind w:right="120" w:firstLine="1305"/>
        <w:spacing w:after="0" w:line="282" w:lineRule="auto"/>
        <w:tabs>
          <w:tab w:leader="none" w:pos="201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Section 4.3.4 of Contribution Agreement</w:t>
      </w:r>
      <w:r>
        <w:rPr>
          <w:rFonts w:ascii="Arial" w:cs="Arial" w:eastAsia="Arial" w:hAnsi="Arial"/>
          <w:sz w:val="18"/>
          <w:szCs w:val="18"/>
          <w:color w:val="auto"/>
        </w:rPr>
        <w:t>. Section 4.3.4 of the Contribution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deleting said Section 4.3.4 in its entirety and replacing it with the following Section 4.3.4:</w:t>
      </w:r>
    </w:p>
    <w:p>
      <w:pPr>
        <w:spacing w:after="0" w:line="162" w:lineRule="exact"/>
        <w:rPr>
          <w:sz w:val="20"/>
          <w:szCs w:val="20"/>
          <w:color w:val="auto"/>
        </w:rPr>
      </w:pPr>
    </w:p>
    <w:p>
      <w:pPr>
        <w:ind w:left="660" w:right="700" w:firstLine="648"/>
        <w:spacing w:after="0" w:line="288"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b w:val="1"/>
          <w:bCs w:val="1"/>
          <w:u w:val="single" w:color="auto"/>
          <w:color w:val="auto"/>
        </w:rPr>
        <w:t>Closing Costs</w:t>
      </w:r>
      <w:r>
        <w:rPr>
          <w:rFonts w:ascii="Arial" w:cs="Arial" w:eastAsia="Arial" w:hAnsi="Arial"/>
          <w:sz w:val="16"/>
          <w:szCs w:val="16"/>
          <w:color w:val="auto"/>
        </w:rPr>
        <w:t>. At the Closing, HSRE-ESP shall pay all recording costs and all escrow costs. Furthermore, at Closing, the following costs shall be paid by HSRE-ESP and/or reimbursed to Extra Space or HSRE by HSRE-ESP, as applicable: (i) all actual out of pocket costs incurred or paid to unaffiliated third parties by HSRE in connection with its due diligence investigation of the Property, the ESP Interests, the Texas Interests and Extra Space, including, but not limited to, the costs of the Surveys; (ii) all fees, costs, expenses, and other charges charged by Lender and/or any servicer of the Existing Indebtedness or incurred in the satisfaction of any condition or requirement imposed by Lender or such servicer with respect to Lender’s consenting to the transaction which is the subject of this Agreement; (iii) all attorney’s fees and costs incurred by either Extra Space or HSRE in connection with the negotiation and documentation of the transaction which is the subject of this Agreement and the performance of due diligence for the benefit of HSRE pursuant to this Agreement (hereinafter collectively the “</w:t>
      </w:r>
      <w:r>
        <w:rPr>
          <w:rFonts w:ascii="Arial" w:cs="Arial" w:eastAsia="Arial" w:hAnsi="Arial"/>
          <w:sz w:val="16"/>
          <w:szCs w:val="16"/>
          <w:b w:val="1"/>
          <w:bCs w:val="1"/>
          <w:color w:val="auto"/>
        </w:rPr>
        <w:t>Reimbursable Costs</w:t>
      </w:r>
      <w:r>
        <w:rPr>
          <w:rFonts w:ascii="Arial" w:cs="Arial" w:eastAsia="Arial" w:hAnsi="Arial"/>
          <w:sz w:val="16"/>
          <w:szCs w:val="16"/>
          <w:color w:val="auto"/>
        </w:rPr>
        <w:t>”); provided, however, that in no event shall the aggregate amount of Reimbursable Costs paid to or for the benefit of HSRE pursuant to this Section 4.3.4 exceed the aggregate amount of Reimbursable Costs paid to or for the benefit of Extra Space pursuant to this Section 4.3.4 regardless of whether the aggregate amount of Reimbursable Costs</w:t>
      </w:r>
    </w:p>
    <w:p>
      <w:pPr>
        <w:sectPr>
          <w:pgSz w:w="11900" w:h="16931" w:orient="portrait"/>
          <w:cols w:equalWidth="0" w:num="1">
            <w:col w:w="11400"/>
          </w:cols>
          <w:pgMar w:left="240" w:top="121" w:right="259" w:bottom="0" w:gutter="0" w:footer="0" w:header="0"/>
        </w:sectPr>
      </w:pPr>
    </w:p>
    <w:bookmarkStart w:id="34" w:name="page35"/>
    <w:bookmarkEnd w:id="34"/>
    <w:p>
      <w:pPr>
        <w:ind w:left="660" w:right="680"/>
        <w:spacing w:after="0" w:line="291" w:lineRule="auto"/>
        <w:rPr>
          <w:sz w:val="20"/>
          <w:szCs w:val="20"/>
          <w:color w:val="auto"/>
        </w:rPr>
      </w:pPr>
      <w:r>
        <w:rPr>
          <w:rFonts w:ascii="Arial" w:cs="Arial" w:eastAsia="Arial" w:hAnsi="Arial"/>
          <w:sz w:val="16"/>
          <w:szCs w:val="16"/>
          <w:color w:val="auto"/>
        </w:rPr>
        <w:t>paid or incurred by HSRE exceeds the aggregate amount of Reimbursable Costs paid or incurred by Extra Space. At Closing, the following costs shall be paid by Extra Space and/or HSRE-ESP in accordance with local practice and custom in the area applicable to each Property:</w:t>
      </w:r>
    </w:p>
    <w:p>
      <w:pPr>
        <w:jc w:val="both"/>
        <w:ind w:left="660" w:right="760" w:hanging="4"/>
        <w:spacing w:after="0" w:line="25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the base title policy, endorsements, reinsurance or coinsurance, (B) transfer, documentary and similar taxes related to the purchase of the ESP Interests, if any; provided, however, that in the absence of local practice and custom relating to the payment of such costs, such costs shall be paid by HSRE-ESP. Notwithstanding anything to the contrary in this Section 4.3.4, if the Closing does not occur, no party to this Agreement shall be responsible for reimbursing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1380"/>
        <w:spacing w:after="0" w:line="277" w:lineRule="auto"/>
        <w:rPr>
          <w:sz w:val="20"/>
          <w:szCs w:val="20"/>
          <w:color w:val="auto"/>
        </w:rPr>
      </w:pPr>
      <w:r>
        <w:rPr>
          <w:rFonts w:ascii="Arial" w:cs="Arial" w:eastAsia="Arial" w:hAnsi="Arial"/>
          <w:sz w:val="18"/>
          <w:szCs w:val="18"/>
          <w:color w:val="auto"/>
        </w:rPr>
        <w:t>any other party to this Agreement for fees, expenses costs incurred by or for the benefit of such party except as expressly provided otherwise in Section 13.1.2 below.</w:t>
      </w:r>
    </w:p>
    <w:p>
      <w:pPr>
        <w:spacing w:after="0" w:line="166" w:lineRule="exact"/>
        <w:rPr>
          <w:sz w:val="20"/>
          <w:szCs w:val="20"/>
          <w:color w:val="auto"/>
        </w:rPr>
      </w:pPr>
    </w:p>
    <w:p>
      <w:pPr>
        <w:ind w:right="80" w:firstLine="1305"/>
        <w:spacing w:after="0" w:line="282" w:lineRule="auto"/>
        <w:tabs>
          <w:tab w:leader="none" w:pos="2017"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Section 11.1 of Contribution Agreement</w:t>
      </w:r>
      <w:r>
        <w:rPr>
          <w:rFonts w:ascii="Arial" w:cs="Arial" w:eastAsia="Arial" w:hAnsi="Arial"/>
          <w:sz w:val="18"/>
          <w:szCs w:val="18"/>
          <w:color w:val="auto"/>
        </w:rPr>
        <w:t>. The first paragraph of Section 11.1 of the Contribution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by deleting said paragraph in its entirety and replacing it with the following:</w:t>
      </w:r>
    </w:p>
    <w:p>
      <w:pPr>
        <w:spacing w:after="0" w:line="162" w:lineRule="exact"/>
        <w:rPr>
          <w:sz w:val="20"/>
          <w:szCs w:val="20"/>
          <w:color w:val="auto"/>
        </w:rPr>
      </w:pPr>
    </w:p>
    <w:p>
      <w:pPr>
        <w:ind w:left="660" w:right="720" w:firstLine="648"/>
        <w:spacing w:after="0" w:line="25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HSRE’s Conditions Precedent</w:t>
      </w:r>
      <w:r>
        <w:rPr>
          <w:rFonts w:ascii="Arial" w:cs="Arial" w:eastAsia="Arial" w:hAnsi="Arial"/>
          <w:sz w:val="18"/>
          <w:szCs w:val="18"/>
          <w:color w:val="auto"/>
        </w:rPr>
        <w:t>. The obligations of HSRE under this Agreement are contingent upon the satisfaction of each of the following conditions as of the Closing Date. If as of the Closing Date any of the following conditions is not satisfied, HSRE may, on the Closing Date, either waive such condition and proceed to Closing or terminate this Agreement by written notice to Extra Space. Upon such termination, neither party shall have any further rights or liabilities hereunder except for those provisions which expressly survive the termination of this Agreement.</w:t>
      </w:r>
    </w:p>
    <w:p>
      <w:pPr>
        <w:spacing w:after="0" w:line="184" w:lineRule="exact"/>
        <w:rPr>
          <w:sz w:val="20"/>
          <w:szCs w:val="20"/>
          <w:color w:val="auto"/>
        </w:rPr>
      </w:pPr>
    </w:p>
    <w:p>
      <w:pPr>
        <w:ind w:right="80" w:firstLine="1305"/>
        <w:spacing w:after="0" w:line="282" w:lineRule="auto"/>
        <w:tabs>
          <w:tab w:leader="none" w:pos="2017"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Section 11.2 of Contribution Agreement</w:t>
      </w:r>
      <w:r>
        <w:rPr>
          <w:rFonts w:ascii="Arial" w:cs="Arial" w:eastAsia="Arial" w:hAnsi="Arial"/>
          <w:sz w:val="18"/>
          <w:szCs w:val="18"/>
          <w:color w:val="auto"/>
        </w:rPr>
        <w:t>. The first paragraph of Section 11.2 of the Contribution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by deleting said paragraph in its entirety and replacing it with the following:</w:t>
      </w:r>
    </w:p>
    <w:p>
      <w:pPr>
        <w:spacing w:after="0" w:line="162" w:lineRule="exact"/>
        <w:rPr>
          <w:sz w:val="20"/>
          <w:szCs w:val="20"/>
          <w:color w:val="auto"/>
        </w:rPr>
      </w:pPr>
    </w:p>
    <w:p>
      <w:pPr>
        <w:ind w:left="660" w:right="700" w:firstLine="648"/>
        <w:spacing w:after="0" w:line="25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Extra Space’s Conditions Precedent</w:t>
      </w:r>
      <w:r>
        <w:rPr>
          <w:rFonts w:ascii="Arial" w:cs="Arial" w:eastAsia="Arial" w:hAnsi="Arial"/>
          <w:sz w:val="18"/>
          <w:szCs w:val="18"/>
          <w:color w:val="auto"/>
        </w:rPr>
        <w:t>. The obligations of Extra Space under this Agreement are contingent upon the satisfaction of each of the following conditions as of the Closing Date. If as of the Closing Date any of the following conditions is not satisfied, Extra Space may, on the Closing Date, either waive such condition and proceed to Closing or terminate this Agreement by written notice to HSRE. Upon such termination, neither party shall have any further rights or liabilities hereunder except for those provisions which expressly survive the termination of this Agreement.</w:t>
      </w:r>
    </w:p>
    <w:p>
      <w:pPr>
        <w:spacing w:after="0" w:line="184" w:lineRule="exact"/>
        <w:rPr>
          <w:sz w:val="20"/>
          <w:szCs w:val="20"/>
          <w:color w:val="auto"/>
        </w:rPr>
      </w:pPr>
    </w:p>
    <w:p>
      <w:pPr>
        <w:ind w:firstLine="1305"/>
        <w:spacing w:after="0" w:line="266" w:lineRule="auto"/>
        <w:tabs>
          <w:tab w:leader="none" w:pos="2017"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Exhibit A to Contribution Agreement</w:t>
      </w:r>
      <w:r>
        <w:rPr>
          <w:rFonts w:ascii="Arial" w:cs="Arial" w:eastAsia="Arial" w:hAnsi="Arial"/>
          <w:sz w:val="18"/>
          <w:szCs w:val="18"/>
          <w:color w:val="auto"/>
        </w:rPr>
        <w:t>. The Contribution Agreement is hereby amended by deleting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Agreement set forth on Exhibit A to the Contribution Agreement in its entirety and replacing it with the form of Operating Agreement set forth on “Exhibit A” attached hereto as Exhibit No. 2 and by this reference made a part hereof.</w:t>
      </w:r>
    </w:p>
    <w:p>
      <w:pPr>
        <w:spacing w:after="0" w:line="176" w:lineRule="exact"/>
        <w:rPr>
          <w:rFonts w:ascii="Arial" w:cs="Arial" w:eastAsia="Arial" w:hAnsi="Arial"/>
          <w:sz w:val="18"/>
          <w:szCs w:val="18"/>
          <w:color w:val="auto"/>
        </w:rPr>
      </w:pPr>
    </w:p>
    <w:p>
      <w:pPr>
        <w:ind w:right="120" w:firstLine="1305"/>
        <w:spacing w:after="0" w:line="266" w:lineRule="auto"/>
        <w:tabs>
          <w:tab w:leader="none" w:pos="2017"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Exhibit C to Contribution Agreement</w:t>
      </w:r>
      <w:r>
        <w:rPr>
          <w:rFonts w:ascii="Arial" w:cs="Arial" w:eastAsia="Arial" w:hAnsi="Arial"/>
          <w:sz w:val="18"/>
          <w:szCs w:val="18"/>
          <w:color w:val="auto"/>
        </w:rPr>
        <w:t>. Exhibit C to the Contribution Agreement (the Non-Competition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Opportunity Agreement) is hereby amended by deleting Article V(a) of said Non-Competition and Right of First Opportunity Agreement in its entirety from said Exhibit C and replacing it with the following Article V(a):</w:t>
      </w:r>
    </w:p>
    <w:p>
      <w:pPr>
        <w:spacing w:after="0" w:line="176" w:lineRule="exact"/>
        <w:rPr>
          <w:sz w:val="20"/>
          <w:szCs w:val="20"/>
          <w:color w:val="auto"/>
        </w:rPr>
      </w:pPr>
    </w:p>
    <w:p>
      <w:pPr>
        <w:ind w:left="2000" w:hanging="695"/>
        <w:spacing w:after="0"/>
        <w:tabs>
          <w:tab w:leader="none" w:pos="2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 respect to the provisions of ARTICLE II hereof, on the date (the “</w:t>
      </w:r>
      <w:r>
        <w:rPr>
          <w:rFonts w:ascii="Arial" w:cs="Arial" w:eastAsia="Arial" w:hAnsi="Arial"/>
          <w:sz w:val="18"/>
          <w:szCs w:val="18"/>
          <w:b w:val="1"/>
          <w:bCs w:val="1"/>
          <w:color w:val="auto"/>
        </w:rPr>
        <w:t>ROFO Termination Date</w:t>
      </w:r>
      <w:r>
        <w:rPr>
          <w:rFonts w:ascii="Arial" w:cs="Arial" w:eastAsia="Arial" w:hAnsi="Arial"/>
          <w:sz w:val="18"/>
          <w:szCs w:val="18"/>
          <w:color w:val="auto"/>
        </w:rPr>
        <w:t>”) that is the earlier of</w:t>
      </w:r>
    </w:p>
    <w:p>
      <w:pPr>
        <w:spacing w:after="0" w:line="27" w:lineRule="exact"/>
        <w:rPr>
          <w:rFonts w:ascii="Arial" w:cs="Arial" w:eastAsia="Arial" w:hAnsi="Arial"/>
          <w:sz w:val="18"/>
          <w:szCs w:val="18"/>
          <w:color w:val="auto"/>
        </w:rPr>
      </w:pPr>
    </w:p>
    <w:p>
      <w:pPr>
        <w:jc w:val="both"/>
        <w:ind w:left="660" w:right="700" w:hanging="4"/>
        <w:spacing w:after="0" w:line="277" w:lineRule="auto"/>
        <w:tabs>
          <w:tab w:leader="none" w:pos="8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date on which a Rejection has occurred or been deemed to occurred with respect to three consecutive Proposed Project Notices given by ESP to HSRE; or (ii) the Exclusivity Termination Date (as defined below). For purposes hereof, the “</w:t>
      </w:r>
      <w:r>
        <w:rPr>
          <w:rFonts w:ascii="Arial" w:cs="Arial" w:eastAsia="Arial" w:hAnsi="Arial"/>
          <w:sz w:val="17"/>
          <w:szCs w:val="17"/>
          <w:b w:val="1"/>
          <w:bCs w:val="1"/>
          <w:color w:val="auto"/>
        </w:rPr>
        <w:t>Exclusivity Termination Date</w:t>
      </w:r>
      <w:r>
        <w:rPr>
          <w:rFonts w:ascii="Arial" w:cs="Arial" w:eastAsia="Arial" w:hAnsi="Arial"/>
          <w:sz w:val="17"/>
          <w:szCs w:val="17"/>
          <w:color w:val="auto"/>
        </w:rPr>
        <w:t>” shall mean the two (2) year anniversary following the execution of the Company Operating Agreement.</w:t>
      </w:r>
    </w:p>
    <w:p>
      <w:pPr>
        <w:spacing w:after="0" w:line="169" w:lineRule="exact"/>
        <w:rPr>
          <w:sz w:val="20"/>
          <w:szCs w:val="20"/>
          <w:color w:val="auto"/>
        </w:rPr>
      </w:pPr>
    </w:p>
    <w:p>
      <w:pPr>
        <w:ind w:right="260" w:firstLine="1305"/>
        <w:spacing w:after="0" w:line="313" w:lineRule="auto"/>
        <w:tabs>
          <w:tab w:leader="none" w:pos="2017"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Full Force and Effect</w:t>
      </w:r>
      <w:r>
        <w:rPr>
          <w:rFonts w:ascii="Arial" w:cs="Arial" w:eastAsia="Arial" w:hAnsi="Arial"/>
          <w:sz w:val="17"/>
          <w:szCs w:val="17"/>
          <w:color w:val="auto"/>
        </w:rPr>
        <w:t>. Time is of the essence with respect to each provision of the Contribution Agreement. In the event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 between the terms and conditions of the Contribution Agreement and this Amendment, the terms of this Amendment shall prevail.</w:t>
      </w:r>
    </w:p>
    <w:p>
      <w:pPr>
        <w:spacing w:after="0" w:line="138" w:lineRule="exact"/>
        <w:rPr>
          <w:rFonts w:ascii="Arial" w:cs="Arial" w:eastAsia="Arial" w:hAnsi="Arial"/>
          <w:sz w:val="17"/>
          <w:szCs w:val="17"/>
          <w:color w:val="auto"/>
        </w:rPr>
      </w:pPr>
    </w:p>
    <w:p>
      <w:pPr>
        <w:ind w:right="480" w:firstLine="1305"/>
        <w:spacing w:after="0" w:line="266" w:lineRule="auto"/>
        <w:tabs>
          <w:tab w:leader="none" w:pos="2017"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set forth in this Amendment, all terms and provisions of the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hereby confirmed and remain unmodified and in full force and effect, such terms and provisions being hereby incorporated herein for all purposes.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jc w:val="both"/>
        <w:ind w:right="20" w:firstLine="1305"/>
        <w:spacing w:after="0" w:line="261" w:lineRule="auto"/>
        <w:tabs>
          <w:tab w:leader="none" w:pos="2017"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and Facsimile Transmission</w:t>
      </w:r>
      <w:r>
        <w:rPr>
          <w:rFonts w:ascii="Arial" w:cs="Arial" w:eastAsia="Arial" w:hAnsi="Arial"/>
          <w:sz w:val="18"/>
          <w:szCs w:val="18"/>
          <w:color w:val="auto"/>
        </w:rPr>
        <w:t>. This Amendment may be executed in any number of counterparts, each of which so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shall be deemed to be an original and all of which shall constitute one and the same instrument. Each counterpart may be delivered by facsimile transmission. The signature page of any counterpart may be detached therefrom without impairing the legal effect of the signature(s) thereon provided such signature page is attached to any other counterpart identical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-947420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0"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by and through their undersigned, duly authorized representative, have executed this Amendment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 for the purposes herein expressed.</w:t>
      </w:r>
    </w:p>
    <w:p>
      <w:pPr>
        <w:spacing w:after="0" w:line="16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EXTRA SPACE: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 xml:space="preserve">EXTRA SPACE STORAGE LLC, </w:t>
      </w: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/s/ Charles L. Allen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47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Charles L. Allen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HSRE: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HSRE-ESP IA, LLC</w:t>
      </w:r>
      <w:r>
        <w:rPr>
          <w:rFonts w:ascii="Arial" w:cs="Arial" w:eastAsia="Arial" w:hAnsi="Arial"/>
          <w:sz w:val="18"/>
          <w:szCs w:val="18"/>
          <w:color w:val="auto"/>
        </w:rPr>
        <w:t>, a Delaware limited liability company</w:t>
      </w:r>
    </w:p>
    <w:p>
      <w:pPr>
        <w:sectPr>
          <w:pgSz w:w="11900" w:h="16838" w:orient="portrait"/>
          <w:cols w:equalWidth="0" w:num="1">
            <w:col w:w="11420"/>
          </w:cols>
          <w:pgMar w:left="240" w:top="125" w:right="239" w:bottom="0" w:gutter="0" w:footer="0" w:header="0"/>
        </w:sectPr>
      </w:pPr>
    </w:p>
    <w:bookmarkStart w:id="35" w:name="page36"/>
    <w:bookmarkEnd w:id="35"/>
    <w:p>
      <w:pPr>
        <w:ind w:left="5740"/>
        <w:spacing w:after="0"/>
        <w:tabs>
          <w:tab w:leader="none" w:pos="6220" w:val="left"/>
        </w:tabs>
        <w:rPr>
          <w:sz w:val="20"/>
          <w:szCs w:val="20"/>
          <w:color w:val="auto"/>
        </w:rPr>
      </w:pPr>
      <w:r>
        <w:rPr>
          <w:rFonts w:ascii="Arial" w:cs="Arial" w:eastAsia="Arial" w:hAnsi="Arial"/>
          <w:sz w:val="17"/>
          <w:szCs w:val="17"/>
          <w:color w:val="auto"/>
        </w:rPr>
        <w:t>By:</w:t>
        <w:tab/>
        <w:t>HSREP II Holding, LLC, a Delaware limited liability company, its sole</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ind w:left="624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320"/>
              <w:spacing w:after="0"/>
              <w:rPr>
                <w:sz w:val="20"/>
                <w:szCs w:val="20"/>
                <w:color w:val="auto"/>
              </w:rPr>
            </w:pPr>
            <w:r>
              <w:rPr>
                <w:rFonts w:ascii="Arial" w:cs="Arial" w:eastAsia="Arial" w:hAnsi="Arial"/>
                <w:sz w:val="18"/>
                <w:szCs w:val="18"/>
                <w:color w:val="auto"/>
                <w:w w:val="94"/>
              </w:rPr>
              <w:t>HSRE REIT II, a Maryland real estate investment trust, a</w:t>
            </w:r>
          </w:p>
        </w:tc>
        <w:tc>
          <w:tcPr>
            <w:tcW w:w="40" w:type="dxa"/>
            <w:vAlign w:val="bottom"/>
          </w:tcPr>
          <w:p>
            <w:pPr>
              <w:spacing w:after="0"/>
              <w:rPr>
                <w:sz w:val="18"/>
                <w:szCs w:val="18"/>
                <w:color w:val="auto"/>
              </w:rPr>
            </w:pPr>
          </w:p>
        </w:tc>
      </w:tr>
      <w:tr>
        <w:trPr>
          <w:trHeight w:val="230"/>
        </w:trPr>
        <w:tc>
          <w:tcPr>
            <w:tcW w:w="6820" w:type="dxa"/>
            <w:vAlign w:val="bottom"/>
          </w:tcPr>
          <w:p>
            <w:pPr>
              <w:spacing w:after="0"/>
              <w:rPr>
                <w:sz w:val="20"/>
                <w:szCs w:val="20"/>
                <w:color w:val="auto"/>
              </w:rPr>
            </w:pPr>
          </w:p>
        </w:tc>
        <w:tc>
          <w:tcPr>
            <w:tcW w:w="1720" w:type="dxa"/>
            <w:vAlign w:val="bottom"/>
          </w:tcPr>
          <w:p>
            <w:pPr>
              <w:ind w:left="320"/>
              <w:spacing w:after="0"/>
              <w:rPr>
                <w:sz w:val="20"/>
                <w:szCs w:val="20"/>
                <w:color w:val="auto"/>
              </w:rPr>
            </w:pPr>
            <w:r>
              <w:rPr>
                <w:rFonts w:ascii="Arial" w:cs="Arial" w:eastAsia="Arial" w:hAnsi="Arial"/>
                <w:sz w:val="18"/>
                <w:szCs w:val="18"/>
                <w:color w:val="auto"/>
              </w:rPr>
              <w:t>member</w:t>
            </w:r>
          </w:p>
        </w:tc>
        <w:tc>
          <w:tcPr>
            <w:tcW w:w="2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820" w:type="dxa"/>
            <w:vAlign w:val="bottom"/>
          </w:tcPr>
          <w:p>
            <w:pPr>
              <w:spacing w:after="0"/>
              <w:rPr>
                <w:sz w:val="24"/>
                <w:szCs w:val="24"/>
                <w:color w:val="auto"/>
              </w:rPr>
            </w:pPr>
          </w:p>
        </w:tc>
        <w:tc>
          <w:tcPr>
            <w:tcW w:w="1720" w:type="dxa"/>
            <w:vAlign w:val="bottom"/>
          </w:tcPr>
          <w:p>
            <w:pPr>
              <w:ind w:left="32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M. Gordon</w:t>
            </w:r>
          </w:p>
        </w:tc>
        <w:tc>
          <w:tcPr>
            <w:tcW w:w="40" w:type="dxa"/>
            <w:vAlign w:val="bottom"/>
          </w:tcPr>
          <w:p>
            <w:pPr>
              <w:spacing w:after="0"/>
              <w:rPr>
                <w:sz w:val="24"/>
                <w:szCs w:val="24"/>
                <w:color w:val="auto"/>
              </w:rPr>
            </w:pPr>
          </w:p>
        </w:tc>
      </w:tr>
      <w:tr>
        <w:trPr>
          <w:trHeight w:val="195"/>
        </w:trPr>
        <w:tc>
          <w:tcPr>
            <w:tcW w:w="6820" w:type="dxa"/>
            <w:vAlign w:val="bottom"/>
          </w:tcPr>
          <w:p>
            <w:pPr>
              <w:spacing w:after="0"/>
              <w:rPr>
                <w:sz w:val="16"/>
                <w:szCs w:val="16"/>
                <w:color w:val="auto"/>
              </w:rPr>
            </w:pPr>
          </w:p>
        </w:tc>
        <w:tc>
          <w:tcPr>
            <w:tcW w:w="1720" w:type="dxa"/>
            <w:vAlign w:val="bottom"/>
          </w:tcPr>
          <w:p>
            <w:pPr>
              <w:ind w:left="320"/>
              <w:spacing w:after="0" w:line="195" w:lineRule="exact"/>
              <w:rPr>
                <w:sz w:val="20"/>
                <w:szCs w:val="20"/>
                <w:color w:val="auto"/>
              </w:rPr>
            </w:pPr>
            <w:r>
              <w:rPr>
                <w:rFonts w:ascii="Arial" w:cs="Arial" w:eastAsia="Arial" w:hAnsi="Arial"/>
                <w:sz w:val="18"/>
                <w:szCs w:val="18"/>
                <w:color w:val="auto"/>
              </w:rPr>
              <w:t>Name:</w:t>
            </w:r>
          </w:p>
        </w:tc>
        <w:tc>
          <w:tcPr>
            <w:tcW w:w="2880" w:type="dxa"/>
            <w:vAlign w:val="bottom"/>
          </w:tcPr>
          <w:p>
            <w:pPr>
              <w:ind w:left="360"/>
              <w:spacing w:after="0" w:line="195" w:lineRule="exact"/>
              <w:rPr>
                <w:sz w:val="20"/>
                <w:szCs w:val="20"/>
                <w:color w:val="auto"/>
              </w:rPr>
            </w:pPr>
            <w:r>
              <w:rPr>
                <w:rFonts w:ascii="Arial" w:cs="Arial" w:eastAsia="Arial" w:hAnsi="Arial"/>
                <w:sz w:val="18"/>
                <w:szCs w:val="18"/>
                <w:color w:val="auto"/>
              </w:rPr>
              <w:t>Stephen M. Gordon</w:t>
            </w:r>
          </w:p>
        </w:tc>
        <w:tc>
          <w:tcPr>
            <w:tcW w:w="40" w:type="dxa"/>
            <w:vAlign w:val="bottom"/>
          </w:tcPr>
          <w:p>
            <w:pPr>
              <w:spacing w:after="0"/>
              <w:rPr>
                <w:sz w:val="16"/>
                <w:szCs w:val="16"/>
                <w:color w:val="auto"/>
              </w:rPr>
            </w:pPr>
          </w:p>
        </w:tc>
      </w:tr>
      <w:tr>
        <w:trPr>
          <w:trHeight w:val="230"/>
        </w:trPr>
        <w:tc>
          <w:tcPr>
            <w:tcW w:w="6820" w:type="dxa"/>
            <w:vAlign w:val="bottom"/>
          </w:tcPr>
          <w:p>
            <w:pPr>
              <w:spacing w:after="0"/>
              <w:rPr>
                <w:sz w:val="20"/>
                <w:szCs w:val="20"/>
                <w:color w:val="auto"/>
              </w:rPr>
            </w:pPr>
          </w:p>
        </w:tc>
        <w:tc>
          <w:tcPr>
            <w:tcW w:w="1720" w:type="dxa"/>
            <w:vAlign w:val="bottom"/>
          </w:tcPr>
          <w:p>
            <w:pPr>
              <w:ind w:left="320"/>
              <w:spacing w:after="0"/>
              <w:rPr>
                <w:sz w:val="20"/>
                <w:szCs w:val="20"/>
                <w:color w:val="auto"/>
              </w:rPr>
            </w:pPr>
            <w:r>
              <w:rPr>
                <w:rFonts w:ascii="Arial" w:cs="Arial" w:eastAsia="Arial" w:hAnsi="Arial"/>
                <w:sz w:val="18"/>
                <w:szCs w:val="18"/>
                <w:color w:val="auto"/>
              </w:rPr>
              <w:t>Its:</w:t>
            </w:r>
          </w:p>
        </w:tc>
        <w:tc>
          <w:tcPr>
            <w:tcW w:w="2880" w:type="dxa"/>
            <w:vAlign w:val="bottom"/>
          </w:tcPr>
          <w:p>
            <w:pPr>
              <w:ind w:left="360"/>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0"/>
                <w:szCs w:val="20"/>
                <w:color w:val="auto"/>
              </w:rPr>
            </w:pPr>
          </w:p>
        </w:tc>
      </w:tr>
      <w:tr>
        <w:trPr>
          <w:trHeight w:val="348"/>
        </w:trPr>
        <w:tc>
          <w:tcPr>
            <w:tcW w:w="682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5, 2009</w:t>
            </w:r>
          </w:p>
        </w:tc>
        <w:tc>
          <w:tcPr>
            <w:tcW w:w="272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72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720" w:type="dxa"/>
            <w:vAlign w:val="bottom"/>
          </w:tcPr>
          <w:p>
            <w:pPr>
              <w:ind w:left="19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5, 2009</w:t>
            </w: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68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November 5, 2009</w:t>
            </w: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6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638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6380" w:type="dxa"/>
            <w:vAlign w:val="bottom"/>
          </w:tcPr>
          <w:p>
            <w:pPr>
              <w:ind w:left="56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6380" w:type="dxa"/>
            <w:vAlign w:val="bottom"/>
          </w:tcPr>
          <w:p>
            <w:pPr>
              <w:ind w:left="5680"/>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November 5, 2009</w:t>
            </w:r>
          </w:p>
        </w:tc>
        <w:tc>
          <w:tcPr>
            <w:tcW w:w="40" w:type="dxa"/>
            <w:vAlign w:val="bottom"/>
          </w:tcPr>
          <w:p>
            <w:pPr>
              <w:spacing w:after="0"/>
              <w:rPr>
                <w:sz w:val="20"/>
                <w:szCs w:val="20"/>
                <w:color w:val="auto"/>
              </w:rPr>
            </w:pPr>
          </w:p>
        </w:tc>
      </w:tr>
      <w:tr>
        <w:trPr>
          <w:trHeight w:val="348"/>
        </w:trPr>
        <w:tc>
          <w:tcPr>
            <w:tcW w:w="638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9"/>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2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2"/>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4"/>
    </w:lvl>
  </w:abstractNum>
  <w:abstractNum w:abstractNumId="23">
    <w:nsid w:val="8138641"/>
    <w:multiLevelType w:val="hybridMultilevel"/>
    <w:lvl w:ilvl="0">
      <w:lvlJc w:val="left"/>
      <w:lvlText w:val="%1."/>
      <w:numFmt w:val="decimal"/>
      <w:start w:val="7"/>
    </w:lvl>
  </w:abstractNum>
  <w:abstractNum w:abstractNumId="24">
    <w:nsid w:val="1E7FF521"/>
    <w:multiLevelType w:val="hybridMultilevel"/>
    <w:lvl w:ilvl="0">
      <w:lvlJc w:val="left"/>
      <w:lvlText w:val="%1."/>
      <w:numFmt w:val="decimal"/>
      <w:start w:val="8"/>
    </w:lvl>
  </w:abstractNum>
  <w:abstractNum w:abstractNumId="25">
    <w:nsid w:val="7C3DBD3D"/>
    <w:multiLevelType w:val="hybridMultilevel"/>
    <w:lvl w:ilvl="0">
      <w:lvlJc w:val="left"/>
      <w:lvlText w:val="%1."/>
      <w:numFmt w:val="decimal"/>
      <w:start w:val="10"/>
    </w:lvl>
  </w:abstractNum>
  <w:abstractNum w:abstractNumId="26">
    <w:nsid w:val="737B8DDC"/>
    <w:multiLevelType w:val="hybridMultilevel"/>
    <w:lvl w:ilvl="0">
      <w:lvlJc w:val="left"/>
      <w:lvlText w:val="%1."/>
      <w:numFmt w:val="decimal"/>
      <w:start w:val="11"/>
    </w:lvl>
  </w:abstractNum>
  <w:abstractNum w:abstractNumId="27">
    <w:nsid w:val="6CEAF087"/>
    <w:multiLevelType w:val="hybridMultilevel"/>
    <w:lvl w:ilvl="0">
      <w:lvlJc w:val="left"/>
      <w:lvlText w:val="(%1)"/>
      <w:numFmt w:val="upperLetter"/>
      <w:start w:val="1"/>
    </w:lvl>
  </w:abstractNum>
  <w:abstractNum w:abstractNumId="28">
    <w:nsid w:val="22221A70"/>
    <w:multiLevelType w:val="hybridMultilevel"/>
    <w:lvl w:ilvl="0">
      <w:lvlJc w:val="left"/>
      <w:lvlText w:val="%1."/>
      <w:numFmt w:val="decimal"/>
      <w:start w:val="12"/>
    </w:lvl>
  </w:abstractNum>
  <w:abstractNum w:abstractNumId="29">
    <w:nsid w:val="4516DDE9"/>
    <w:multiLevelType w:val="hybridMultilevel"/>
    <w:lvl w:ilvl="0">
      <w:lvlJc w:val="left"/>
      <w:lvlText w:val="%1."/>
      <w:numFmt w:val="decimal"/>
      <w:start w:val="13"/>
    </w:lvl>
  </w:abstractNum>
  <w:abstractNum w:abstractNumId="30">
    <w:nsid w:val="3006C83E"/>
    <w:multiLevelType w:val="hybridMultilevel"/>
    <w:lvl w:ilvl="0">
      <w:lvlJc w:val="left"/>
      <w:lvlText w:val="%1."/>
      <w:numFmt w:val="decimal"/>
      <w:start w:val="14"/>
    </w:lvl>
  </w:abstractNum>
  <w:abstractNum w:abstractNumId="31">
    <w:nsid w:val="614FD4A1"/>
    <w:multiLevelType w:val="hybridMultilevel"/>
    <w:lvl w:ilvl="0">
      <w:lvlJc w:val="left"/>
      <w:lvlText w:val="%1"/>
      <w:numFmt w:val="lowerLetter"/>
      <w:start w:val="1"/>
    </w:lvl>
    <w:lvl w:ilvl="1">
      <w:lvlJc w:val="left"/>
      <w:lvlText w:val="(%2)"/>
      <w:numFmt w:val="lowerLetter"/>
      <w:start w:val="1"/>
    </w:lvl>
  </w:abstractNum>
  <w:abstractNum w:abstractNumId="32">
    <w:nsid w:val="419AC241"/>
    <w:multiLevelType w:val="hybridMultilevel"/>
    <w:lvl w:ilvl="0">
      <w:lvlJc w:val="left"/>
      <w:lvlText w:val="(%1)"/>
      <w:numFmt w:val="lowerLetter"/>
      <w:start w:val="9"/>
    </w:lvl>
    <w:lvl w:ilvl="1">
      <w:lvlJc w:val="left"/>
      <w:lvlText w:val="%2"/>
      <w:numFmt w:val="lowerLetter"/>
      <w:start w:val="1"/>
    </w:lvl>
  </w:abstractNum>
  <w:abstractNum w:abstractNumId="33">
    <w:nsid w:val="5577F8E1"/>
    <w:multiLevelType w:val="hybridMultilevel"/>
    <w:lvl w:ilvl="0">
      <w:lvlJc w:val="left"/>
      <w:lvlText w:val="%1."/>
      <w:numFmt w:val="decimal"/>
      <w:start w:val="16"/>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2019-12-10T23:56:46Z</dcterms:created>
  <dcterms:modified xsi:type="dcterms:W3CDTF">2019-12-10T23:56:46Z</dcterms:modified>
</cp:coreProperties>
</file>