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October 31, 2011 was 94,373,253.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17"/>
                <w:szCs w:val="17"/>
                <w:color w:val="auto"/>
              </w:rPr>
            </w:pPr>
          </w:p>
        </w:tc>
        <w:tc>
          <w:tcPr>
            <w:tcW w:w="4480" w:type="dxa"/>
            <w:vAlign w:val="bottom"/>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9000" w:type="dxa"/>
            <w:vAlign w:val="bottom"/>
            <w:gridSpan w:val="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00" w:type="dxa"/>
            <w:vAlign w:val="bottom"/>
            <w:tcBorders>
              <w:bottom w:val="single" w:sz="8" w:color="0000EE"/>
            </w:tcBorders>
            <w:gridSpan w:val="10"/>
          </w:tcPr>
          <w:p>
            <w:pPr>
              <w:jc w:val="right"/>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NOTES TO CONDENSED CONSOLIDATED FINANCIAL STATEMENTS (unaudited)</w:t>
              </w:r>
            </w:hyperlink>
          </w:p>
        </w:tc>
        <w:tc>
          <w:tcPr>
            <w:tcW w:w="2920" w:type="dxa"/>
            <w:vAlign w:val="bottom"/>
            <w:gridSpan w:val="3"/>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ITEM 2. MANAGEMENT’S DISCUSSION AND ANALYSIS OF FINANCIAL CONDITION AND RESULTS OF OPERATIONS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682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ITEM 3. QUANTITATIVE AND QUALITATIVE DISCLOSURES ABOUT MARKET RISK</w:t>
              </w:r>
            </w:hyperlink>
          </w:p>
        </w:tc>
        <w:tc>
          <w:tcPr>
            <w:tcW w:w="27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 w:type="dxa"/>
            <w:vAlign w:val="bottom"/>
          </w:tcPr>
          <w:p>
            <w:pPr>
              <w:spacing w:after="0"/>
              <w:rPr>
                <w:sz w:val="17"/>
                <w:szCs w:val="17"/>
                <w:color w:val="auto"/>
              </w:rPr>
            </w:pPr>
          </w:p>
        </w:tc>
        <w:tc>
          <w:tcPr>
            <w:tcW w:w="32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4. CONTROLS AND PROCEDURES</w:t>
              </w:r>
            </w:hyperlink>
          </w:p>
        </w:tc>
        <w:tc>
          <w:tcPr>
            <w:tcW w:w="632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000" w:type="dxa"/>
            <w:vAlign w:val="bottom"/>
            <w:gridSpan w:val="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96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17"/>
                <w:szCs w:val="17"/>
                <w:color w:val="auto"/>
              </w:rPr>
            </w:pPr>
          </w:p>
        </w:tc>
        <w:tc>
          <w:tcPr>
            <w:tcW w:w="7060" w:type="dxa"/>
            <w:vAlign w:val="bottom"/>
            <w:gridSpan w:val="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96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UNREGISTERED SALES OF EQUITY SECURITIES AND USE OF PROCEEDS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2"/>
          </w:tcPr>
          <w:p>
            <w:pPr>
              <w:spacing w:after="0"/>
              <w:rPr>
                <w:sz w:val="17"/>
                <w:szCs w:val="17"/>
                <w:color w:val="auto"/>
              </w:rPr>
            </w:pPr>
          </w:p>
        </w:tc>
        <w:tc>
          <w:tcPr>
            <w:tcW w:w="286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ITEM 4. REMOVED AND RESERVED</w:t>
              </w:r>
            </w:hyperlink>
          </w:p>
        </w:tc>
        <w:tc>
          <w:tcPr>
            <w:tcW w:w="664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ITEM 5. OTHER INFORMATION</w:t>
              </w:r>
            </w:hyperlink>
          </w:p>
        </w:tc>
        <w:tc>
          <w:tcPr>
            <w:tcW w:w="7040" w:type="dxa"/>
            <w:vAlign w:val="bottom"/>
            <w:gridSpan w:val="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ITEM 6. EXHIBITS</w:t>
              </w:r>
            </w:hyperlink>
          </w:p>
        </w:tc>
        <w:tc>
          <w:tcPr>
            <w:tcW w:w="8100" w:type="dxa"/>
            <w:vAlign w:val="bottom"/>
            <w:gridSpan w:val="11"/>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780" w:type="dxa"/>
            <w:vAlign w:val="bottom"/>
            <w:gridSpan w:val="1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453"/>
        </w:trPr>
        <w:tc>
          <w:tcPr>
            <w:tcW w:w="1160" w:type="dxa"/>
            <w:vAlign w:val="bottom"/>
            <w:tcBorders>
              <w:top w:val="single" w:sz="8" w:color="0000EE"/>
            </w:tcBorders>
            <w:gridSpan w:val="3"/>
          </w:tcPr>
          <w:p>
            <w:pPr>
              <w:spacing w:after="0"/>
              <w:rPr>
                <w:sz w:val="24"/>
                <w:szCs w:val="24"/>
                <w:color w:val="auto"/>
              </w:rPr>
            </w:pPr>
          </w:p>
        </w:tc>
        <w:tc>
          <w:tcPr>
            <w:tcW w:w="5700" w:type="dxa"/>
            <w:vAlign w:val="bottom"/>
            <w:gridSpan w:val="9"/>
          </w:tcPr>
          <w:p>
            <w:pPr>
              <w:jc w:val="right"/>
              <w:ind w:right="1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competition from new and existing self-storage facilities or other storage alternatives, which could cause rents and occupancy rates to decline;</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and developments successfully and to lease up those properties, which could adversely affect our profitability;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(“REITs”),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 and operating costs;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federal income tax purposes;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and management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ectPr>
          <w:pgSz w:w="11900" w:h="16870" w:orient="portrait"/>
          <w:cols w:equalWidth="0" w:num="1">
            <w:col w:w="11460"/>
          </w:cols>
          <w:pgMar w:left="240" w:top="108" w:right="199" w:bottom="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(amounts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September 30, 2011</w:t>
            </w:r>
          </w:p>
        </w:tc>
        <w:tc>
          <w:tcPr>
            <w:tcW w:w="18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December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Real estate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1,935,319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8,621</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2,060,188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1,972,402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134,219</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33,895</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30,352</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61,184</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54,390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2,374,228</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2,248,468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869,866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payable to trusts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119,590</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87,663</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Discount on exchangeable senior notes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166,000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39,891</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30,046</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1,312,159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1,309,397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$0.01 par value, 300,000,000 shares authorized, 94,357,528 and 87,587,322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shares issued and outstanding at September 30, 2011 and December 31, 2010, 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1,281,378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1,148,820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(7,819)</w:t>
            </w: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(267,122)</w:t>
            </w:r>
          </w:p>
        </w:tc>
        <w:tc>
          <w:tcPr>
            <w:tcW w:w="18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(262,508)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1,007,380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2"/>
              </w:rPr>
              <w:t>Noncontrolling interest represented by Preferred Operating Partnership units, net of $100,000 note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receivable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29,665</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29,733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 in Operating Partnership</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23,924</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noncontrolling interests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noncontrolling interests and equity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1,062,069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2,374,228</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2,248,468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69,475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59,332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195,265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6,796</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22,889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236,618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Property operations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24,270</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21,334</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70,326</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sublease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12,306</w:t>
            </w:r>
          </w:p>
        </w:tc>
        <w:tc>
          <w:tcPr>
            <w:tcW w:w="2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10,618</w:t>
            </w: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36,396</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14,364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42,041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0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52,882</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48,418</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155,521</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31,215</w:t>
            </w: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23,561</w:t>
            </w:r>
          </w:p>
        </w:tc>
        <w:tc>
          <w:tcPr>
            <w:tcW w:w="2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81,097</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(16,756)</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(15,702)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(49,431)</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interest expense related to amortization of discount on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exchangeable senior notes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Interest income on note receivable from Preferred Operating Partnership</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 holder</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3,638</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40" w:type="dxa"/>
            <w:vAlign w:val="bottom"/>
          </w:tcPr>
          <w:p>
            <w:pPr>
              <w:spacing w:after="0" w:line="182" w:lineRule="exact"/>
              <w:rPr>
                <w:sz w:val="20"/>
                <w:szCs w:val="20"/>
                <w:color w:val="auto"/>
              </w:rPr>
            </w:pPr>
            <w:r>
              <w:rPr>
                <w:rFonts w:ascii="Arial" w:cs="Arial" w:eastAsia="Arial" w:hAnsi="Arial"/>
                <w:sz w:val="18"/>
                <w:szCs w:val="18"/>
                <w:color w:val="auto"/>
                <w:w w:val="94"/>
              </w:rPr>
              <w:t>Income before equity in earnings of real estate ventures and income tax</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15,417</w:t>
            </w:r>
          </w:p>
        </w:tc>
        <w:tc>
          <w:tcPr>
            <w:tcW w:w="2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34,552</w:t>
            </w: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6,060</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allocated to Preferred Operating Partnership noncontrolling</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(4,682)</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w w:val="95"/>
              </w:rPr>
              <w:t>Net income allocated to Operating Partnership and other noncontrolling</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94,314,429</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87,484,731</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91,277,261</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87,244,161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98,867,803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92,189,852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95,866,290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91,969,869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Noncontrolling Interests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0"/>
          </w:tcPr>
          <w:p>
            <w:pPr>
              <w:jc w:val="right"/>
              <w:ind w:right="6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9"/>
              </w:rPr>
              <w:t>Operating</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7"/>
              </w:rPr>
              <w:t>Par Value</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Partnership</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Partnership</w:t>
            </w: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2010</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29,733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26,803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1,134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87,587,322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$ 1,148,820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(262,508)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common stock upon the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options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12,105</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Restricted stock grants issued</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222,130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cancelled</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5,335,423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112,299</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awards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95"/>
              </w:rPr>
              <w:t>Redemption of Operating Partnership</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units for common stock</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293,641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Redemption of Operating Partnership</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for cash</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4,682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34,171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Change in fair value of interest rate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swap</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Tax effect from vesting of restricted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stock grants and stock option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exercises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Distributions to Operating Partnership</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held by noncontrolling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Distributions to other noncontrolling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Dividends paid on common stock at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$0.42 per share</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(38,785)</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spacing w:after="0"/>
        <w:tabs>
          <w:tab w:leader="none" w:pos="2980" w:val="left"/>
          <w:tab w:leader="none" w:pos="3240" w:val="left"/>
          <w:tab w:leader="none" w:pos="3880" w:val="left"/>
          <w:tab w:leader="none" w:pos="4120" w:val="left"/>
          <w:tab w:leader="none" w:pos="4760" w:val="left"/>
          <w:tab w:leader="none" w:pos="5020" w:val="left"/>
          <w:tab w:leader="none" w:pos="5560" w:val="left"/>
          <w:tab w:leader="none" w:pos="6520" w:val="left"/>
          <w:tab w:leader="none" w:pos="6920" w:val="left"/>
          <w:tab w:leader="none" w:pos="7340" w:val="left"/>
          <w:tab w:leader="none" w:pos="8340" w:val="left"/>
          <w:tab w:leader="none" w:pos="8820" w:val="left"/>
        </w:tabs>
        <w:rPr>
          <w:sz w:val="20"/>
          <w:szCs w:val="20"/>
          <w:color w:val="auto"/>
        </w:rPr>
      </w:pPr>
      <w:r>
        <w:rPr>
          <w:rFonts w:ascii="Arial" w:cs="Arial" w:eastAsia="Arial" w:hAnsi="Arial"/>
          <w:sz w:val="18"/>
          <w:szCs w:val="18"/>
          <w:b w:val="1"/>
          <w:bCs w:val="1"/>
          <w:color w:val="auto"/>
        </w:rPr>
        <w:t>Balances at September 30, 2011</w:t>
      </w:r>
      <w:r>
        <w:rPr>
          <w:sz w:val="20"/>
          <w:szCs w:val="20"/>
          <w:color w:val="auto"/>
        </w:rPr>
        <w:tab/>
      </w:r>
      <w:r>
        <w:rPr>
          <w:rFonts w:ascii="Arial" w:cs="Arial" w:eastAsia="Arial" w:hAnsi="Arial"/>
          <w:sz w:val="18"/>
          <w:szCs w:val="18"/>
          <w:color w:val="auto"/>
        </w:rPr>
        <w:t>$</w:t>
        <w:tab/>
        <w:t>29,665</w:t>
        <w:tab/>
        <w:t>$</w:t>
        <w:tab/>
        <w:t>23,924</w:t>
        <w:tab/>
        <w:t>$</w:t>
        <w:tab/>
        <w:t>1,100</w:t>
        <w:tab/>
        <w:t>94,357,528</w:t>
        <w:tab/>
        <w:t>$</w:t>
      </w:r>
      <w:r>
        <w:rPr>
          <w:sz w:val="20"/>
          <w:szCs w:val="20"/>
          <w:color w:val="auto"/>
        </w:rPr>
        <w:tab/>
      </w:r>
      <w:r>
        <w:rPr>
          <w:rFonts w:ascii="Arial" w:cs="Arial" w:eastAsia="Arial" w:hAnsi="Arial"/>
          <w:sz w:val="18"/>
          <w:szCs w:val="18"/>
          <w:color w:val="auto"/>
        </w:rPr>
        <w:t>943</w:t>
        <w:tab/>
        <w:t>$ 1,281,378</w:t>
        <w:tab/>
        <w:t>$</w:t>
      </w:r>
      <w:r>
        <w:rPr>
          <w:sz w:val="20"/>
          <w:szCs w:val="20"/>
          <w:color w:val="auto"/>
        </w:rPr>
        <w:tab/>
      </w:r>
      <w:r>
        <w:rPr>
          <w:rFonts w:ascii="Arial" w:cs="Arial" w:eastAsia="Arial" w:hAnsi="Arial"/>
          <w:sz w:val="17"/>
          <w:szCs w:val="17"/>
          <w:color w:val="auto"/>
        </w:rPr>
        <w:t>(7,819) $ (267,122) $ 1,062,069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34290</wp:posOffset>
            </wp:positionV>
            <wp:extent cx="52743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2603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40,009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42,041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w w:val="98"/>
              </w:rPr>
              <w:t>Non-cash interest expense related to amortization of discount on exchangeable senior notes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Loss on sublease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Acquisition of real estate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(108,403)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Proceeds from sale of properties to joint venture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real estate ventures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Return of investment in real estate ventures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4,614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Purchase of affiliated joint venture note receivable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equipment and fixtures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(169,188)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common stock, net of transaction costs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370,242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(389,706)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(4,149)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from noncontrolling interests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Redemption of Operating Partnership units held by noncontrolling interest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(38,785)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 (Operating Partnership and other)</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46,750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8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paid, net of amounts capitalized</w:t>
            </w:r>
          </w:p>
        </w:tc>
        <w:tc>
          <w:tcPr>
            <w:tcW w:w="25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45,048</w:t>
            </w:r>
          </w:p>
        </w:tc>
        <w:tc>
          <w:tcPr>
            <w:tcW w:w="3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45,593</w:t>
            </w:r>
          </w:p>
        </w:tc>
      </w:tr>
    </w:tbl>
    <w:p>
      <w:pPr>
        <w:sectPr>
          <w:pgSz w:w="11900" w:h="16900" w:orient="portrait"/>
          <w:cols w:equalWidth="0" w:num="1">
            <w:col w:w="11420"/>
          </w:cols>
          <w:pgMar w:left="240" w:top="12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joint ventures due to application of Accounting Standards Codification 810:</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Real estate assets, net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(42,739)</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real estate ventures</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21,142</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other liabilities</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21,348</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noncontrolling interests</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Redemption of Operating Partnership units held by noncontrolling interests for common stock:</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 in Operating Partnership</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Common stock and paid-in capital</w:t>
            </w:r>
          </w:p>
        </w:tc>
        <w:tc>
          <w:tcPr>
            <w:tcW w:w="1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(2,344)</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 effect from vesting of restricted stock grants and stock option exercises:</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1,918</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995</w:t>
            </w: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Acquisitions of real estate assets</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assets, net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8,660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(8,660)</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(“UPREIT”). The Company has elected to be taxed as a REIT under the Internal Revenue Code of 1986, as amended. To the extent the Company continues to qualify as a REIT, it will not be subject to tax, with certain limited exceptions, on the taxable income that is distributed to its stockholders.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September 30, 2011, the Company had direct and indirect equity interests in 676 operating storage facilities. In addition, the Company managed 178 properties for franchisees and third parties, bringing the total number of operating properties which it owns and/or manages to 854. These properties are located in 34 states and Washington, D.C.</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operates in three distinct segments: (1) property management, acquisition and development; (2) rental operations; and (3) tenant reinsurance. The Company’s property management, acquisition and development activities include managing, acquiring, developing and selling self-storage facilities. On June 2, 2009, the Company announced the wind-down of its development activities. As of September 30, 2011, there was one remaining development project in process. The Company expects to complete this project by the end of 2011. The rental operations activities include rental operations of self-storage facilities. No single tenant accounts for more than 5% of rental income. Tenant reinsurance activities include the reinsurance of risks relating to the loss of goods stored by tenants in the Company’s self storage facilities.</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2011 are not necessarily indicative of results that may be expected for the year ended December 31, 2011. The condensed consolidated balance sheet as of December 31, 2010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2010 as filed with the Securities and Exchange Commission.</w:t>
      </w:r>
    </w:p>
    <w:p>
      <w:pPr>
        <w:spacing w:after="0" w:line="1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140" w:type="dxa"/>
            <w:vAlign w:val="bottom"/>
            <w:gridSpan w:val="9"/>
          </w:tcPr>
          <w:p>
            <w:pPr>
              <w:ind w:left="14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Borders>
              <w:top w:val="single" w:sz="8" w:color="auto"/>
            </w:tcBorders>
          </w:tcPr>
          <w:p>
            <w:pPr>
              <w:jc w:val="center"/>
              <w:ind w:left="185"/>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ind w:right="8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September 30, 2011</w:t>
            </w:r>
          </w:p>
        </w:tc>
        <w:tc>
          <w:tcPr>
            <w:tcW w:w="280" w:type="dxa"/>
            <w:vAlign w:val="bottom"/>
            <w:vMerge w:val="restart"/>
          </w:tcPr>
          <w:p>
            <w:pPr>
              <w:spacing w:after="0"/>
              <w:rPr>
                <w:sz w:val="12"/>
                <w:szCs w:val="12"/>
                <w:color w:val="auto"/>
              </w:rPr>
            </w:pPr>
          </w:p>
        </w:tc>
        <w:tc>
          <w:tcPr>
            <w:tcW w:w="182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90"/>
              </w:rPr>
              <w:t>Assets (Level 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liabilities - Cash Flow Hedge</w:t>
            </w:r>
          </w:p>
        </w:tc>
        <w:tc>
          <w:tcPr>
            <w:tcW w:w="3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(8,189)</w:t>
            </w:r>
          </w:p>
        </w:tc>
        <w:tc>
          <w:tcPr>
            <w:tcW w:w="1820" w:type="dxa"/>
            <w:vAlign w:val="bottom"/>
            <w:vMerge w:val="restart"/>
            <w:shd w:val="clear" w:color="auto" w:fill="CCEEFF"/>
          </w:tcPr>
          <w:p>
            <w:pPr>
              <w:jc w:val="right"/>
              <w:ind w:right="1645"/>
              <w:spacing w:after="0"/>
              <w:rPr>
                <w:sz w:val="20"/>
                <w:szCs w:val="20"/>
                <w:color w:val="auto"/>
              </w:rPr>
            </w:pPr>
            <w:r>
              <w:rPr>
                <w:rFonts w:ascii="Arial" w:cs="Arial" w:eastAsia="Arial" w:hAnsi="Arial"/>
                <w:sz w:val="18"/>
                <w:szCs w:val="18"/>
                <w:color w:val="auto"/>
                <w:w w:val="79"/>
              </w:rPr>
              <w:t>$</w:t>
            </w:r>
          </w:p>
        </w:tc>
        <w:tc>
          <w:tcPr>
            <w:tcW w:w="5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(8,189)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vMerge w:val="restart"/>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 Agreements</w:t>
            </w:r>
          </w:p>
        </w:tc>
        <w:tc>
          <w:tcPr>
            <w:tcW w:w="180" w:type="dxa"/>
            <w:vAlign w:val="bottom"/>
            <w:vMerge w:val="continue"/>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fair value of our derivatives is based on quoted market prices of similar instruments from various banking institutions or an independent third party provider for similar instruments. In determining the fair value, we consider our non-performance risk and that of our counterparties.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transfers of assets and liabilities between Level 1 and Level 2 during the nine months ended September 30, 2011. The Company did not have any significant assets or liabilities that are re-measured on a recurring basis using significant unobservable inputs (Level 3) for the nine months ended September 30,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self-storage facility at least annually to determine if any such events or circumstances have occurred or exist. The Company focuses on facilities where occupancy and/or rental income have decreased by a significant amount. For these facilities, the Company determines whether the decrease is temporary or permanent and whether the facility will likely recover the lost occupancy and/or revenue in the short term. In addition, the Company carefully reviews facilities in the lease-up stage and compares actual operating results to original projections.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annually and when events or circumstances indicate there may be impairment. An investment is impaired if the Company’s estimate of the fair value of the investment is less than its carrying value. To the extent impairment has occurred, and is considered to be other than temporary, the loss is measured as the excess of the carrying amount over the fair value of the investment.</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connection with the Company’s acquisition of self-storage facilities,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facilities. Debt assumed as part of an acquisition is recorded at fair value based on current interest rates compared to contractual rates. Acquisition-related transaction costs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 rate notes payable, lines of credit and other liabilities reflected in the condensed consolidated balance sheets at September 30, 2011 and December 31, 2010 approximate fair value. The fair values of the Company’s notes receivable, fixed rate notes payable and notes payable to trusts and exchangeable senior notes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 2011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2010</w:t>
            </w:r>
          </w:p>
        </w:tc>
        <w:tc>
          <w:tcPr>
            <w:tcW w:w="4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Note receivable from Preferred Operating Partnership unit holder</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115,696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937,327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873,137</w:t>
            </w:r>
          </w:p>
        </w:tc>
        <w:tc>
          <w:tcPr>
            <w:tcW w:w="14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777,575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731,588</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91,555</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87,663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118,975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c>
          <w:tcPr>
            <w:tcW w:w="40" w:type="dxa"/>
            <w:vAlign w:val="bottom"/>
          </w:tcPr>
          <w:p>
            <w:pPr>
              <w:spacing w:after="0"/>
              <w:rPr>
                <w:sz w:val="18"/>
                <w:szCs w:val="18"/>
                <w:color w:val="auto"/>
              </w:rPr>
            </w:pPr>
          </w:p>
        </w:tc>
      </w:tr>
      <w:tr>
        <w:trPr>
          <w:trHeight w:val="432"/>
        </w:trPr>
        <w:tc>
          <w:tcPr>
            <w:tcW w:w="516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Basic net income per common share is computed by dividing net income by the weighted average common shares outstanding, including unvested share based payment awards that contain a non-forfeitable right to dividends or dividend equivalents.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treasury stock or if-converted method. Potential common shares are securities (such as options, convertible debt,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those that reduce earnings per share, are included.</w:t>
      </w:r>
    </w:p>
    <w:p>
      <w:pPr>
        <w:sectPr>
          <w:pgSz w:w="11900" w:h="16838" w:orient="portrait"/>
          <w:cols w:equalWidth="0" w:num="1">
            <w:col w:w="11460"/>
          </w:cols>
          <w:pgMar w:left="240" w:top="341" w:right="199" w:bottom="0" w:gutter="0" w:footer="0" w:header="0"/>
        </w:sectPr>
      </w:pPr>
    </w:p>
    <w:bookmarkStart w:id="7" w:name="page8"/>
    <w:bookmarkEnd w:id="7"/>
    <w:p>
      <w:pPr>
        <w:ind w:right="40"/>
        <w:spacing w:after="0" w:line="291" w:lineRule="auto"/>
        <w:rPr>
          <w:sz w:val="20"/>
          <w:szCs w:val="20"/>
          <w:color w:val="auto"/>
        </w:rPr>
      </w:pPr>
      <w:r>
        <w:rPr>
          <w:rFonts w:ascii="Arial" w:cs="Arial" w:eastAsia="Arial" w:hAnsi="Arial"/>
          <w:sz w:val="16"/>
          <w:szCs w:val="16"/>
          <w:color w:val="auto"/>
        </w:rPr>
        <w:t>The Company’s Operating Partnership had $87,663 of exchangeable senior notes issued and outstanding as of September 30, 2011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September 30, 2011, and could change over time as described in the indenture. The price of the Company’s common stock did not exceed 130% of the exchange price for the specified period of time during the third quarter of 2011; therefore holders of the exchangeable senior notes may not elect to convert them during the fourth quarter of 2011.</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related to the exchangeable senior notes were included in the computations for the three and nine month periods ended September 30, 2011 or 2010 because there was no excess over the accreted principal for these periods.</w:t>
      </w:r>
    </w:p>
    <w:p>
      <w:pPr>
        <w:spacing w:after="0" w:line="18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September 30, 2011 and 2010, options to purchase 120,634 and 1,161,799 shares of common stock, and for the nine months ended September 30, 2011 and 2010, 106,726 and 2,187,449 shares of common stock, respectively, were excluded from the computation of earnings per share as their effect would have been anti-dilutive. All restricted stock grants have been included in basic and diluted shares outstanding because such shares earn a non-forfeitable dividend and carry voting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160"/>
              <w:spacing w:after="0" w:line="201" w:lineRule="exact"/>
              <w:rPr>
                <w:sz w:val="20"/>
                <w:szCs w:val="20"/>
                <w:color w:val="auto"/>
              </w:rPr>
            </w:pPr>
            <w:r>
              <w:rPr>
                <w:rFonts w:ascii="Arial" w:cs="Arial" w:eastAsia="Arial" w:hAnsi="Arial"/>
                <w:sz w:val="18"/>
                <w:szCs w:val="18"/>
                <w:color w:val="auto"/>
                <w:w w:val="96"/>
              </w:rPr>
              <w:t>Income allocated to noncontrolling interest - Preferred Operating</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Partnership and Operating Partnership</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5,846</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Fixed component of income allocated to noncontrolling interest -</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Operating Partnership</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(1,438)</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(4,313)</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50"/>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for diluted computations</w:t>
            </w:r>
          </w:p>
        </w:tc>
        <w:tc>
          <w:tcPr>
            <w:tcW w:w="3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15,915</w:t>
            </w:r>
          </w:p>
        </w:tc>
        <w:tc>
          <w:tcPr>
            <w:tcW w:w="3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35,704</w:t>
            </w:r>
          </w:p>
        </w:tc>
        <w:tc>
          <w:tcPr>
            <w:tcW w:w="2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basic</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94,314,429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87,484,731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91,277,261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87,244,161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Operating Partnership units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3,049,935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3,356,963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3,049,935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Operating Partnership units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989,980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Dilutive and cancelled stock options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513,459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358,178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549,114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378,765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diluted</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98,867,803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92,189,852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95,866,290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91,969,869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the Company’s acquisitions of operating properties for the nine months ended September 30, 2011 and does not include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Consideration Paid</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2"/>
              </w:rPr>
              <w:t>Acquisition Date Fair Value</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17"/>
              <w:spacing w:after="0" w:line="110" w:lineRule="exact"/>
              <w:rPr>
                <w:sz w:val="20"/>
                <w:szCs w:val="20"/>
                <w:color w:val="auto"/>
              </w:rPr>
            </w:pPr>
            <w:r>
              <w:rPr>
                <w:rFonts w:ascii="Arial" w:cs="Arial" w:eastAsia="Arial" w:hAnsi="Arial"/>
                <w:sz w:val="12"/>
                <w:szCs w:val="12"/>
                <w:b w:val="1"/>
                <w:bCs w:val="1"/>
                <w:color w:val="auto"/>
              </w:rPr>
              <w:t>Net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Liabilities/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Closing</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Number of</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Date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Loan</w:t>
            </w: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(Assets)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costs -</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Properties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Total Paid</w:t>
            </w: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Cash Paid</w:t>
            </w:r>
          </w:p>
        </w:tc>
        <w:tc>
          <w:tcPr>
            <w:tcW w:w="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Assumed</w:t>
            </w:r>
          </w:p>
        </w:tc>
        <w:tc>
          <w:tcPr>
            <w:tcW w:w="8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Assumed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Building</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expensed</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Source of Acquisition</w:t>
            </w:r>
          </w:p>
        </w:tc>
      </w:tr>
      <w:tr>
        <w:trPr>
          <w:trHeight w:val="129"/>
        </w:trPr>
        <w:tc>
          <w:tcPr>
            <w:tcW w:w="1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Utah, Texas</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2</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4/1/2011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7,262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7,205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w w:val="76"/>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1,512</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5,548</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1"/>
              </w:rPr>
              <w:t>Affiliated joint venture</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174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4/7/2011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8,207</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8,150</w:t>
            </w:r>
          </w:p>
        </w:tc>
        <w:tc>
          <w:tcPr>
            <w:tcW w:w="80" w:type="dxa"/>
            <w:vAlign w:val="bottom"/>
          </w:tcPr>
          <w:p>
            <w:pPr>
              <w:spacing w:after="0"/>
              <w:rPr>
                <w:sz w:val="11"/>
                <w:szCs w:val="11"/>
                <w:color w:val="auto"/>
              </w:rPr>
            </w:pPr>
          </w:p>
        </w:tc>
        <w:tc>
          <w:tcPr>
            <w:tcW w:w="7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2,211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5,829</w:t>
            </w:r>
          </w:p>
        </w:tc>
        <w:tc>
          <w:tcPr>
            <w:tcW w:w="2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163</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4/15/2011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2,539</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1,791</w:t>
            </w: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tcPr>
          <w:p>
            <w:pPr>
              <w:spacing w:after="0" w:line="135" w:lineRule="exact"/>
              <w:rPr>
                <w:sz w:val="20"/>
                <w:szCs w:val="20"/>
                <w:color w:val="auto"/>
              </w:rPr>
            </w:pPr>
            <w:r>
              <w:rPr>
                <w:rFonts w:ascii="Arial" w:cs="Arial" w:eastAsia="Arial" w:hAnsi="Arial"/>
                <w:sz w:val="13"/>
                <w:szCs w:val="13"/>
                <w:color w:val="auto"/>
              </w:rPr>
              <w:t>Colorado</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5/25/2011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3,540</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2,262</w:t>
            </w:r>
          </w:p>
        </w:tc>
        <w:tc>
          <w:tcPr>
            <w:tcW w:w="80" w:type="dxa"/>
            <w:vAlign w:val="bottom"/>
          </w:tcPr>
          <w:p>
            <w:pPr>
              <w:spacing w:after="0"/>
              <w:rPr>
                <w:sz w:val="11"/>
                <w:szCs w:val="11"/>
                <w:color w:val="auto"/>
              </w:rPr>
            </w:pPr>
          </w:p>
        </w:tc>
        <w:tc>
          <w:tcPr>
            <w:tcW w:w="600" w:type="dxa"/>
            <w:vAlign w:val="bottom"/>
          </w:tcPr>
          <w:p>
            <w:pPr>
              <w:ind w:left="320"/>
              <w:spacing w:after="0" w:line="135" w:lineRule="exact"/>
              <w:rPr>
                <w:sz w:val="20"/>
                <w:szCs w:val="20"/>
                <w:color w:val="auto"/>
              </w:rPr>
            </w:pPr>
            <w:r>
              <w:rPr>
                <w:rFonts w:ascii="Arial" w:cs="Arial" w:eastAsia="Arial" w:hAnsi="Arial"/>
                <w:sz w:val="13"/>
                <w:szCs w:val="13"/>
                <w:color w:val="auto"/>
                <w:w w:val="79"/>
              </w:rPr>
              <w:t>1,290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3,077</w:t>
            </w:r>
          </w:p>
        </w:tc>
        <w:tc>
          <w:tcPr>
            <w:tcW w:w="2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5/26/2011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5,205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w w:val="79"/>
              </w:rPr>
              <w:t>5,463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9,349</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6/2/2011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4,963</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4,959</w:t>
            </w:r>
          </w:p>
        </w:tc>
        <w:tc>
          <w:tcPr>
            <w:tcW w:w="80" w:type="dxa"/>
            <w:vAlign w:val="bottom"/>
          </w:tcPr>
          <w:p>
            <w:pPr>
              <w:spacing w:after="0"/>
              <w:rPr>
                <w:sz w:val="11"/>
                <w:szCs w:val="11"/>
                <w:color w:val="auto"/>
              </w:rPr>
            </w:pPr>
          </w:p>
        </w:tc>
        <w:tc>
          <w:tcPr>
            <w:tcW w:w="7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3,115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Affiliated joint venture</w:t>
            </w:r>
          </w:p>
        </w:tc>
      </w:tr>
      <w:tr>
        <w:trPr>
          <w:trHeight w:val="135"/>
        </w:trPr>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6/10/2011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2,664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w w:val="79"/>
              </w:rPr>
              <w:t>1,907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4,199</w:t>
            </w: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14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tcPr>
          <w:p>
            <w:pPr>
              <w:spacing w:after="0" w:line="135" w:lineRule="exact"/>
              <w:rPr>
                <w:sz w:val="20"/>
                <w:szCs w:val="20"/>
                <w:color w:val="auto"/>
              </w:rPr>
            </w:pPr>
            <w:r>
              <w:rPr>
                <w:rFonts w:ascii="Arial" w:cs="Arial" w:eastAsia="Arial" w:hAnsi="Arial"/>
                <w:sz w:val="13"/>
                <w:szCs w:val="13"/>
                <w:color w:val="auto"/>
              </w:rPr>
              <w:t>Nevada</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6/22/2011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3,355</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3,339</w:t>
            </w:r>
          </w:p>
        </w:tc>
        <w:tc>
          <w:tcPr>
            <w:tcW w:w="80" w:type="dxa"/>
            <w:vAlign w:val="bottom"/>
          </w:tcPr>
          <w:p>
            <w:pPr>
              <w:spacing w:after="0"/>
              <w:rPr>
                <w:sz w:val="11"/>
                <w:szCs w:val="11"/>
                <w:color w:val="auto"/>
              </w:rPr>
            </w:pPr>
          </w:p>
        </w:tc>
        <w:tc>
          <w:tcPr>
            <w:tcW w:w="7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1,810</w:t>
            </w:r>
          </w:p>
        </w:tc>
        <w:tc>
          <w:tcPr>
            <w:tcW w:w="2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Ohio, Indiana, Kentucky</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15</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6/27/2011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39,773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39,387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13,587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24,991</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292</w:t>
            </w:r>
          </w:p>
        </w:tc>
        <w:tc>
          <w:tcPr>
            <w:tcW w:w="14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tcPr>
          <w:p>
            <w:pPr>
              <w:spacing w:after="0" w:line="135" w:lineRule="exact"/>
              <w:rPr>
                <w:sz w:val="20"/>
                <w:szCs w:val="20"/>
                <w:color w:val="auto"/>
              </w:rPr>
            </w:pPr>
            <w:r>
              <w:rPr>
                <w:rFonts w:ascii="Arial" w:cs="Arial" w:eastAsia="Arial" w:hAnsi="Arial"/>
                <w:sz w:val="13"/>
                <w:szCs w:val="13"/>
                <w:color w:val="auto"/>
              </w:rPr>
              <w:t>Maryland</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6"/>
              </w:rPr>
              <w:t>7/8/2011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5,785</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5,795</w:t>
            </w:r>
          </w:p>
        </w:tc>
        <w:tc>
          <w:tcPr>
            <w:tcW w:w="80" w:type="dxa"/>
            <w:vAlign w:val="bottom"/>
          </w:tcPr>
          <w:p>
            <w:pPr>
              <w:spacing w:after="0"/>
              <w:rPr>
                <w:sz w:val="11"/>
                <w:szCs w:val="11"/>
                <w:color w:val="auto"/>
              </w:rPr>
            </w:pPr>
          </w:p>
        </w:tc>
        <w:tc>
          <w:tcPr>
            <w:tcW w:w="74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4,218</w:t>
            </w:r>
          </w:p>
        </w:tc>
        <w:tc>
          <w:tcPr>
            <w:tcW w:w="28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139</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35"/>
        </w:trPr>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8/1/2011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7,352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7,342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6,340</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105</w:t>
            </w:r>
          </w:p>
        </w:tc>
        <w:tc>
          <w:tcPr>
            <w:tcW w:w="14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Unrelated third party</w:t>
            </w:r>
          </w:p>
        </w:tc>
      </w:tr>
      <w:tr>
        <w:trPr>
          <w:trHeight w:val="160"/>
        </w:trPr>
        <w:tc>
          <w:tcPr>
            <w:tcW w:w="1740" w:type="dxa"/>
            <w:vAlign w:val="bottom"/>
            <w:gridSpan w:val="2"/>
          </w:tcPr>
          <w:p>
            <w:pPr>
              <w:spacing w:after="0"/>
              <w:rPr>
                <w:sz w:val="20"/>
                <w:szCs w:val="20"/>
                <w:color w:val="auto"/>
              </w:rPr>
            </w:pPr>
            <w:r>
              <w:rPr>
                <w:rFonts w:ascii="Arial" w:cs="Arial" w:eastAsia="Arial" w:hAnsi="Arial"/>
                <w:sz w:val="13"/>
                <w:szCs w:val="13"/>
                <w:color w:val="auto"/>
              </w:rPr>
              <w:t>Texas</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8/2/2011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2,402</w:t>
            </w: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2,353</w:t>
            </w:r>
          </w:p>
        </w:tc>
        <w:tc>
          <w:tcPr>
            <w:tcW w:w="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979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1,346</w:t>
            </w: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Unrelated third party</w:t>
            </w:r>
          </w:p>
        </w:tc>
      </w:tr>
    </w:tbl>
    <w:p>
      <w:pPr>
        <w:spacing w:after="0" w:line="17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1, 2011, the Company paid $320 in cash to obtain its joint venture partners’ equity interests in a joint venture. No gain or loss was recognized on this transaction. The joint venture owned a single stabilized self-storage property located in Pennsylvania and was previously accounted for under the equity method. This property is now wholly owned and consolidated by the Company.</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RELATED PARTIES AND AFFILIATED REAL ESTATE JOINT VENTURES</w:t>
      </w:r>
    </w:p>
    <w:p>
      <w:pPr>
        <w:sectPr>
          <w:pgSz w:w="11900" w:h="16838"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September 2011, the Company purchased a note receivable from Bank of America for $51,000. The receivable is due from Storage Associates Holdco, LLC, a joint venture in which the Company holds a 10% equity interest. The note is due March 2012 and has a monthly interest rate of LIBOR plus 185 basis points. The Company has eliminated the interest income related to its 10% ownership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interests in three unconsolidated joint ventures with unrelated third parties which are variable interest entities (“VIEs” or the “VIE JVs”). The Company holds 10% to 39% of the equity interests in the VIE JVs, and has 50% of the voting rights in each of the VIE JVs. Qualification as a VIE was based on the determination that the equity investments at risk for each of these joint ventures were not sufficient based on a qualitative and quantitative analysis performed by the Company. The Company performed a qualitative analysis for these joint ventures to determine which party was the primary beneficiary of each VIE. The Company determined that since the powers to direct the activities most significant to the economic performance of these entities are shared equally by the Company and its joint venture partners, there is no primary beneficiary. Accordingly, these interests are recorded using the equity method.</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Two of the VIE JVs each own a single self-storage property. The third VIE JV owns six self-storage properties. These joint ventures are financed through a combination of (1) equity contributions from the Company and its joint venture partners, (2) mortgage notes payable and (3) payables to the Company. The payables to the Company consist of amounts owed for expenses paid on behalf of the joint ventures by the Company as manager and mortgage notes payable to the Company. The Company performs management services for the VIE JVs in exchange for a management fee of approximately 6% of cash collected by the properties. Except as disclosed, the Company has not provided financial or other support during the periods presented to the VIE JVs that it was not previously contractually obligated to provide.</w:t>
      </w:r>
    </w:p>
    <w:p>
      <w:pPr>
        <w:spacing w:after="0" w:line="1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guarantees the mortgage notes payable for two of the VIE JVs. The Company’s maximum exposure to loss for these joint ventures as of September 30, 2011 is the total of the guaranteed loan balances, the payables due to the Company and the Company’s investment balances in the joint ventures. The Company believes that the risk of incurring a material loss as a result of having to perform on the loan guarantees is unlikely and, therefore, no liability has been recorded related to these guarantees. Also, repossessing and/or selling the self-storage facility and land that collateralize the loans could provide funds sufficient to reimburse the Company. Additionally, the Company believes the payables to the Company are collectible.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the Company’s liability balance to the respective VIE JVs and the maximum exposure to loss related to the VIE JVs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after netting such liability balance: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Investment</w:t>
            </w:r>
          </w:p>
        </w:tc>
        <w:tc>
          <w:tcPr>
            <w:tcW w:w="12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Balance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Payables to</w:t>
            </w: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Guaranteed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Exposure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6"/>
              </w:rPr>
              <w:t>Difference</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Loan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to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 Space of Montrose Avenue LLC</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Extra Space of Sacramento One LLC</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6,099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Storage Associates Holdco, LLC</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53,976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(55,793)</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62,553</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Included in payables to Company for Storage Associates Holdco, LLC is a first mortgage secured by the six self-storage properties which was purchased by the Company from the bank lender in September 2011. The note payable is due March 2012 and pays interest monthly at LIBOR plus 185 basis points.</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Operating Partnership has three wholly-owned unconsolidated subsidiaries (“Trust,” “Trust II,” and “Trust III,” together, the “Trusts”) that have issued trust preferred securities to third parties and common securities to the Operating Partnership. The proceeds from the sale of the preferred and common securities were loaned in the form of notes to the Operating Partnership.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for the proceeds as discussed above, which are owed to the Trusts. The Company has also included its investment in the Trusts’ common securities in other assets on the condensed consolidated balance sheets.</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 tabular comparison of the liabilities the Company has recorded as a result of its involvement with the Trusts to the maximum exposure to loss the Company is subject to as a result of such involvement as of September 30, 2011:</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Notes payable</w:t>
            </w:r>
          </w:p>
        </w:tc>
        <w:tc>
          <w:tcPr>
            <w:tcW w:w="20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3"/>
                <w:szCs w:val="13"/>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to Trusts</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exposure to loss</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3"/>
              </w:rPr>
              <w:t>35,000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Trust II</w:t>
            </w: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42,269</w:t>
            </w: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1,269</w:t>
            </w: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820"/>
              <w:spacing w:after="0"/>
              <w:rPr>
                <w:sz w:val="20"/>
                <w:szCs w:val="20"/>
                <w:color w:val="auto"/>
              </w:rPr>
            </w:pPr>
            <w:r>
              <w:rPr>
                <w:rFonts w:ascii="Arial" w:cs="Arial" w:eastAsia="Arial" w:hAnsi="Arial"/>
                <w:sz w:val="18"/>
                <w:szCs w:val="18"/>
                <w:color w:val="auto"/>
              </w:rPr>
              <w:t>41,000</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9" w:name="page10"/>
    <w:bookmarkEnd w:id="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000" w:type="dxa"/>
            <w:vAlign w:val="bottom"/>
            <w:gridSpan w:val="2"/>
            <w:shd w:val="clear" w:color="auto" w:fill="CCEEFF"/>
          </w:tcPr>
          <w:p>
            <w:pPr>
              <w:jc w:val="right"/>
              <w:ind w:right="2310"/>
              <w:spacing w:after="0"/>
              <w:rPr>
                <w:sz w:val="20"/>
                <w:szCs w:val="20"/>
                <w:color w:val="auto"/>
              </w:rPr>
            </w:pPr>
            <w:r>
              <w:rPr>
                <w:rFonts w:ascii="Arial" w:cs="Arial" w:eastAsia="Arial" w:hAnsi="Arial"/>
                <w:sz w:val="18"/>
                <w:szCs w:val="18"/>
                <w:color w:val="auto"/>
                <w:w w:val="94"/>
              </w:rPr>
              <w:t>Trust III</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41,238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0"/>
        </w:trPr>
        <w:tc>
          <w:tcPr>
            <w:tcW w:w="25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nine months ended September 30, 2011 or 2010.</w:t>
      </w:r>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GAAP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is exposed to certain risks relating to its ongoing business operations. The primary risk managed by using derivative instruments is interest rate risk. Interest rate swaps are entered into to manage interest rate risk associated with the Company’s fixed and variable-rate borrowings. The Company designates certain interest rate swaps as cash flow hedges of variable-rate borrowings and the remainder as fair value hedges of fixed-rate borrowings.</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For derivatives designated as fair value hedges, changes in the fair value of the derivative and the hedged item related to the hedged risk are recognized in the statement of operations.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Company’s derivative financial instruments at September 30,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20"/>
                <w:szCs w:val="20"/>
                <w:color w:val="auto"/>
              </w:rPr>
            </w:pPr>
            <w:r>
              <w:rPr>
                <w:rFonts w:ascii="Arial" w:cs="Arial" w:eastAsia="Arial" w:hAnsi="Arial"/>
                <w:sz w:val="14"/>
                <w:szCs w:val="14"/>
                <w:b w:val="1"/>
                <w:bCs w:val="1"/>
                <w:color w:val="auto"/>
              </w:rPr>
              <w:t>Hedge Product</w:t>
            </w:r>
          </w:p>
        </w:tc>
        <w:tc>
          <w:tcPr>
            <w:tcW w:w="30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Hedge Type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Notional Amounts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Strike</w:t>
            </w: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Effective Dates</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Maturity Dates</w:t>
            </w:r>
          </w:p>
        </w:tc>
      </w:tr>
      <w:tr>
        <w:trPr>
          <w:trHeight w:val="142"/>
        </w:trPr>
        <w:tc>
          <w:tcPr>
            <w:tcW w:w="2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Hedge Swap Agreements</w:t>
            </w:r>
          </w:p>
        </w:tc>
        <w:tc>
          <w:tcPr>
            <w:tcW w:w="3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w:t>
            </w:r>
          </w:p>
        </w:tc>
        <w:tc>
          <w:tcPr>
            <w:tcW w:w="28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rPr>
              <w:t>$8,462 - $63,000</w:t>
            </w:r>
          </w:p>
        </w:tc>
        <w:tc>
          <w:tcPr>
            <w:tcW w:w="3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4.24% - 6.98%</w:t>
            </w:r>
          </w:p>
        </w:tc>
        <w:tc>
          <w:tcPr>
            <w:tcW w:w="3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2/1/2009 - 7/1/2010</w:t>
            </w:r>
          </w:p>
        </w:tc>
        <w:tc>
          <w:tcPr>
            <w:tcW w:w="2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6/30/2013 - 6/27/2016</w:t>
            </w:r>
          </w:p>
        </w:tc>
        <w:tc>
          <w:tcPr>
            <w:tcW w:w="100" w:type="dxa"/>
            <w:vAlign w:val="bottom"/>
            <w:tcBorders>
              <w:top w:val="single" w:sz="8" w:color="CCEEFF"/>
            </w:tcBorders>
            <w:shd w:val="clear" w:color="auto" w:fill="CCEEFF"/>
          </w:tcPr>
          <w:p>
            <w:pPr>
              <w:spacing w:after="0"/>
              <w:rPr>
                <w:sz w:val="12"/>
                <w:szCs w:val="1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Monthly interest payments were recognized as an increase or decrease in interest expense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Classification of</w:t>
            </w:r>
          </w:p>
        </w:tc>
        <w:tc>
          <w:tcPr>
            <w:tcW w:w="282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Type</w:t>
            </w:r>
          </w:p>
        </w:tc>
        <w:tc>
          <w:tcPr>
            <w:tcW w:w="184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0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CCEEFF"/>
            </w:tcBorders>
            <w:gridSpan w:val="3"/>
            <w:shd w:val="clear" w:color="auto" w:fill="CCEEFF"/>
          </w:tcPr>
          <w:p>
            <w:pPr>
              <w:jc w:val="right"/>
              <w:ind w:right="369"/>
              <w:spacing w:after="0"/>
              <w:rPr>
                <w:sz w:val="20"/>
                <w:szCs w:val="20"/>
                <w:color w:val="auto"/>
              </w:rPr>
            </w:pPr>
            <w:r>
              <w:rPr>
                <w:rFonts w:ascii="Arial" w:cs="Arial" w:eastAsia="Arial" w:hAnsi="Arial"/>
                <w:sz w:val="18"/>
                <w:szCs w:val="18"/>
                <w:color w:val="auto"/>
                <w:w w:val="85"/>
              </w:rPr>
              <w:t>Interest expense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11"/>
          </w:tcPr>
          <w:p>
            <w:pPr>
              <w:spacing w:after="0"/>
              <w:rPr>
                <w:sz w:val="20"/>
                <w:szCs w:val="20"/>
                <w:color w:val="auto"/>
              </w:rPr>
            </w:pPr>
            <w:r>
              <w:rPr>
                <w:rFonts w:ascii="Arial" w:cs="Arial" w:eastAsia="Arial" w:hAnsi="Arial"/>
                <w:sz w:val="18"/>
                <w:szCs w:val="18"/>
                <w:color w:val="auto"/>
                <w:w w:val="92"/>
              </w:rPr>
              <w:t>Information relating to the gains recognized on the interest rate swap agreements is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vMerge w:val="restart"/>
          </w:tcPr>
          <w:p>
            <w:pPr>
              <w:jc w:val="center"/>
              <w:ind w:left="409"/>
              <w:spacing w:after="0"/>
              <w:rPr>
                <w:sz w:val="20"/>
                <w:szCs w:val="20"/>
                <w:color w:val="auto"/>
              </w:rPr>
            </w:pPr>
            <w:r>
              <w:rPr>
                <w:rFonts w:ascii="Arial" w:cs="Arial" w:eastAsia="Arial" w:hAnsi="Arial"/>
                <w:sz w:val="14"/>
                <w:szCs w:val="14"/>
                <w:b w:val="1"/>
                <w:bCs w:val="1"/>
                <w:color w:val="auto"/>
                <w:w w:val="91"/>
              </w:rPr>
              <w:t>Gain (loss)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left="286"/>
              <w:spacing w:after="0"/>
              <w:rPr>
                <w:sz w:val="20"/>
                <w:szCs w:val="20"/>
                <w:color w:val="auto"/>
              </w:rPr>
            </w:pPr>
            <w:r>
              <w:rPr>
                <w:rFonts w:ascii="Arial" w:cs="Arial" w:eastAsia="Arial" w:hAnsi="Arial"/>
                <w:sz w:val="14"/>
                <w:szCs w:val="14"/>
                <w:b w:val="1"/>
                <w:bCs w:val="1"/>
                <w:color w:val="auto"/>
                <w:w w:val="91"/>
              </w:rPr>
              <w:t>Gain (loss)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1"/>
              </w:rPr>
              <w:t>Location of amounts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recognized in OCI</w:t>
            </w:r>
          </w:p>
        </w:tc>
        <w:tc>
          <w:tcPr>
            <w:tcW w:w="20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left="306"/>
              <w:spacing w:after="0"/>
              <w:rPr>
                <w:sz w:val="20"/>
                <w:szCs w:val="20"/>
                <w:color w:val="auto"/>
              </w:rPr>
            </w:pPr>
            <w:r>
              <w:rPr>
                <w:rFonts w:ascii="Arial" w:cs="Arial" w:eastAsia="Arial" w:hAnsi="Arial"/>
                <w:sz w:val="14"/>
                <w:szCs w:val="14"/>
                <w:b w:val="1"/>
                <w:bCs w:val="1"/>
                <w:color w:val="auto"/>
              </w:rPr>
              <w:t>OCI</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Type</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Pr>
          <w:p>
            <w:pPr>
              <w:spacing w:after="0"/>
              <w:rPr>
                <w:sz w:val="10"/>
                <w:szCs w:val="10"/>
                <w:color w:val="auto"/>
              </w:rPr>
            </w:pPr>
          </w:p>
        </w:tc>
        <w:tc>
          <w:tcPr>
            <w:tcW w:w="206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reclassified from OCI</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4"/>
          </w:tcPr>
          <w:p>
            <w:pPr>
              <w:jc w:val="center"/>
              <w:ind w:right="30"/>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840" w:type="dxa"/>
            <w:vAlign w:val="bottom"/>
            <w:gridSpan w:val="4"/>
          </w:tcPr>
          <w:p>
            <w:pPr>
              <w:jc w:val="center"/>
              <w:ind w:left="1004"/>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into income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 2011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1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7"/>
              </w:rPr>
              <w:t>(2,115)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CCEEFF"/>
            </w:tcBorders>
            <w:gridSpan w:val="6"/>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interest rate swap agreements were highly effective for the three and nine months ended September 30, 2011. The gain (loss) reclassified from other comprehensive income (“OCI”) in the preceding table represents the effective portion of the Company’s cash flow hedges reclassified from OCI to interest expense during the nine months ended September 30,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derivative instruments are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Asset (Liability) Derivatives</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22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2011</w:t>
            </w:r>
          </w:p>
        </w:tc>
        <w:tc>
          <w:tcPr>
            <w:tcW w:w="9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 2010</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80" w:type="dxa"/>
            <w:vAlign w:val="bottom"/>
            <w:gridSpan w:val="2"/>
            <w:vMerge w:val="continue"/>
          </w:tcPr>
          <w:p>
            <w:pPr>
              <w:spacing w:after="0"/>
              <w:rPr>
                <w:sz w:val="10"/>
                <w:szCs w:val="10"/>
                <w:color w:val="auto"/>
              </w:rPr>
            </w:pPr>
          </w:p>
        </w:tc>
        <w:tc>
          <w:tcPr>
            <w:tcW w:w="17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460" w:type="dxa"/>
            <w:vAlign w:val="bottom"/>
          </w:tcPr>
          <w:p>
            <w:pPr>
              <w:spacing w:after="0"/>
              <w:rPr>
                <w:sz w:val="10"/>
                <w:szCs w:val="10"/>
                <w:color w:val="auto"/>
              </w:rPr>
            </w:pPr>
          </w:p>
        </w:tc>
        <w:tc>
          <w:tcPr>
            <w:tcW w:w="900" w:type="dxa"/>
            <w:vAlign w:val="bottom"/>
          </w:tcPr>
          <w:p>
            <w:pPr>
              <w:jc w:val="center"/>
              <w:ind w:right="385"/>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1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40" w:type="dxa"/>
            <w:vAlign w:val="bottom"/>
          </w:tcPr>
          <w:p>
            <w:pPr>
              <w:spacing w:after="0"/>
              <w:rPr>
                <w:sz w:val="10"/>
                <w:szCs w:val="10"/>
                <w:color w:val="auto"/>
              </w:rPr>
            </w:pPr>
          </w:p>
        </w:tc>
        <w:tc>
          <w:tcPr>
            <w:tcW w:w="920" w:type="dxa"/>
            <w:vAlign w:val="bottom"/>
          </w:tcPr>
          <w:p>
            <w:pPr>
              <w:jc w:val="center"/>
              <w:ind w:right="344"/>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Location</w:t>
            </w:r>
          </w:p>
        </w:tc>
        <w:tc>
          <w:tcPr>
            <w:tcW w:w="460" w:type="dxa"/>
            <w:vAlign w:val="bottom"/>
          </w:tcPr>
          <w:p>
            <w:pPr>
              <w:spacing w:after="0"/>
              <w:rPr>
                <w:sz w:val="14"/>
                <w:szCs w:val="14"/>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Value</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44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 Swap Agreements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989,980 Preferred OP units of the Operating Partnership. The self-storage facilities are located in California and Hawaii.</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because the borrower under the loan receivable is also the holder of the Preferred OP units.</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(as subsequently amended,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$115,000. The remaining balance participates in distributions with, and has a liquidation value equal to, that of the common OP units. The Preferred OP units became redeemable at the option of the holder on September 1, 2008, which redemption obligation may be satisfied, at the Company’s option, in cash or shares of its common stock.</w:t>
      </w:r>
    </w:p>
    <w:p>
      <w:pPr>
        <w:sectPr>
          <w:pgSz w:w="11900" w:h="16838" w:orient="portrait"/>
          <w:cols w:equalWidth="0" w:num="1">
            <w:col w:w="11420"/>
          </w:cols>
          <w:pgMar w:left="240" w:top="140" w:right="239" w:bottom="11" w:gutter="0" w:footer="0" w:header="0"/>
        </w:sectPr>
      </w:pPr>
    </w:p>
    <w:bookmarkStart w:id="10" w:name="page11"/>
    <w:bookmarkEnd w:id="10"/>
    <w:p>
      <w:pPr>
        <w:spacing w:after="0" w:line="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evaluated the terms of the Preferred OP units and classifies the noncontrolling interest represented by the Preferred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 IN OPERATING PARTNERSHIP</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95.9% majority ownership interest therein as of September 30, 2011. The remaining ownership interests in the Operating Partnership (including Preferred OP units) of 4.1% are held by certain former owners of assets acquired by the Operating Partnership. As of September 30, 2011, the Operating Partnership had 3,049,935 common OP units outstanding.</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OP units. Limited partners who received OP units in the formation transactions or in exchange for contributions for interests in properties have the right to require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Operating Partnership to redeem part or all of their common OP units for cash based upon the fair market value of an equivalent number of shares of the Company’s common stock (ten-day average) at the time of the redemption. Alternatively, the Company may, at its option, elect to acquire those OP units in exchange for shares of its common stock on a one-for-one basis, subject to anti-dilution adjustments provided in the Partnership Agreement. The ten-day average closing stock price at September 30, 2011 was $19.70 and there were 3,049,935 common OP units outstanding. Assuming that all of the unit holders exercised their right to redeem all of their common OP units on September 30, 2011 and the Company elected to pay the noncontrolling members cash, the Company would have paid $60,084 in cash consideration to redeem the OP units.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in the Operating Partnership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NONCONTROLLING INTERESTS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three consolidated self-storage properties as of September 30, 2011. Two of these consolidated properties were under development, and one was in the lease-up stage at September 30, 2011. The ownership interests of the third-party owners range from 5.0% to 27.6%. Other noncontrolling interests are included in the stockholders’ equity section of the Company’s condensed consolidated balance sheet. The income or losses attributable to these third-party owners based on their ownership percentages are reflected in net income allocated to Operating Partnership and other noncontrolling interests in the condensed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OFFERING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May 2011, the Company closed a public stock offering of 5,335,423 shares of its common stock at an offering price of $21.16 per share. The Company received gross proceeds of $112,898. Transaction costs were $546 for net proceeds of $112,352.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ON SUBLEASE</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quarter ended September 30, 2010, a $2,000 charge was recorded as a result of the bankruptcy of a tenant subleasing office space from the Company in Memphis, Tennessee. The Memphis, Tennessee office lease is a liability that was assumed in the Storage USA acquisition in July 2005. The increase in this lease obligation liability was recognized through a $2,000 charge, which is included in loss on sublease in the condensed consolidated statement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ectPr>
          <w:pgSz w:w="11900" w:h="16870"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three distinct segments: (1) property management, acquisition and development; (2) rental operations; and (3) tenant reinsurance.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business segments is set forth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September 30, 2011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 2010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Investment in real estate ventures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134,219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140,560</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w w:val="94"/>
              </w:rPr>
              <w:t>Property management, acquisition and development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20" w:type="dxa"/>
            <w:vAlign w:val="bottom"/>
            <w:gridSpan w:val="5"/>
          </w:tcPr>
          <w:p>
            <w:pPr>
              <w:jc w:val="right"/>
              <w:ind w:right="280"/>
              <w:spacing w:after="0"/>
              <w:rPr>
                <w:sz w:val="20"/>
                <w:szCs w:val="20"/>
                <w:color w:val="auto"/>
              </w:rPr>
            </w:pPr>
            <w:r>
              <w:rPr>
                <w:rFonts w:ascii="Arial" w:cs="Arial" w:eastAsia="Arial" w:hAnsi="Arial"/>
                <w:sz w:val="18"/>
                <w:szCs w:val="18"/>
                <w:color w:val="auto"/>
              </w:rPr>
              <w:t>395,972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400,910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1,957,662</w:t>
            </w: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1,831,150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Tenant reinsurance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8"/>
                <w:szCs w:val="18"/>
                <w:color w:val="auto"/>
              </w:rPr>
              <w:t>20,594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16,408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2,374,228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2,248,468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Three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10"/>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18,464</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69,475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59,332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195,265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172,261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84,097</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71,979</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208,343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8"/>
              </w:rPr>
              <w:t>Operating expenses, including depreciation and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13,237</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40,773</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38,049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33,304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110,155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99,897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52,882</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141,113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(6,884)</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(22,309)</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31,426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26,028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85,110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72,364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67,230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(2,531)</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(16,270)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(15,288)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(48,208)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(48,038)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w w:val="98"/>
              </w:rPr>
              <w:t>Interest income on note receivable from Preferred Operating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Partnership unit holder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6,060</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6,330</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(3,845)</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(14,324)</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16,860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42,435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29,122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13,779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39,829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35,666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-8235950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-8235950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(108,403)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3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(28,523)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540" w:type="dxa"/>
            <w:vAlign w:val="bottom"/>
            <w:vMerge w:val="restart"/>
          </w:tcPr>
          <w:p>
            <w:pPr>
              <w:jc w:val="right"/>
              <w:ind w:right="2430"/>
              <w:spacing w:after="0"/>
              <w:rPr>
                <w:sz w:val="20"/>
                <w:szCs w:val="20"/>
                <w:color w:val="auto"/>
              </w:rPr>
            </w:pPr>
            <w:r>
              <w:rPr>
                <w:rFonts w:ascii="Arial" w:cs="Arial" w:eastAsia="Arial" w:hAnsi="Arial"/>
                <w:sz w:val="18"/>
                <w:szCs w:val="18"/>
                <w:color w:val="auto"/>
              </w:rPr>
              <w:t>18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60" w:type="dxa"/>
            <w:vAlign w:val="bottom"/>
            <w:tcBorders>
              <w:bottom w:val="single" w:sz="8" w:color="010101"/>
            </w:tcBorders>
          </w:tcPr>
          <w:p>
            <w:pPr>
              <w:spacing w:after="0"/>
              <w:rPr>
                <w:sz w:val="11"/>
                <w:szCs w:val="11"/>
                <w:color w:val="auto"/>
              </w:rPr>
            </w:pPr>
          </w:p>
        </w:tc>
        <w:tc>
          <w:tcPr>
            <w:tcW w:w="35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guaranteed loans for unconsolidated joint ventures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Loan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Date of</w:t>
            </w: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Guaranteed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Guaranty</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Loan 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 Space of Montrose Avenue LLC</w:t>
            </w: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6"/>
              </w:rPr>
              <w:t>Dec-10</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Extra Space of Sacramento One LLC</w:t>
            </w:r>
          </w:p>
        </w:tc>
        <w:tc>
          <w:tcPr>
            <w:tcW w:w="1420" w:type="dxa"/>
            <w:vAlign w:val="bottom"/>
            <w:gridSpan w:val="2"/>
          </w:tcPr>
          <w:p>
            <w:pPr>
              <w:ind w:left="620"/>
              <w:spacing w:after="0"/>
              <w:rPr>
                <w:sz w:val="20"/>
                <w:szCs w:val="20"/>
                <w:color w:val="auto"/>
              </w:rPr>
            </w:pPr>
            <w:r>
              <w:rPr>
                <w:rFonts w:ascii="Arial" w:cs="Arial" w:eastAsia="Arial" w:hAnsi="Arial"/>
                <w:sz w:val="18"/>
                <w:szCs w:val="18"/>
                <w:color w:val="auto"/>
              </w:rPr>
              <w:t>Apr-09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Apr-14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4,307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ESS Baltimore LLC</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Nov-04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4,052</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the joint ventures default on the loans, the Company may be forced to repay the loans. Repossessing and/or selling the self-storage facilities and land that collateralizes the loans could provide funds sufficient to reimburse the Company. The Company has recorded no liability in relation to these guarantees as of September 30, 2011, as the fair value of the guarantees was not material. The Company believes the risk of incurring a material loss as a result of having to perform on these guarantees is unlikely.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September 30, 2011, the Company was not involved in any material litigation nor, to its knowledge, was any material litigation threatened against it which, in the opinion of management, is expected to have a material adverse effect on the Company’s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2011, the Company purchased one property located in New Jersey for $18,350.</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October 19, 2011, the Company purchased a portfolio of 19 properties located in California for $99,150. In connection with this acquisition, the Company assumed $68,681 in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October 25, 2011, the Company purchased one property located in Florida for $5,700.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appearing elsewhere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for the year ended December 31, 2010.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in thousands except property and share data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2010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w:t>
      </w:r>
    </w:p>
    <w:p>
      <w:pPr>
        <w:sectPr>
          <w:pgSz w:w="11900" w:h="16838" w:orient="portrait"/>
          <w:cols w:equalWidth="0" w:num="1">
            <w:col w:w="11460"/>
          </w:cols>
          <w:pgMar w:left="240" w:top="140" w:right="199" w:bottom="0" w:gutter="0" w:footer="0" w:header="0"/>
        </w:sectPr>
      </w:pPr>
    </w:p>
    <w:bookmarkStart w:id="13" w:name="page14"/>
    <w:bookmarkEnd w:id="13"/>
    <w:p>
      <w:pPr>
        <w:spacing w:after="0" w:line="13"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fully integrated, self-administered and self-managed REIT, formed to continue the business commenced in 1977 by our predecessor companies to own, operate, manage, acquire, develop and redevelop professionally managed self-storage properties. We derive our revenues from rents received from tenants under existing leases at each of our self-storage properties, management fees on the properties we manage for joint venture partners, franchisees and unaffiliated third parties and our tenant reinsurance program. Our management fee is equal to approximately 6% of total revenues generated by the managed properties.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220" w:hanging="376"/>
        <w:spacing w:after="0" w:line="259" w:lineRule="auto"/>
        <w:tabs>
          <w:tab w:leader="none" w:pos="72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seeks to maximize revenue by responding to changing market conditions through our technology system’s ability to provide real-time, interactive rental rate and discount management. Our size allows greater ability than the majority of our competitors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implement national, regional and local marketing programs, which we believe will attract more customers to our stores at a lower net cost.</w:t>
      </w:r>
    </w:p>
    <w:p>
      <w:pPr>
        <w:spacing w:after="0" w:line="237" w:lineRule="exact"/>
        <w:rPr>
          <w:sz w:val="20"/>
          <w:szCs w:val="20"/>
          <w:color w:val="auto"/>
        </w:rPr>
      </w:pPr>
    </w:p>
    <w:p>
      <w:pPr>
        <w:ind w:left="760" w:hanging="376"/>
        <w:spacing w:after="0" w:line="259" w:lineRule="auto"/>
        <w:tabs>
          <w:tab w:leader="none" w:pos="72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continues to pursue the acquisition of single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and multi-property portfolios that we believe can provide stockholder value. We have established a reputation as a reliable, ethical buyer, which we believe enhances our ability to negotiate and close acquisitions. In addition, we believe our status as an UPREIT enables flexibility when structuring deals.</w:t>
      </w:r>
    </w:p>
    <w:p>
      <w:pPr>
        <w:spacing w:after="0" w:line="186" w:lineRule="exact"/>
        <w:rPr>
          <w:rFonts w:ascii="Arial" w:cs="Arial" w:eastAsia="Arial" w:hAnsi="Arial"/>
          <w:sz w:val="18"/>
          <w:szCs w:val="18"/>
          <w:color w:val="auto"/>
        </w:rPr>
      </w:pPr>
    </w:p>
    <w:p>
      <w:pPr>
        <w:ind w:left="760" w:right="120" w:hanging="376"/>
        <w:spacing w:after="0" w:line="302" w:lineRule="auto"/>
        <w:tabs>
          <w:tab w:leader="none" w:pos="726"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pursue strategic relationships with owners that strengthen our acquisition pipeline through agreements that typically give us first right of refusal to purchase the managed property in the event of a potential sale.</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U.S. and international market and economic conditions have been challenging with tighter credit conditions and slower growth. For the nine months ended September 30, 2011, concerns about the systemic impact of inflation, energy costs, geopolitical issues, and other macro-economic factors have contributed to market volatility and diminished expectations for the global economy.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2011, we owned or had ownership interests in 676 operating self-storage properties. Of these properties, 328 are wholly-owned and 348 are held in joint ventures. In addition, we managed an additional 178 properties for franchisees or third parties bringing the total number of operating properties that we own and/or manage to 854. These properties are located in 34 states and Washington, D.C. As of September 30, 2011, we owned and/or managed approximately 62 million square feet of space with approximately 570,000 units.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September 30, 2011, the median length of stay was approximately 13 months. The average annual rent per square foot at these stabilized properties was $13.50 at September 30, 2011, compared to $13.45 at September 30, 2010.</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14" w:name="page15"/>
    <w:bookmarkEnd w:id="14"/>
    <w:p>
      <w:pPr>
        <w:jc w:val="both"/>
        <w:ind w:right="20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September 30, 2011 and 2010. The information as of September 30, 2010 is on a pro forma basis as though all the properties owned and/or managed at September 30, 2011 were under our control as of September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8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Square Feet as of</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Occupancy %</w:t>
            </w: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Occupancy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Number of</w:t>
            </w: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of September 30,</w:t>
            </w: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of September 30,</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gridSpan w:val="4"/>
          </w:tcPr>
          <w:p>
            <w:pPr>
              <w:spacing w:after="0"/>
              <w:rPr>
                <w:sz w:val="20"/>
                <w:szCs w:val="20"/>
                <w:color w:val="auto"/>
              </w:rPr>
            </w:pPr>
            <w:r>
              <w:rPr>
                <w:rFonts w:ascii="Arial" w:cs="Arial" w:eastAsia="Arial" w:hAnsi="Arial"/>
                <w:sz w:val="13"/>
                <w:szCs w:val="13"/>
                <w:b w:val="1"/>
                <w:bCs w:val="1"/>
                <w:color w:val="auto"/>
              </w:rPr>
              <w:t>Location</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Properties</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0"/>
              </w:rPr>
              <w:t>2011 (1)</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2"/>
              </w:rPr>
              <w:t>2010</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6"/>
              </w:rPr>
              <w:t>2011 (2)</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Wholly-owned properties</w:t>
            </w: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Alabama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1,396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172,804</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173,779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79.0%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2,789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2,802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356,520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347,098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87.1%</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California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36,030</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36,201</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3,570,836</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3,576,439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88.3%</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4,520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4,497</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569,886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569,514</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90.9%</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Connecticut</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1,975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2,011</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178,050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178,010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18,185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18,263</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1,943,341</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1,945,179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Georgia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6,423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6,425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836,868</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837,173</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87.5%</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Hawaii</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2,796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2,828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138,084</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145,841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86.4%</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Illinois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4,498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4,502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464,809</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467,119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85.2%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4,362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4,382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510,459</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511,034</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86.9%</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Kansas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50,340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50,310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91.2%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90.0%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2,152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2,160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253,991</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254,041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89.5%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Louisiana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1,412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150,165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150,035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88.7%</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10,481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10,490</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1,139,881</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1,140,071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90.4%</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Massachusetts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16,722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16,724</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1,716,857</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1,717,716</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90.6%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Michigan</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1,020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1,017</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134,674</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134,954</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90.4%</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Missouri</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3,158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3,145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374,987</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374,897</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129,590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129,440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68.6%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New Hampshire</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125,473</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125,473</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20,099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20,108</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1,966,065</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1,972,816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90.3%</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New Mexico</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71,635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71,475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94.9%</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93.6%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9,214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9,243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712,776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713,131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89.6%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Ohio</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8,472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8,470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991,604</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994,464</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81.1%</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Oregon</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770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770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103,090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103,210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93.5%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Pennsylvania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5,773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5,798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655,545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656,205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90.3%</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74,836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75,976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84.7%</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South Carolina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2,151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2,173</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253,396</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253,406</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94.0%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90.4%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1,612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1,621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214,260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215,265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86.4%</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Texas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11,459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11,525</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1,330,771</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1,330,712</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88.2%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3,189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3,195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408,607</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409,163</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87.9%</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Virginia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4,293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4,298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416,532</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416,552</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89.8%</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2,529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2,543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308,015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308,015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84.2%</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3"/>
            <w:vMerge w:val="restart"/>
          </w:tcPr>
          <w:p>
            <w:pPr>
              <w:spacing w:after="0" w:line="117" w:lineRule="exact"/>
              <w:rPr>
                <w:sz w:val="20"/>
                <w:szCs w:val="20"/>
                <w:color w:val="auto"/>
              </w:rPr>
            </w:pPr>
            <w:r>
              <w:rPr>
                <w:rFonts w:ascii="Arial" w:cs="Arial" w:eastAsia="Arial" w:hAnsi="Arial"/>
                <w:sz w:val="13"/>
                <w:szCs w:val="13"/>
                <w:b w:val="1"/>
                <w:bCs w:val="1"/>
                <w:color w:val="auto"/>
              </w:rPr>
              <w:t>Total Wholly-Owned</w:t>
            </w: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w w:val="97"/>
              </w:rPr>
              <w:t>88.3%</w:t>
            </w:r>
          </w:p>
        </w:tc>
        <w:tc>
          <w:tcPr>
            <w:tcW w:w="116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w w:val="92"/>
              </w:rPr>
              <w:t>85.1%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3"/>
          </w:tcPr>
          <w:p>
            <w:pPr>
              <w:ind w:left="160"/>
              <w:spacing w:after="0"/>
              <w:rPr>
                <w:sz w:val="20"/>
                <w:szCs w:val="20"/>
                <w:color w:val="auto"/>
              </w:rPr>
            </w:pPr>
            <w:r>
              <w:rPr>
                <w:rFonts w:ascii="Arial" w:cs="Arial" w:eastAsia="Arial" w:hAnsi="Arial"/>
                <w:sz w:val="13"/>
                <w:szCs w:val="13"/>
                <w:b w:val="1"/>
                <w:bCs w:val="1"/>
                <w:color w:val="auto"/>
              </w:rPr>
              <w:t>Stabilized</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289</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191,223</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191,721</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20,324,747</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20,348,513</w:t>
            </w: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60" w:type="dxa"/>
            <w:vAlign w:val="bottom"/>
            <w:tcBorders>
              <w:bottom w:val="single" w:sz="8" w:color="010101"/>
            </w:tcBorders>
            <w:gridSpan w:val="2"/>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8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Square Feet as of</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Occupancy %</w:t>
            </w: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Occupancy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Number of</w:t>
            </w: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of September 30,</w:t>
            </w: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of September 30,</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gridSpan w:val="4"/>
          </w:tcPr>
          <w:p>
            <w:pPr>
              <w:spacing w:after="0"/>
              <w:rPr>
                <w:sz w:val="20"/>
                <w:szCs w:val="20"/>
                <w:color w:val="auto"/>
              </w:rPr>
            </w:pPr>
            <w:r>
              <w:rPr>
                <w:rFonts w:ascii="Arial" w:cs="Arial" w:eastAsia="Arial" w:hAnsi="Arial"/>
                <w:sz w:val="13"/>
                <w:szCs w:val="13"/>
                <w:b w:val="1"/>
                <w:bCs w:val="1"/>
                <w:color w:val="auto"/>
              </w:rPr>
              <w:t>Location</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Properties</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0"/>
              </w:rPr>
              <w:t>2011 (1)</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2"/>
              </w:rPr>
              <w:t>2010</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6"/>
              </w:rPr>
              <w:t>2011 (2)</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Joint-venture properties</w:t>
            </w: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Alabama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205,713</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205,588</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6,396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6,412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729,254</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713,770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California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58,579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58,707</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6,045,190</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6,021,564</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88.8%</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1,314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1,318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158,743</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158,543</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89.1%</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Connecticut</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5,988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5,987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692,648</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692,686</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Delaware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71,680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71,735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88.7%</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Florida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20,415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20,577</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2,065,251</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2,075,938</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85.6%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1,848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1,851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240,541</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241,341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84.0%</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Illinois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6,456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6,452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692,866</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693,623</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2,416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2,414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301,466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315,411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89.5%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Kansas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108,905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108,905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84.2%</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2,279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2,277</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269,545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269,629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90.3%</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Maryland</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11,843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11,849</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1,159,534</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1,157,187</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90.6%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8,619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8,630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970,918</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972,867</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88.8%</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Michigan</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5,444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5,455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730,108</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731,328</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90.3%</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Missouri</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61,275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61,075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91.2%</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Nevada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5,320</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5,378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692,983</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692,743</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83.7%</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Hampshire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1,311</w:t>
            </w:r>
          </w:p>
        </w:tc>
        <w:tc>
          <w:tcPr>
            <w:tcW w:w="1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1,314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137,474</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137,914</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87.8%</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New Jersey</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14,876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14,904</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1,559,481</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1,562,651</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4,643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4,672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542,381</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542,414</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87.0%</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New York</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21,632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21,633</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1,715,952</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1,734,899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90.8%</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Ohio</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5,850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5,857</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866,960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872,430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Oregon</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1,291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1,293</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136,600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136,770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92.0%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90.4%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7,994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8,002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797,230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800,411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91.6%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Rhode Island</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481</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56,255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56,015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76.5%</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12,542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12,588</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1,669,853</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1,670,319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Texas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11,742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11,764</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1,534,459</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1,535,059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87.9%</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12,020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12,013</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1,268,383</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1,267,738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91.5%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Washington</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62,730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62,730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85.4%</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Washington, DC</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1,529</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1,533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101,989</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102,003</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92.0%</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4"/>
              </w:rPr>
              <w:t>Total Stabilized Joint-Ventures</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343</w:t>
            </w:r>
          </w:p>
        </w:tc>
        <w:tc>
          <w:tcPr>
            <w:tcW w:w="180" w:type="dxa"/>
            <w:vAlign w:val="bottom"/>
            <w:vMerge w:val="continue"/>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237,028</w:t>
            </w:r>
          </w:p>
        </w:tc>
        <w:tc>
          <w:tcPr>
            <w:tcW w:w="180" w:type="dxa"/>
            <w:vAlign w:val="bottom"/>
            <w:vMerge w:val="continue"/>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237,564</w:t>
            </w:r>
          </w:p>
        </w:tc>
        <w:tc>
          <w:tcPr>
            <w:tcW w:w="18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25,646,367</w:t>
            </w:r>
          </w:p>
        </w:tc>
        <w:tc>
          <w:tcPr>
            <w:tcW w:w="16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25,665,286</w:t>
            </w:r>
          </w:p>
        </w:tc>
        <w:tc>
          <w:tcPr>
            <w:tcW w:w="180" w:type="dxa"/>
            <w:vAlign w:val="bottom"/>
            <w:vMerge w:val="continue"/>
          </w:tcPr>
          <w:p>
            <w:pPr>
              <w:spacing w:after="0"/>
              <w:rPr>
                <w:sz w:val="11"/>
                <w:szCs w:val="11"/>
                <w:color w:val="auto"/>
              </w:rPr>
            </w:pPr>
          </w:p>
        </w:tc>
        <w:tc>
          <w:tcPr>
            <w:tcW w:w="1180" w:type="dxa"/>
            <w:vAlign w:val="bottom"/>
            <w:gridSpan w:val="2"/>
          </w:tcPr>
          <w:p>
            <w:pPr>
              <w:ind w:left="800"/>
              <w:spacing w:after="0" w:line="129" w:lineRule="exact"/>
              <w:rPr>
                <w:sz w:val="20"/>
                <w:szCs w:val="20"/>
                <w:color w:val="auto"/>
              </w:rPr>
            </w:pPr>
            <w:r>
              <w:rPr>
                <w:rFonts w:ascii="Arial" w:cs="Arial" w:eastAsia="Arial" w:hAnsi="Arial"/>
                <w:sz w:val="13"/>
                <w:szCs w:val="13"/>
                <w:b w:val="1"/>
                <w:bCs w:val="1"/>
                <w:color w:val="auto"/>
                <w:w w:val="97"/>
              </w:rPr>
              <w:t>88.7%</w:t>
            </w:r>
          </w:p>
        </w:tc>
        <w:tc>
          <w:tcPr>
            <w:tcW w:w="1160" w:type="dxa"/>
            <w:vAlign w:val="bottom"/>
            <w:gridSpan w:val="2"/>
          </w:tcPr>
          <w:p>
            <w:pPr>
              <w:ind w:left="800"/>
              <w:spacing w:after="0" w:line="129" w:lineRule="exact"/>
              <w:rPr>
                <w:sz w:val="20"/>
                <w:szCs w:val="20"/>
                <w:color w:val="auto"/>
              </w:rPr>
            </w:pPr>
            <w:r>
              <w:rPr>
                <w:rFonts w:ascii="Arial" w:cs="Arial" w:eastAsia="Arial" w:hAnsi="Arial"/>
                <w:sz w:val="13"/>
                <w:szCs w:val="13"/>
                <w:b w:val="1"/>
                <w:bCs w:val="1"/>
                <w:color w:val="auto"/>
                <w:w w:val="92"/>
              </w:rPr>
              <w:t>85.7%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581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67,350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67,350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55.7%</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34.0%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California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21,384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21,452</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2,599,130</w:t>
            </w:r>
          </w:p>
        </w:tc>
        <w:tc>
          <w:tcPr>
            <w:tcW w:w="160" w:type="dxa"/>
            <w:vAlign w:val="bottom"/>
          </w:tcPr>
          <w:p>
            <w:pPr>
              <w:spacing w:after="0"/>
              <w:rPr>
                <w:sz w:val="11"/>
                <w:szCs w:val="11"/>
                <w:color w:val="auto"/>
              </w:rPr>
            </w:pP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2,593,630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70.6%</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68.4%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2,047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2,043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229,575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229,355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71.3%</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Connecticut</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61,120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61,120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69.0%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69.0%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7,165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7,196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885,909</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865,039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77.2%</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Georgia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930</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931</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107,710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105,900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79.9%</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Hawaii</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3,512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3,512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201,632</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201,632</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59.9%</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59.9%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Illinois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3,657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3,717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382,803</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396,739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77.8%</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1,686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1,711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183,179</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183,489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76.9%</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Kansas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1,975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1,974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334,750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335,710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81.0%</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522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523</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66,100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66,000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92.1%</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Louisiana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1,012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1,012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134,995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134,995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68.9%</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68.9%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7,402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7,516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853,647</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855,823</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84.1%</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Massachusetts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3,107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3,129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274,213</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274,518</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61.1%</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56.0%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Missouri</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1,522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1,529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274,298</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302,558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78.0%</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Nevada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1,566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1,576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170,375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170,375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80.4%</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3,886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3,888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356,887</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356,595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85.5%</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3"/>
                <w:szCs w:val="13"/>
                <w:color w:val="auto"/>
              </w:rPr>
              <w:t>New Mexico</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132,262</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132,282</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93.1%</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90.4%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North Carolina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3,531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3,599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375,405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378,147</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78.6%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-5618480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-5618480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Arial" w:cs="Arial" w:eastAsia="Arial" w:hAnsi="Arial"/>
                <w:sz w:val="13"/>
                <w:szCs w:val="13"/>
                <w:color w:val="auto"/>
              </w:rPr>
              <w:t>Ohio</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4</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color w:val="auto"/>
              </w:rPr>
              <w:t>1,062</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color w:val="auto"/>
              </w:rPr>
              <w:t>1,074</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156,360</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158,160</w:t>
            </w:r>
          </w:p>
        </w:tc>
        <w:tc>
          <w:tcPr>
            <w:tcW w:w="1180" w:type="dxa"/>
            <w:vAlign w:val="bottom"/>
            <w:gridSpan w:val="2"/>
          </w:tcPr>
          <w:p>
            <w:pPr>
              <w:ind w:left="800"/>
              <w:spacing w:after="0"/>
              <w:rPr>
                <w:sz w:val="20"/>
                <w:szCs w:val="20"/>
                <w:color w:val="auto"/>
              </w:rPr>
            </w:pPr>
            <w:r>
              <w:rPr>
                <w:rFonts w:ascii="Arial" w:cs="Arial" w:eastAsia="Arial" w:hAnsi="Arial"/>
                <w:sz w:val="13"/>
                <w:szCs w:val="13"/>
                <w:color w:val="auto"/>
                <w:w w:val="97"/>
              </w:rPr>
              <w:t>73.3%</w:t>
            </w:r>
          </w:p>
        </w:tc>
        <w:tc>
          <w:tcPr>
            <w:tcW w:w="1160" w:type="dxa"/>
            <w:vAlign w:val="bottom"/>
            <w:gridSpan w:val="2"/>
          </w:tcPr>
          <w:p>
            <w:pPr>
              <w:ind w:left="800"/>
              <w:spacing w:after="0"/>
              <w:rPr>
                <w:sz w:val="20"/>
                <w:szCs w:val="20"/>
                <w:color w:val="auto"/>
              </w:rPr>
            </w:pPr>
            <w:r>
              <w:rPr>
                <w:rFonts w:ascii="Arial" w:cs="Arial" w:eastAsia="Arial" w:hAnsi="Arial"/>
                <w:sz w:val="13"/>
                <w:szCs w:val="13"/>
                <w:color w:val="auto"/>
                <w:w w:val="92"/>
              </w:rPr>
              <w:t>68.4%</w:t>
            </w: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7,371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7,418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868,515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903,930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82.1%</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70.1%</w:t>
            </w: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3"/>
                <w:szCs w:val="13"/>
                <w:color w:val="auto"/>
              </w:rPr>
              <w:t>South Carolina</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1,174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163,292</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161,737</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79.3%</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72.4%</w:t>
            </w: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1,496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1,496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205,225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205,365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87.7%</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87.0%</w:t>
            </w: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3"/>
                <w:szCs w:val="13"/>
                <w:color w:val="auto"/>
              </w:rPr>
              <w:t>Texas</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3,542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3,552</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457,704</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458,292</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83.3%</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83.0%</w:t>
            </w: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Virginia</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1,303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1,303</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114,316</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114,316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87.6%</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89.5%</w:t>
            </w: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3"/>
                <w:szCs w:val="13"/>
                <w:color w:val="auto"/>
              </w:rPr>
              <w:t>Washington</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56,590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56,590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78.9%</w:t>
            </w:r>
          </w:p>
        </w:tc>
        <w:tc>
          <w:tcPr>
            <w:tcW w:w="116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2"/>
              </w:rPr>
              <w:t>78.9%</w:t>
            </w: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Washington, DC</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1,263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1,263</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112,459</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112,459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91.3%</w:t>
            </w:r>
          </w:p>
        </w:tc>
        <w:tc>
          <w:tcPr>
            <w:tcW w:w="116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2"/>
              </w:rPr>
              <w:t>90.9%</w:t>
            </w:r>
          </w:p>
        </w:tc>
      </w:tr>
      <w:tr>
        <w:trPr>
          <w:trHeight w:val="97"/>
        </w:trPr>
        <w:tc>
          <w:tcPr>
            <w:tcW w:w="1840" w:type="dxa"/>
            <w:vAlign w:val="bottom"/>
          </w:tcPr>
          <w:p>
            <w:pPr>
              <w:spacing w:after="0" w:line="97" w:lineRule="exact"/>
              <w:rPr>
                <w:sz w:val="20"/>
                <w:szCs w:val="20"/>
                <w:color w:val="auto"/>
              </w:rPr>
            </w:pPr>
            <w:r>
              <w:rPr>
                <w:rFonts w:ascii="Arial" w:cs="Arial" w:eastAsia="Arial" w:hAnsi="Arial"/>
                <w:sz w:val="11"/>
                <w:szCs w:val="11"/>
                <w:b w:val="1"/>
                <w:bCs w:val="1"/>
                <w:color w:val="auto"/>
              </w:rPr>
              <w:t>Total Stabilized Managed</w:t>
            </w:r>
          </w:p>
        </w:tc>
        <w:tc>
          <w:tcPr>
            <w:tcW w:w="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53"/>
        </w:trPr>
        <w:tc>
          <w:tcPr>
            <w:tcW w:w="1840" w:type="dxa"/>
            <w:vAlign w:val="bottom"/>
          </w:tcPr>
          <w:p>
            <w:pPr>
              <w:ind w:left="180"/>
              <w:spacing w:after="0"/>
              <w:rPr>
                <w:sz w:val="20"/>
                <w:szCs w:val="20"/>
                <w:color w:val="auto"/>
              </w:rPr>
            </w:pPr>
            <w:r>
              <w:rPr>
                <w:rFonts w:ascii="Arial" w:cs="Arial" w:eastAsia="Arial" w:hAnsi="Arial"/>
                <w:sz w:val="13"/>
                <w:szCs w:val="13"/>
                <w:b w:val="1"/>
                <w:bCs w:val="1"/>
                <w:color w:val="auto"/>
              </w:rPr>
              <w:t>Properties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143</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84,753</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85,236</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9,825,801</w:t>
            </w:r>
          </w:p>
        </w:tc>
        <w:tc>
          <w:tcPr>
            <w:tcW w:w="16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9,882,106</w:t>
            </w:r>
          </w:p>
        </w:tc>
        <w:tc>
          <w:tcPr>
            <w:tcW w:w="1180" w:type="dxa"/>
            <w:vAlign w:val="bottom"/>
            <w:gridSpan w:val="2"/>
          </w:tcPr>
          <w:p>
            <w:pPr>
              <w:ind w:left="800"/>
              <w:spacing w:after="0"/>
              <w:rPr>
                <w:sz w:val="20"/>
                <w:szCs w:val="20"/>
                <w:color w:val="auto"/>
              </w:rPr>
            </w:pPr>
            <w:r>
              <w:rPr>
                <w:rFonts w:ascii="Arial" w:cs="Arial" w:eastAsia="Arial" w:hAnsi="Arial"/>
                <w:sz w:val="13"/>
                <w:szCs w:val="13"/>
                <w:b w:val="1"/>
                <w:bCs w:val="1"/>
                <w:color w:val="auto"/>
                <w:w w:val="97"/>
              </w:rPr>
              <w:t>76.9%</w:t>
            </w:r>
          </w:p>
        </w:tc>
        <w:tc>
          <w:tcPr>
            <w:tcW w:w="1160" w:type="dxa"/>
            <w:vAlign w:val="bottom"/>
            <w:gridSpan w:val="2"/>
          </w:tcPr>
          <w:p>
            <w:pPr>
              <w:ind w:left="800"/>
              <w:spacing w:after="0"/>
              <w:rPr>
                <w:sz w:val="20"/>
                <w:szCs w:val="20"/>
                <w:color w:val="auto"/>
              </w:rPr>
            </w:pPr>
            <w:r>
              <w:rPr>
                <w:rFonts w:ascii="Arial" w:cs="Arial" w:eastAsia="Arial" w:hAnsi="Arial"/>
                <w:sz w:val="13"/>
                <w:szCs w:val="13"/>
                <w:b w:val="1"/>
                <w:bCs w:val="1"/>
                <w:color w:val="auto"/>
                <w:w w:val="92"/>
              </w:rPr>
              <w:t>73.1%</w:t>
            </w:r>
          </w:p>
        </w:tc>
      </w:tr>
      <w:tr>
        <w:trPr>
          <w:trHeight w:val="129"/>
        </w:trPr>
        <w:tc>
          <w:tcPr>
            <w:tcW w:w="18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3"/>
                <w:szCs w:val="13"/>
                <w:b w:val="1"/>
                <w:bCs w:val="1"/>
                <w:color w:val="auto"/>
              </w:rPr>
              <w:t>Total Stabilized Properties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775</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513,004</w:t>
            </w:r>
          </w:p>
        </w:tc>
        <w:tc>
          <w:tcPr>
            <w:tcW w:w="1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514,521</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55,796,915</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55,895,905</w:t>
            </w:r>
          </w:p>
        </w:tc>
        <w:tc>
          <w:tcPr>
            <w:tcW w:w="1180" w:type="dxa"/>
            <w:vAlign w:val="bottom"/>
            <w:gridSpan w:val="2"/>
          </w:tcPr>
          <w:p>
            <w:pPr>
              <w:ind w:left="800"/>
              <w:spacing w:after="0" w:line="162" w:lineRule="exact"/>
              <w:rPr>
                <w:sz w:val="20"/>
                <w:szCs w:val="20"/>
                <w:color w:val="auto"/>
              </w:rPr>
            </w:pPr>
            <w:r>
              <w:rPr>
                <w:rFonts w:ascii="Arial" w:cs="Arial" w:eastAsia="Arial" w:hAnsi="Arial"/>
                <w:sz w:val="10"/>
                <w:szCs w:val="10"/>
                <w:b w:val="1"/>
                <w:bCs w:val="1"/>
                <w:color w:val="auto"/>
              </w:rPr>
              <w:t>86.5</w:t>
            </w:r>
            <w:r>
              <w:rPr>
                <w:rFonts w:ascii="Arial" w:cs="Arial" w:eastAsia="Arial" w:hAnsi="Arial"/>
                <w:sz w:val="18"/>
                <w:szCs w:val="18"/>
                <w:b w:val="1"/>
                <w:bCs w:val="1"/>
                <w:color w:val="auto"/>
                <w:vertAlign w:val="superscript"/>
              </w:rPr>
              <w:t>%</w:t>
            </w:r>
          </w:p>
        </w:tc>
        <w:tc>
          <w:tcPr>
            <w:tcW w:w="1160" w:type="dxa"/>
            <w:vAlign w:val="bottom"/>
            <w:gridSpan w:val="2"/>
          </w:tcPr>
          <w:p>
            <w:pPr>
              <w:ind w:left="800"/>
              <w:spacing w:after="0" w:line="162" w:lineRule="exact"/>
              <w:rPr>
                <w:sz w:val="20"/>
                <w:szCs w:val="20"/>
                <w:color w:val="auto"/>
              </w:rPr>
            </w:pPr>
            <w:r>
              <w:rPr>
                <w:rFonts w:ascii="Arial" w:cs="Arial" w:eastAsia="Arial" w:hAnsi="Arial"/>
                <w:sz w:val="10"/>
                <w:szCs w:val="10"/>
                <w:b w:val="1"/>
                <w:bCs w:val="1"/>
                <w:color w:val="auto"/>
              </w:rPr>
              <w:t>83.3</w:t>
            </w:r>
            <w:r>
              <w:rPr>
                <w:rFonts w:ascii="Arial" w:cs="Arial" w:eastAsia="Arial" w:hAnsi="Arial"/>
                <w:sz w:val="18"/>
                <w:szCs w:val="18"/>
                <w:b w:val="1"/>
                <w:bCs w:val="1"/>
                <w:color w:val="auto"/>
                <w:vertAlign w:val="superscript"/>
              </w:rPr>
              <w:t>%</w:t>
            </w:r>
          </w:p>
        </w:tc>
      </w:tr>
      <w:tr>
        <w:trPr>
          <w:trHeight w:val="20"/>
        </w:trPr>
        <w:tc>
          <w:tcPr>
            <w:tcW w:w="1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unit count as of September 30, 2011, which may differ from September 30, 2010 unit count due to unit conversions or expansions.</w:t>
      </w:r>
    </w:p>
    <w:p>
      <w:pPr>
        <w:spacing w:after="0" w:line="201" w:lineRule="exact"/>
        <w:rPr>
          <w:rFonts w:ascii="Arial" w:cs="Arial" w:eastAsia="Arial" w:hAnsi="Arial"/>
          <w:sz w:val="13"/>
          <w:szCs w:val="13"/>
          <w:i w:val="1"/>
          <w:iCs w:val="1"/>
          <w:color w:val="auto"/>
        </w:rPr>
      </w:pPr>
    </w:p>
    <w:p>
      <w:pPr>
        <w:ind w:left="320" w:hanging="312"/>
        <w:spacing w:after="0"/>
        <w:tabs>
          <w:tab w:leader="none" w:pos="3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net rentable square feet as of September 30, 2011, which may differ from September 30, 2010 net rentable square feet due to unit conversions or expansions.</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September 30, 2011 and 2010. The information as of September 30, 2010 is on a pro forma basis as though all the properties owned and/or managed at September 30, 2011 were under our control as of September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Pro forma</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Pro forma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60" w:type="dxa"/>
            <w:vAlign w:val="bottom"/>
          </w:tcPr>
          <w:p>
            <w:pPr>
              <w:spacing w:after="0"/>
              <w:rPr>
                <w:sz w:val="9"/>
                <w:szCs w:val="9"/>
                <w:color w:val="auto"/>
              </w:rPr>
            </w:pPr>
          </w:p>
        </w:tc>
        <w:tc>
          <w:tcPr>
            <w:tcW w:w="12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Net Rentable</w:t>
            </w:r>
          </w:p>
        </w:tc>
        <w:tc>
          <w:tcPr>
            <w:tcW w:w="18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60" w:type="dxa"/>
            <w:vAlign w:val="bottom"/>
          </w:tcPr>
          <w:p>
            <w:pPr>
              <w:spacing w:after="0"/>
              <w:rPr>
                <w:sz w:val="9"/>
                <w:szCs w:val="9"/>
                <w:color w:val="auto"/>
              </w:rPr>
            </w:pPr>
          </w:p>
        </w:tc>
        <w:tc>
          <w:tcPr>
            <w:tcW w:w="10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Square Foot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Number of Units as</w:t>
            </w: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Square Feet as of</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Square Feet as of</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Occupancy %</w:t>
            </w: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Occupancy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of September 30,</w:t>
            </w: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of September 30,</w:t>
            </w: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53"/>
        </w:trPr>
        <w:tc>
          <w:tcPr>
            <w:tcW w:w="184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780" w:type="dxa"/>
            <w:vAlign w:val="bottom"/>
          </w:tcPr>
          <w:p>
            <w:pPr>
              <w:ind w:left="180"/>
              <w:spacing w:after="0"/>
              <w:rPr>
                <w:sz w:val="20"/>
                <w:szCs w:val="20"/>
                <w:color w:val="auto"/>
              </w:rPr>
            </w:pPr>
            <w:r>
              <w:rPr>
                <w:rFonts w:ascii="Arial" w:cs="Arial" w:eastAsia="Arial" w:hAnsi="Arial"/>
                <w:sz w:val="13"/>
                <w:szCs w:val="13"/>
                <w:b w:val="1"/>
                <w:bCs w:val="1"/>
                <w:color w:val="auto"/>
                <w:w w:val="90"/>
              </w:rPr>
              <w:t>Properties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0"/>
              </w:rPr>
              <w:t>2011 (1)</w:t>
            </w: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2"/>
              </w:rPr>
              <w:t>2010</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6"/>
              </w:rPr>
              <w:t>2011 (2)</w:t>
            </w: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Wholly-owned properties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Arizona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636</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71,355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28.3%</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2"/>
              </w:rPr>
              <w:t>13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9,234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8,581</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1,018,121</w:t>
            </w: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933,536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72.5%</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Florida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6,562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4,998</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644,190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489,135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50.7%</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1,981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1,999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251,566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253,118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78.9%</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1,407</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151,020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151,020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72.1%</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2,448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1,631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241,895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156,870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51.9%</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74,025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74,295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65.9%</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1,237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1,268</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126,510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127,155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77.2%</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New York</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664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674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42,486</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42,563</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78.2%</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Oregon</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718</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744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75,950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75,970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76.5%</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Tennessee</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68,750</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69,550</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68.5%</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Texas</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1,056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1,056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152,760</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152,760</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68.0%</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Total Wholly-Owned Lease up</w:t>
            </w: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39</w:t>
            </w:r>
          </w:p>
        </w:tc>
        <w:tc>
          <w:tcPr>
            <w:tcW w:w="180" w:type="dxa"/>
            <w:vAlign w:val="bottom"/>
            <w:vMerge w:val="continue"/>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27,025</w:t>
            </w:r>
          </w:p>
        </w:tc>
        <w:tc>
          <w:tcPr>
            <w:tcW w:w="180" w:type="dxa"/>
            <w:vAlign w:val="bottom"/>
            <w:vMerge w:val="continue"/>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23,468</w:t>
            </w:r>
          </w:p>
        </w:tc>
        <w:tc>
          <w:tcPr>
            <w:tcW w:w="18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2,918,628</w:t>
            </w:r>
          </w:p>
        </w:tc>
        <w:tc>
          <w:tcPr>
            <w:tcW w:w="1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2,525,972</w:t>
            </w:r>
          </w:p>
        </w:tc>
        <w:tc>
          <w:tcPr>
            <w:tcW w:w="180" w:type="dxa"/>
            <w:vAlign w:val="bottom"/>
            <w:vMerge w:val="continue"/>
          </w:tcPr>
          <w:p>
            <w:pPr>
              <w:spacing w:after="0"/>
              <w:rPr>
                <w:sz w:val="11"/>
                <w:szCs w:val="11"/>
                <w:color w:val="auto"/>
              </w:rPr>
            </w:pPr>
          </w:p>
        </w:tc>
        <w:tc>
          <w:tcPr>
            <w:tcW w:w="1180" w:type="dxa"/>
            <w:vAlign w:val="bottom"/>
            <w:gridSpan w:val="2"/>
          </w:tcPr>
          <w:p>
            <w:pPr>
              <w:ind w:left="800"/>
              <w:spacing w:after="0" w:line="129" w:lineRule="exact"/>
              <w:rPr>
                <w:sz w:val="20"/>
                <w:szCs w:val="20"/>
                <w:color w:val="auto"/>
              </w:rPr>
            </w:pPr>
            <w:r>
              <w:rPr>
                <w:rFonts w:ascii="Arial" w:cs="Arial" w:eastAsia="Arial" w:hAnsi="Arial"/>
                <w:sz w:val="13"/>
                <w:szCs w:val="13"/>
                <w:b w:val="1"/>
                <w:bCs w:val="1"/>
                <w:color w:val="auto"/>
                <w:w w:val="97"/>
              </w:rPr>
              <w:t>65.3%</w:t>
            </w:r>
          </w:p>
        </w:tc>
        <w:tc>
          <w:tcPr>
            <w:tcW w:w="11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48.0%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Joint-venture properties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2,380</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2,350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216,218</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216,568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78.2%</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1,307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1,206</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131,418</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120,616</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70.8%</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w w:val="96"/>
              </w:rPr>
              <w:t>Total Lease up Joint-Ventures</w:t>
            </w: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2"/>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w:t>
            </w:r>
          </w:p>
        </w:tc>
        <w:tc>
          <w:tcPr>
            <w:tcW w:w="180" w:type="dxa"/>
            <w:vAlign w:val="bottom"/>
            <w:vMerge w:val="continue"/>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3,687</w:t>
            </w:r>
          </w:p>
        </w:tc>
        <w:tc>
          <w:tcPr>
            <w:tcW w:w="180" w:type="dxa"/>
            <w:vAlign w:val="bottom"/>
            <w:vMerge w:val="continue"/>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3,556</w:t>
            </w:r>
          </w:p>
        </w:tc>
        <w:tc>
          <w:tcPr>
            <w:tcW w:w="18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347,636</w:t>
            </w:r>
          </w:p>
        </w:tc>
        <w:tc>
          <w:tcPr>
            <w:tcW w:w="16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337,184</w:t>
            </w:r>
          </w:p>
        </w:tc>
        <w:tc>
          <w:tcPr>
            <w:tcW w:w="180" w:type="dxa"/>
            <w:vAlign w:val="bottom"/>
            <w:vMerge w:val="continue"/>
            <w:shd w:val="clear" w:color="auto" w:fill="CCEEFF"/>
          </w:tcPr>
          <w:p>
            <w:pPr>
              <w:spacing w:after="0"/>
              <w:rPr>
                <w:sz w:val="11"/>
                <w:szCs w:val="11"/>
                <w:color w:val="auto"/>
              </w:rPr>
            </w:pPr>
          </w:p>
        </w:tc>
        <w:tc>
          <w:tcPr>
            <w:tcW w:w="1180" w:type="dxa"/>
            <w:vAlign w:val="bottom"/>
            <w:gridSpan w:val="2"/>
            <w:shd w:val="clear" w:color="auto" w:fill="CCEEFF"/>
          </w:tcPr>
          <w:p>
            <w:pPr>
              <w:ind w:left="800"/>
              <w:spacing w:after="0" w:line="129" w:lineRule="exact"/>
              <w:rPr>
                <w:sz w:val="20"/>
                <w:szCs w:val="20"/>
                <w:color w:val="auto"/>
              </w:rPr>
            </w:pPr>
            <w:r>
              <w:rPr>
                <w:rFonts w:ascii="Arial" w:cs="Arial" w:eastAsia="Arial" w:hAnsi="Arial"/>
                <w:sz w:val="13"/>
                <w:szCs w:val="13"/>
                <w:b w:val="1"/>
                <w:bCs w:val="1"/>
                <w:color w:val="auto"/>
                <w:w w:val="97"/>
              </w:rPr>
              <w:t>75.4%</w:t>
            </w:r>
          </w:p>
        </w:tc>
        <w:tc>
          <w:tcPr>
            <w:tcW w:w="1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1,742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236,369</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236,239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70.7%</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572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572</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59,246</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59,246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50.3%</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Florida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6,547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6,631</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622,582</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623,785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58.8%</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3,565</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3,585</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533,601</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535,336</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65.2%</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1,928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1,960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160,495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161,378</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68.0%</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1,187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1,199</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122,808</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123,048</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63.3%</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845</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850</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78,295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78,295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92.3%</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906</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46,197</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46,197</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55.9%</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North Carolina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104,665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104,665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79.6%</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1,984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1,991</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173,059</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173,019</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68.8%</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Rhode Island</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977</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985</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91,075</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90,995</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43.2%</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South Carolina</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734</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760</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76,435</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76,575</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63.9%</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Texas</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1,594</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1,594</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172,447</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172,447</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24.7%</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657</w:t>
            </w:r>
          </w:p>
        </w:tc>
        <w:tc>
          <w:tcPr>
            <w:tcW w:w="1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654</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75,751</w:t>
            </w:r>
          </w:p>
        </w:tc>
        <w:tc>
          <w:tcPr>
            <w:tcW w:w="1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75,601</w:t>
            </w:r>
          </w:p>
        </w:tc>
        <w:tc>
          <w:tcPr>
            <w:tcW w:w="1180" w:type="dxa"/>
            <w:vAlign w:val="bottom"/>
            <w:gridSpan w:val="2"/>
            <w:shd w:val="clear" w:color="auto" w:fill="CCEEFF"/>
          </w:tcPr>
          <w:p>
            <w:pPr>
              <w:ind w:left="800"/>
              <w:spacing w:after="0" w:line="135" w:lineRule="exact"/>
              <w:rPr>
                <w:sz w:val="20"/>
                <w:szCs w:val="20"/>
                <w:color w:val="auto"/>
              </w:rPr>
            </w:pPr>
            <w:r>
              <w:rPr>
                <w:rFonts w:ascii="Arial" w:cs="Arial" w:eastAsia="Arial" w:hAnsi="Arial"/>
                <w:sz w:val="13"/>
                <w:szCs w:val="13"/>
                <w:color w:val="auto"/>
                <w:w w:val="97"/>
              </w:rPr>
              <w:t>93.5%</w:t>
            </w:r>
          </w:p>
        </w:tc>
        <w:tc>
          <w:tcPr>
            <w:tcW w:w="1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Virginia</w:t>
            </w:r>
          </w:p>
        </w:tc>
        <w:tc>
          <w:tcPr>
            <w:tcW w:w="78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458</w:t>
            </w:r>
          </w:p>
        </w:tc>
        <w:tc>
          <w:tcPr>
            <w:tcW w:w="16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459</w:t>
            </w: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63,794</w:t>
            </w:r>
          </w:p>
        </w:tc>
        <w:tc>
          <w:tcPr>
            <w:tcW w:w="1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63,709</w:t>
            </w:r>
          </w:p>
        </w:tc>
        <w:tc>
          <w:tcPr>
            <w:tcW w:w="1180" w:type="dxa"/>
            <w:vAlign w:val="bottom"/>
            <w:gridSpan w:val="2"/>
          </w:tcPr>
          <w:p>
            <w:pPr>
              <w:ind w:left="800"/>
              <w:spacing w:after="0" w:line="135" w:lineRule="exact"/>
              <w:rPr>
                <w:sz w:val="20"/>
                <w:szCs w:val="20"/>
                <w:color w:val="auto"/>
              </w:rPr>
            </w:pPr>
            <w:r>
              <w:rPr>
                <w:rFonts w:ascii="Arial" w:cs="Arial" w:eastAsia="Arial" w:hAnsi="Arial"/>
                <w:sz w:val="13"/>
                <w:szCs w:val="13"/>
                <w:color w:val="auto"/>
                <w:w w:val="97"/>
              </w:rPr>
              <w:t>89.6%</w:t>
            </w:r>
          </w:p>
        </w:tc>
        <w:tc>
          <w:tcPr>
            <w:tcW w:w="11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820" w:type="dxa"/>
            <w:vAlign w:val="bottom"/>
            <w:tcBorders>
              <w:top w:val="single" w:sz="8" w:color="CCEEFF"/>
            </w:tcBorders>
            <w:gridSpan w:val="2"/>
            <w:shd w:val="clear" w:color="auto" w:fill="CCEEFF"/>
          </w:tcPr>
          <w:p>
            <w:pPr>
              <w:spacing w:after="0" w:line="97" w:lineRule="exact"/>
              <w:rPr>
                <w:sz w:val="20"/>
                <w:szCs w:val="20"/>
                <w:color w:val="auto"/>
              </w:rPr>
            </w:pPr>
            <w:r>
              <w:rPr>
                <w:rFonts w:ascii="Arial" w:cs="Arial" w:eastAsia="Arial" w:hAnsi="Arial"/>
                <w:sz w:val="11"/>
                <w:szCs w:val="11"/>
                <w:b w:val="1"/>
                <w:bCs w:val="1"/>
                <w:color w:val="auto"/>
              </w:rPr>
              <w:t>Total Lease up Managed</w:t>
            </w: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Properties</w:t>
            </w: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w w:val="82"/>
              </w:rPr>
              <w:t>35</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24,348</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24,539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2,616,819</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2,620,535</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3"/>
                <w:szCs w:val="13"/>
                <w:b w:val="1"/>
                <w:bCs w:val="1"/>
                <w:color w:val="auto"/>
                <w:w w:val="97"/>
              </w:rPr>
              <w:t>63.3%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Lease up Properties</w:t>
            </w:r>
          </w:p>
        </w:tc>
        <w:tc>
          <w:tcPr>
            <w:tcW w:w="7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w w:val="82"/>
              </w:rPr>
              <w:t>79</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55,060</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51,563</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5,883,083</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5,483,691</w:t>
            </w:r>
          </w:p>
        </w:tc>
        <w:tc>
          <w:tcPr>
            <w:tcW w:w="1180" w:type="dxa"/>
            <w:vAlign w:val="bottom"/>
            <w:gridSpan w:val="2"/>
            <w:shd w:val="clear" w:color="auto" w:fill="CCEEFF"/>
          </w:tcPr>
          <w:p>
            <w:pPr>
              <w:ind w:left="800"/>
              <w:spacing w:after="0" w:line="162" w:lineRule="exact"/>
              <w:rPr>
                <w:sz w:val="20"/>
                <w:szCs w:val="20"/>
                <w:color w:val="auto"/>
              </w:rPr>
            </w:pPr>
            <w:r>
              <w:rPr>
                <w:rFonts w:ascii="Arial" w:cs="Arial" w:eastAsia="Arial" w:hAnsi="Arial"/>
                <w:sz w:val="10"/>
                <w:szCs w:val="10"/>
                <w:b w:val="1"/>
                <w:bCs w:val="1"/>
                <w:color w:val="auto"/>
              </w:rPr>
              <w:t>65.0</w:t>
            </w:r>
            <w:r>
              <w:rPr>
                <w:rFonts w:ascii="Arial" w:cs="Arial" w:eastAsia="Arial" w:hAnsi="Arial"/>
                <w:sz w:val="18"/>
                <w:szCs w:val="18"/>
                <w:b w:val="1"/>
                <w:bCs w:val="1"/>
                <w:color w:val="auto"/>
                <w:vertAlign w:val="superscript"/>
              </w:rPr>
              <w:t>%</w:t>
            </w:r>
          </w:p>
        </w:tc>
        <w:tc>
          <w:tcPr>
            <w:tcW w:w="11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0"/>
                <w:szCs w:val="10"/>
                <w:b w:val="1"/>
                <w:bCs w:val="1"/>
                <w:color w:val="auto"/>
              </w:rPr>
              <w:t>48.6</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unit count as of September 30, 2011, which may differ from September 30, 2010 unit count due to unit conversions or expansions.</w:t>
      </w:r>
    </w:p>
    <w:p>
      <w:pPr>
        <w:spacing w:after="0" w:line="201" w:lineRule="exact"/>
        <w:rPr>
          <w:rFonts w:ascii="Arial" w:cs="Arial" w:eastAsia="Arial" w:hAnsi="Arial"/>
          <w:sz w:val="13"/>
          <w:szCs w:val="13"/>
          <w:i w:val="1"/>
          <w:iCs w:val="1"/>
          <w:color w:val="auto"/>
        </w:rPr>
      </w:pPr>
    </w:p>
    <w:p>
      <w:pPr>
        <w:ind w:left="180" w:hanging="172"/>
        <w:spacing w:after="0"/>
        <w:tabs>
          <w:tab w:leader="none" w:pos="18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net rentable square feet as of September 30, 2011, which may differ from September 30, 2010 net rentable square feet due to unit conversions or expansions.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Results for the three and nine months ended September 30, 2011 include the operations of 676 properties (329 of which were consolidated and 347 of which were in joint ventures accounted for using the equity method) compared to the results for the three and nine months ended September 30, 2010, which included the operations of 652 properties (285 of which were consolidated and 367 of which were in joint ventures accounted for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Three Months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Nine Months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14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69,475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59,332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195,265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172,261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23,004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franchise fees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22,889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19,026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3,863</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Property Rental — </w:t>
      </w:r>
      <w:r>
        <w:rPr>
          <w:rFonts w:ascii="Arial" w:cs="Arial" w:eastAsia="Arial" w:hAnsi="Arial"/>
          <w:sz w:val="17"/>
          <w:szCs w:val="17"/>
          <w:color w:val="auto"/>
        </w:rPr>
        <w:t>The increases in property rental revenues for the three and nine months ended September 30, 2011 consist primarily of increases of</w:t>
      </w:r>
      <w:r>
        <w:rPr>
          <w:rFonts w:ascii="Arial" w:cs="Arial" w:eastAsia="Arial" w:hAnsi="Arial"/>
          <w:sz w:val="17"/>
          <w:szCs w:val="17"/>
          <w:b w:val="1"/>
          <w:bCs w:val="1"/>
          <w:color w:val="auto"/>
        </w:rPr>
        <w:t xml:space="preserve"> </w:t>
      </w:r>
      <w:r>
        <w:rPr>
          <w:rFonts w:ascii="Arial" w:cs="Arial" w:eastAsia="Arial" w:hAnsi="Arial"/>
          <w:sz w:val="17"/>
          <w:szCs w:val="17"/>
          <w:color w:val="auto"/>
        </w:rPr>
        <w:t>$5,736 and $12,021, respectively, associated with acquisitions completed in 2011 and 2010, increases of $2,527 and $6,900, respectively, resulting from increases in occupancy and rental rates to existing customers at our stabilized properties, and increases of $1,880 and $5,004, respectively, related to increases in occupancy at our lease-up properties. For the nine months ended September 30, 2011, these increases were partially offset by a $921 decrease associated with the sale of 19 properties to Harrison Street Real Estate Capital, LLC (Harrison Street) in January 2010.</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Management and Franchise Fees — </w:t>
      </w:r>
      <w:r>
        <w:rPr>
          <w:rFonts w:ascii="Arial" w:cs="Arial" w:eastAsia="Arial" w:hAnsi="Arial"/>
          <w:sz w:val="17"/>
          <w:szCs w:val="17"/>
          <w:color w:val="auto"/>
        </w:rPr>
        <w:t>Our taxable REIT subsidiary, Extra Space Management, Inc. manages properties owned by our joint ventures,</w:t>
      </w:r>
      <w:r>
        <w:rPr>
          <w:rFonts w:ascii="Arial" w:cs="Arial" w:eastAsia="Arial" w:hAnsi="Arial"/>
          <w:sz w:val="17"/>
          <w:szCs w:val="17"/>
          <w:b w:val="1"/>
          <w:bCs w:val="1"/>
          <w:color w:val="auto"/>
        </w:rPr>
        <w:t xml:space="preserve"> </w:t>
      </w:r>
      <w:r>
        <w:rPr>
          <w:rFonts w:ascii="Arial" w:cs="Arial" w:eastAsia="Arial" w:hAnsi="Arial"/>
          <w:sz w:val="17"/>
          <w:szCs w:val="17"/>
          <w:color w:val="auto"/>
        </w:rPr>
        <w:t>franchisees and third parties. Management and franchise fees generally represent 6% of revenues generated from properties owned by third parties, franchisees, and unconsolidated joint ventures. The increases in management and franchise fees are related to the additional fees earned from the joint venture with Harrison Street and to the increase in third-party managed properties compared to the same periods in the prior year. We managed 178 third-party properties as of September 30, 2011 compared to 157 third-party properties as of September 30, 2010.</w:t>
      </w:r>
    </w:p>
    <w:p>
      <w:pPr>
        <w:spacing w:after="0" w:line="16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increases in tenant reinsurance revenues were partially due to the increase of overall customer participation to 64.1% at</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2011 compared to 59.0% at September 30, 2010. In addition, the increases relate to the properties that were acquired in 2011 and 2010. Also, we had 178 properties under management at September 30, 2011 compared to 157 at September 30,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Nine Months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Property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24,270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21,334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2,936</w:t>
            </w:r>
          </w:p>
        </w:tc>
        <w:tc>
          <w:tcPr>
            <w:tcW w:w="1300" w:type="dxa"/>
            <w:vAlign w:val="bottom"/>
            <w:gridSpan w:val="3"/>
          </w:tcPr>
          <w:p>
            <w:pPr>
              <w:jc w:val="right"/>
              <w:ind w:right="5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70,326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64,231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6,095</w:t>
            </w:r>
          </w:p>
        </w:tc>
        <w:tc>
          <w:tcPr>
            <w:tcW w:w="2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180"/>
              <w:spacing w:after="0" w:line="201" w:lineRule="exact"/>
              <w:rPr>
                <w:sz w:val="20"/>
                <w:szCs w:val="20"/>
                <w:color w:val="auto"/>
              </w:rPr>
            </w:pPr>
            <w:r>
              <w:rPr>
                <w:rFonts w:ascii="Arial" w:cs="Arial" w:eastAsia="Arial" w:hAnsi="Arial"/>
                <w:sz w:val="18"/>
                <w:szCs w:val="18"/>
                <w:color w:val="auto"/>
              </w:rPr>
              <w:t>Unrecovered development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8"/>
                <w:szCs w:val="18"/>
                <w:color w:val="auto"/>
              </w:rPr>
              <w:t>and acquisition costs</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300" w:type="dxa"/>
            <w:vAlign w:val="bottom"/>
            <w:gridSpan w:val="3"/>
          </w:tcPr>
          <w:p>
            <w:pPr>
              <w:jc w:val="right"/>
              <w:ind w:right="5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1,742</w:t>
            </w:r>
          </w:p>
        </w:tc>
        <w:tc>
          <w:tcPr>
            <w:tcW w:w="2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411.8%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sublease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12,306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1,688</w:t>
            </w:r>
          </w:p>
        </w:tc>
        <w:tc>
          <w:tcPr>
            <w:tcW w:w="1300" w:type="dxa"/>
            <w:vAlign w:val="bottom"/>
            <w:gridSpan w:val="3"/>
          </w:tcPr>
          <w:p>
            <w:pPr>
              <w:jc w:val="right"/>
              <w:ind w:right="5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36,396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32,903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14,364</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1,845</w:t>
            </w:r>
          </w:p>
        </w:tc>
        <w:tc>
          <w:tcPr>
            <w:tcW w:w="1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42,041</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37,140</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39"/>
              <w:spacing w:after="0"/>
              <w:rPr>
                <w:sz w:val="20"/>
                <w:szCs w:val="20"/>
                <w:color w:val="auto"/>
              </w:rPr>
            </w:pPr>
            <w:r>
              <w:rPr>
                <w:rFonts w:ascii="Arial" w:cs="Arial" w:eastAsia="Arial" w:hAnsi="Arial"/>
                <w:sz w:val="18"/>
                <w:szCs w:val="18"/>
                <w:color w:val="auto"/>
                <w:w w:val="89"/>
              </w:rPr>
              <w:t>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Property Operations — </w:t>
      </w:r>
      <w:r>
        <w:rPr>
          <w:rFonts w:ascii="Arial" w:cs="Arial" w:eastAsia="Arial" w:hAnsi="Arial"/>
          <w:sz w:val="18"/>
          <w:szCs w:val="18"/>
          <w:color w:val="auto"/>
        </w:rPr>
        <w:t>The increases in property operations expense during the three and nine months ended September 30, 2011 consist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of $2,278 and $5,168, respectively, associated with acquisitions completed in 2011 and 2010 and increases of $731 and $1,599, respectively, related to increases in expenses at our lease-up properties. These increases for the three and nine months ended September 30, 2011 were offset by decreases in expenses of $73 and $362, respectively, as a result of a reduction of expenses at our stabilized properties, which related mainly to property taxes, advertising and utilities expenses. For the nine months ended September 30, 2011, there was also a decrease in expenses of $310 related to the sale of 19 properties to Harrison Street in January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Tenant reinsurance expense represents the costs that are incurred to provide tenant reinsurance.</w:t>
      </w:r>
    </w:p>
    <w:p>
      <w:pPr>
        <w:spacing w:after="0" w:line="22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Unrecovered Development and Acquisition Costs — </w:t>
      </w:r>
      <w:r>
        <w:rPr>
          <w:rFonts w:ascii="Arial" w:cs="Arial" w:eastAsia="Arial" w:hAnsi="Arial"/>
          <w:sz w:val="18"/>
          <w:szCs w:val="18"/>
          <w:color w:val="auto"/>
        </w:rPr>
        <w:t>Unrecovered development and acquisition costs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2011 and 2010 relate to costs associated with the acquisition of properties during the periods indicated. The increases were due to increased acquisition activity over the prior year. We acquired 27 properties during the nine months ended September 30, 2011 compared to seven properties during the same period in 2010. For the nine months ended September 30, 2011, the increase also reflects expenses related to a portfolio of 19 properties that was acquired subsequent to the quarter end.</w:t>
      </w:r>
    </w:p>
    <w:p>
      <w:pPr>
        <w:spacing w:after="0" w:line="184"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 xml:space="preserve">Loss on Sublease — </w:t>
      </w:r>
      <w:r>
        <w:rPr>
          <w:rFonts w:ascii="Arial" w:cs="Arial" w:eastAsia="Arial" w:hAnsi="Arial"/>
          <w:sz w:val="17"/>
          <w:szCs w:val="17"/>
          <w:color w:val="auto"/>
        </w:rPr>
        <w:t>The costs incurred during the three and nine months ended September 30, 2010 represents a $2,000 expense relating to the bankruptcy</w:t>
      </w:r>
      <w:r>
        <w:rPr>
          <w:rFonts w:ascii="Arial" w:cs="Arial" w:eastAsia="Arial" w:hAnsi="Arial"/>
          <w:sz w:val="17"/>
          <w:szCs w:val="17"/>
          <w:b w:val="1"/>
          <w:bCs w:val="1"/>
          <w:color w:val="auto"/>
        </w:rPr>
        <w:t xml:space="preserve"> </w:t>
      </w:r>
      <w:r>
        <w:rPr>
          <w:rFonts w:ascii="Arial" w:cs="Arial" w:eastAsia="Arial" w:hAnsi="Arial"/>
          <w:sz w:val="17"/>
          <w:szCs w:val="17"/>
          <w:color w:val="auto"/>
        </w:rPr>
        <w:t>of a tenant subleasing office space from us in Memphis, Tennessee. The Memphis, Tennessee office lease was a liability assumed as part of the Storage USA acquisition in July, 2005. There were no such losses incurred during the three and nine months ended September 30, 2011.</w:t>
      </w:r>
    </w:p>
    <w:p>
      <w:pPr>
        <w:spacing w:after="0" w:line="15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increases in general and administrative expenses for the three and nine months ended September 30, 2011 were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overall cost associated with the management and acquisition of additional properties. During the nine months ended September 30, 2011, we purchased 27 properties, 19 of which we did not previously manage. In addition, we managed 178 third-party properties as of September 30, 2011 compared to 157 third-party properties as of September 30, 2010.</w:t>
      </w:r>
    </w:p>
    <w:p>
      <w:pPr>
        <w:spacing w:after="0" w:line="180"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Depreciation and amortization expense increased as a result of the acquisition of 17 properties and the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four development properties in 2010 and the acquisition of 27 properties and the completion of five development properties during the first nine months of 2011.</w:t>
      </w:r>
    </w:p>
    <w:p>
      <w:pPr>
        <w:sectPr>
          <w:pgSz w:w="11900" w:h="16838" w:orient="portrait"/>
          <w:cols w:equalWidth="0" w:num="1">
            <w:col w:w="11460"/>
          </w:cols>
          <w:pgMar w:left="240" w:top="125" w:right="19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Nine Months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 Change</w:t>
            </w:r>
          </w:p>
        </w:tc>
        <w:tc>
          <w:tcPr>
            <w:tcW w:w="12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Ended September 30,</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 Change</w:t>
            </w: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revenue and expenses: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(16,756)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(1,054)</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(49,431)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(49,209)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Non-cash interest expense related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amortization of discount 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exchangeable senior notes</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Interest income on note receivable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Preferred Operating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 unit holder</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20" w:type="dxa"/>
            <w:vAlign w:val="bottom"/>
          </w:tcPr>
          <w:p>
            <w:pPr>
              <w:ind w:left="180"/>
              <w:spacing w:after="0" w:line="201" w:lineRule="exact"/>
              <w:rPr>
                <w:sz w:val="20"/>
                <w:szCs w:val="20"/>
                <w:color w:val="auto"/>
              </w:rPr>
            </w:pPr>
            <w:r>
              <w:rPr>
                <w:rFonts w:ascii="Arial" w:cs="Arial" w:eastAsia="Arial" w:hAnsi="Arial"/>
                <w:sz w:val="18"/>
                <w:szCs w:val="18"/>
                <w:color w:val="auto"/>
              </w:rPr>
              <w:t>Equity in earnings of real estate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360"/>
              <w:spacing w:after="0"/>
              <w:rPr>
                <w:sz w:val="20"/>
                <w:szCs w:val="20"/>
                <w:color w:val="auto"/>
              </w:rPr>
            </w:pPr>
            <w:r>
              <w:rPr>
                <w:rFonts w:ascii="Arial" w:cs="Arial" w:eastAsia="Arial" w:hAnsi="Arial"/>
                <w:sz w:val="18"/>
                <w:szCs w:val="18"/>
                <w:color w:val="auto"/>
              </w:rPr>
              <w:t>ventures</w:t>
            </w: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1,873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6,060</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1,264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2,744</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Arial" w:cs="Arial" w:eastAsia="Arial" w:hAnsi="Arial"/>
                <w:sz w:val="18"/>
                <w:szCs w:val="18"/>
                <w:color w:val="auto"/>
              </w:rPr>
              <w:t>Total other revenue (expense)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(41,088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(44,644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Interest Expense — </w:t>
      </w:r>
      <w:r>
        <w:rPr>
          <w:rFonts w:ascii="Arial" w:cs="Arial" w:eastAsia="Arial" w:hAnsi="Arial"/>
          <w:sz w:val="16"/>
          <w:szCs w:val="16"/>
          <w:color w:val="auto"/>
        </w:rPr>
        <w:t>The increases in interest expense for the three and nine months ended September 30, 2011 were primarily the result of costs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prepaying certain loans and an increase in the average amount of our debt outstanding when compared with the same period of the prior year.</w:t>
      </w:r>
    </w:p>
    <w:p>
      <w:pPr>
        <w:spacing w:after="0" w:line="11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Non-cash Interest Expense Related to Amortization of Discount on Exchangeable Senior Notes — </w:t>
      </w:r>
      <w:r>
        <w:rPr>
          <w:rFonts w:ascii="Arial" w:cs="Arial" w:eastAsia="Arial" w:hAnsi="Arial"/>
          <w:sz w:val="18"/>
          <w:szCs w:val="18"/>
          <w:color w:val="auto"/>
        </w:rPr>
        <w:t>Represents the amortization of the discount on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senior notes, which reflects the effective interest rate relative to the carrying amount of the liability.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Interest income represents amounts earned on cash and cash equivalents deposited with financial institutions.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Equity in Earnings of Real Estate Ventures — </w:t>
      </w:r>
      <w:r>
        <w:rPr>
          <w:rFonts w:ascii="Arial" w:cs="Arial" w:eastAsia="Arial" w:hAnsi="Arial"/>
          <w:sz w:val="17"/>
          <w:szCs w:val="17"/>
          <w:color w:val="auto"/>
        </w:rPr>
        <w:t>The increases in equity in earnings of real estate ventures for the three and nine months ended</w:t>
      </w:r>
    </w:p>
    <w:p>
      <w:pPr>
        <w:spacing w:after="0" w:line="3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September 30, 2011 were due primarily to increased revenues at these joint ventures as a result of increases in occupancy and rental rates to new and existing customers. In addition, we recognized an additional $330 related to gains (net of losses) on property sales from joint ventures during the nine months ended September 30, 2011.</w:t>
      </w:r>
    </w:p>
    <w:p>
      <w:pPr>
        <w:spacing w:after="0" w:line="186"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decreases in income tax expense primarily relate to a solar tax credit. For the nine months ended September 30,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related to the credit was partially offset by increased taxes resulting from increased tenant reinsurance income earned by our taxable REIT subsidiary.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right"/>
              <w:ind w:right="437"/>
              <w:spacing w:after="0"/>
              <w:rPr>
                <w:sz w:val="20"/>
                <w:szCs w:val="20"/>
                <w:color w:val="auto"/>
              </w:rPr>
            </w:pPr>
            <w:r>
              <w:rPr>
                <w:rFonts w:ascii="Arial" w:cs="Arial" w:eastAsia="Arial" w:hAnsi="Arial"/>
                <w:sz w:val="13"/>
                <w:szCs w:val="13"/>
                <w:b w:val="1"/>
                <w:bCs w:val="1"/>
                <w:color w:val="auto"/>
                <w:w w:val="96"/>
              </w:rPr>
              <w:t>For the Three Months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ind w:left="120"/>
              <w:spacing w:after="0"/>
              <w:rPr>
                <w:sz w:val="20"/>
                <w:szCs w:val="20"/>
                <w:color w:val="auto"/>
              </w:rPr>
            </w:pPr>
            <w:r>
              <w:rPr>
                <w:rFonts w:ascii="Arial" w:cs="Arial" w:eastAsia="Arial" w:hAnsi="Arial"/>
                <w:sz w:val="13"/>
                <w:szCs w:val="13"/>
                <w:b w:val="1"/>
                <w:bCs w:val="1"/>
                <w:color w:val="auto"/>
              </w:rPr>
              <w:t>For the Nine Months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457"/>
              <w:spacing w:after="0"/>
              <w:rPr>
                <w:sz w:val="20"/>
                <w:szCs w:val="20"/>
                <w:color w:val="auto"/>
              </w:rPr>
            </w:pPr>
            <w:r>
              <w:rPr>
                <w:rFonts w:ascii="Arial" w:cs="Arial" w:eastAsia="Arial" w:hAnsi="Arial"/>
                <w:sz w:val="13"/>
                <w:szCs w:val="13"/>
                <w:b w:val="1"/>
                <w:bCs w:val="1"/>
                <w:color w:val="auto"/>
                <w:w w:val="95"/>
              </w:rPr>
              <w:t>Ended September 30,</w:t>
            </w:r>
          </w:p>
        </w:tc>
        <w:tc>
          <w:tcPr>
            <w:tcW w:w="100" w:type="dxa"/>
            <w:vAlign w:val="bottom"/>
          </w:tcPr>
          <w:p>
            <w:pPr>
              <w:spacing w:after="0"/>
              <w:rPr>
                <w:sz w:val="13"/>
                <w:szCs w:val="13"/>
                <w:color w:val="auto"/>
              </w:rPr>
            </w:pPr>
          </w:p>
        </w:tc>
        <w:tc>
          <w:tcPr>
            <w:tcW w:w="94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w w:val="92"/>
              </w:rPr>
              <w:t>$ Change</w:t>
            </w:r>
          </w:p>
        </w:tc>
        <w:tc>
          <w:tcPr>
            <w:tcW w:w="1040" w:type="dxa"/>
            <w:vAlign w:val="bottom"/>
            <w:gridSpan w:val="2"/>
            <w:vMerge w:val="restart"/>
          </w:tcPr>
          <w:p>
            <w:pPr>
              <w:jc w:val="right"/>
              <w:ind w:right="297"/>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1760" w:type="dxa"/>
            <w:vAlign w:val="bottom"/>
            <w:gridSpan w:val="6"/>
          </w:tcPr>
          <w:p>
            <w:pPr>
              <w:ind w:left="120"/>
              <w:spacing w:after="0"/>
              <w:rPr>
                <w:sz w:val="20"/>
                <w:szCs w:val="20"/>
                <w:color w:val="auto"/>
              </w:rPr>
            </w:pPr>
            <w:r>
              <w:rPr>
                <w:rFonts w:ascii="Arial" w:cs="Arial" w:eastAsia="Arial" w:hAnsi="Arial"/>
                <w:sz w:val="13"/>
                <w:szCs w:val="13"/>
                <w:b w:val="1"/>
                <w:bCs w:val="1"/>
                <w:color w:val="auto"/>
              </w:rPr>
              <w:t>Ended September 30,</w:t>
            </w:r>
          </w:p>
        </w:tc>
        <w:tc>
          <w:tcPr>
            <w:tcW w:w="100" w:type="dxa"/>
            <w:vAlign w:val="bottom"/>
          </w:tcPr>
          <w:p>
            <w:pPr>
              <w:spacing w:after="0"/>
              <w:rPr>
                <w:sz w:val="13"/>
                <w:szCs w:val="13"/>
                <w:color w:val="auto"/>
              </w:rPr>
            </w:pPr>
          </w:p>
        </w:tc>
        <w:tc>
          <w:tcPr>
            <w:tcW w:w="900" w:type="dxa"/>
            <w:vAlign w:val="bottom"/>
            <w:gridSpan w:val="2"/>
            <w:vMerge w:val="restart"/>
          </w:tcPr>
          <w:p>
            <w:pPr>
              <w:jc w:val="right"/>
              <w:ind w:right="318"/>
              <w:spacing w:after="0"/>
              <w:rPr>
                <w:sz w:val="20"/>
                <w:szCs w:val="20"/>
                <w:color w:val="auto"/>
              </w:rPr>
            </w:pPr>
            <w:r>
              <w:rPr>
                <w:rFonts w:ascii="Arial" w:cs="Arial" w:eastAsia="Arial" w:hAnsi="Arial"/>
                <w:sz w:val="13"/>
                <w:szCs w:val="13"/>
                <w:b w:val="1"/>
                <w:bCs w:val="1"/>
                <w:color w:val="auto"/>
                <w:w w:val="88"/>
              </w:rPr>
              <w:t>$ Change</w:t>
            </w: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Net income allocated to noncontrolling interests:</w:t>
            </w: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60" w:type="dxa"/>
            <w:vAlign w:val="bottom"/>
          </w:tcPr>
          <w:p>
            <w:pPr>
              <w:ind w:left="180"/>
              <w:spacing w:after="0" w:line="121" w:lineRule="exact"/>
              <w:rPr>
                <w:sz w:val="20"/>
                <w:szCs w:val="20"/>
                <w:color w:val="auto"/>
              </w:rPr>
            </w:pPr>
            <w:r>
              <w:rPr>
                <w:rFonts w:ascii="Arial" w:cs="Arial" w:eastAsia="Arial" w:hAnsi="Arial"/>
                <w:sz w:val="13"/>
                <w:szCs w:val="13"/>
                <w:color w:val="auto"/>
              </w:rPr>
              <w:t>Net income allocated to Preferred Operating Partnership</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ind w:left="360"/>
              <w:spacing w:after="0"/>
              <w:rPr>
                <w:sz w:val="20"/>
                <w:szCs w:val="20"/>
                <w:color w:val="auto"/>
              </w:rPr>
            </w:pPr>
            <w:r>
              <w:rPr>
                <w:rFonts w:ascii="Arial" w:cs="Arial" w:eastAsia="Arial" w:hAnsi="Arial"/>
                <w:sz w:val="13"/>
                <w:szCs w:val="13"/>
                <w:color w:val="auto"/>
              </w:rPr>
              <w:t>noncontrolling interests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(1,598)</w:t>
            </w:r>
          </w:p>
        </w:tc>
        <w:tc>
          <w:tcPr>
            <w:tcW w:w="24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17"/>
              <w:spacing w:after="0"/>
              <w:rPr>
                <w:sz w:val="20"/>
                <w:szCs w:val="20"/>
                <w:color w:val="auto"/>
              </w:rPr>
            </w:pPr>
            <w:r>
              <w:rPr>
                <w:rFonts w:ascii="Arial" w:cs="Arial" w:eastAsia="Arial" w:hAnsi="Arial"/>
                <w:sz w:val="13"/>
                <w:szCs w:val="13"/>
                <w:color w:val="auto"/>
              </w:rPr>
              <w:t>(1,524)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(74)</w:t>
            </w:r>
          </w:p>
        </w:tc>
        <w:tc>
          <w:tcPr>
            <w:tcW w:w="1040" w:type="dxa"/>
            <w:vAlign w:val="bottom"/>
            <w:gridSpan w:val="2"/>
          </w:tcPr>
          <w:p>
            <w:pPr>
              <w:jc w:val="right"/>
              <w:ind w:right="57"/>
              <w:spacing w:after="0"/>
              <w:rPr>
                <w:sz w:val="20"/>
                <w:szCs w:val="20"/>
                <w:color w:val="auto"/>
              </w:rPr>
            </w:pPr>
            <w:r>
              <w:rPr>
                <w:rFonts w:ascii="Arial" w:cs="Arial" w:eastAsia="Arial" w:hAnsi="Arial"/>
                <w:sz w:val="13"/>
                <w:szCs w:val="13"/>
                <w:color w:val="auto"/>
              </w:rPr>
              <w:t>4.9%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(4,682)</w:t>
            </w:r>
          </w:p>
        </w:tc>
        <w:tc>
          <w:tcPr>
            <w:tcW w:w="24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(4,510)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38"/>
              <w:spacing w:after="0"/>
              <w:rPr>
                <w:sz w:val="20"/>
                <w:szCs w:val="20"/>
                <w:color w:val="auto"/>
              </w:rPr>
            </w:pPr>
            <w:r>
              <w:rPr>
                <w:rFonts w:ascii="Arial" w:cs="Arial" w:eastAsia="Arial" w:hAnsi="Arial"/>
                <w:sz w:val="13"/>
                <w:szCs w:val="13"/>
                <w:color w:val="auto"/>
              </w:rPr>
              <w:t>(172)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21"/>
        </w:trPr>
        <w:tc>
          <w:tcPr>
            <w:tcW w:w="35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Net income allocated to Operating Partnership and other</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noncontrolling interests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(202)</w:t>
            </w:r>
          </w:p>
        </w:tc>
        <w:tc>
          <w:tcPr>
            <w:tcW w:w="10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69.4%</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(661)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(495)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42"/>
        </w:trPr>
        <w:tc>
          <w:tcPr>
            <w:tcW w:w="3560" w:type="dxa"/>
            <w:vAlign w:val="bottom"/>
          </w:tcPr>
          <w:p>
            <w:pPr>
              <w:ind w:left="360"/>
              <w:spacing w:after="0" w:line="143" w:lineRule="exact"/>
              <w:rPr>
                <w:sz w:val="20"/>
                <w:szCs w:val="20"/>
                <w:color w:val="auto"/>
              </w:rPr>
            </w:pPr>
            <w:r>
              <w:rPr>
                <w:rFonts w:ascii="Arial" w:cs="Arial" w:eastAsia="Arial" w:hAnsi="Arial"/>
                <w:sz w:val="13"/>
                <w:szCs w:val="13"/>
                <w:color w:val="auto"/>
              </w:rPr>
              <w:t>Total income allocated to noncontrolling interests:</w:t>
            </w: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(2,091</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(1,815</w:t>
            </w:r>
          </w:p>
        </w:tc>
        <w:tc>
          <w:tcPr>
            <w:tcW w:w="240" w:type="dxa"/>
            <w:vAlign w:val="bottom"/>
          </w:tcPr>
          <w:p>
            <w:pPr>
              <w:jc w:val="right"/>
              <w:ind w:right="117"/>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(276</w:t>
            </w:r>
          </w:p>
        </w:tc>
        <w:tc>
          <w:tcPr>
            <w:tcW w:w="240" w:type="dxa"/>
            <w:vAlign w:val="bottom"/>
          </w:tcPr>
          <w:p>
            <w:pPr>
              <w:jc w:val="right"/>
              <w:ind w:right="117"/>
              <w:spacing w:after="0" w:line="141" w:lineRule="exact"/>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w:t>
            </w:r>
          </w:p>
        </w:tc>
        <w:tc>
          <w:tcPr>
            <w:tcW w:w="240" w:type="dxa"/>
            <w:vAlign w:val="bottom"/>
          </w:tcPr>
          <w:p>
            <w:pPr>
              <w:jc w:val="right"/>
              <w:ind w:right="57"/>
              <w:spacing w:after="0" w:line="141" w:lineRule="exact"/>
              <w:rPr>
                <w:sz w:val="20"/>
                <w:szCs w:val="20"/>
                <w:color w:val="auto"/>
              </w:rPr>
            </w:pPr>
            <w:r>
              <w:rPr>
                <w:rFonts w:ascii="Arial" w:cs="Arial" w:eastAsia="Arial" w:hAnsi="Arial"/>
                <w:sz w:val="13"/>
                <w:szCs w:val="13"/>
                <w:color w:val="auto"/>
                <w:w w:val="86"/>
              </w:rPr>
              <w:t>%</w:t>
            </w: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(5,838</w:t>
            </w:r>
          </w:p>
        </w:tc>
        <w:tc>
          <w:tcPr>
            <w:tcW w:w="140" w:type="dxa"/>
            <w:vAlign w:val="bottom"/>
          </w:tcPr>
          <w:p>
            <w:pPr>
              <w:jc w:val="right"/>
              <w:ind w:right="17"/>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(5,171</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(667</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12.9</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 units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2011 and 2010 equals the fixed distribution paid to the Preferred OP unit holder plus approximately 1.0% and 1.1%, respectively, of the remaining net income allocated after the adjustment for the fixed distribution paid.</w:t>
      </w:r>
    </w:p>
    <w:p>
      <w:pPr>
        <w:spacing w:after="0" w:line="176"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Net Income Allocated to Operating Partnership and Other Noncontrolling Interests — </w:t>
      </w:r>
      <w:r>
        <w:rPr>
          <w:rFonts w:ascii="Arial" w:cs="Arial" w:eastAsia="Arial" w:hAnsi="Arial"/>
          <w:sz w:val="16"/>
          <w:szCs w:val="16"/>
          <w:color w:val="auto"/>
        </w:rPr>
        <w:t>Income allocated to the Operating Partnership as of</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2011 and 2010 represents approximately 3.1% and 3.8%, respectively, of net income after the allocation of the fixed distribution paid to the Preferred OP unit holder. Loss allocated to other noncontrolling interests represents the losses allocated to partners in consolidated joint ventures.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ectPr>
          <w:pgSz w:w="11900" w:h="16838" w:orient="portrait"/>
          <w:cols w:equalWidth="0" w:num="1">
            <w:col w:w="11420"/>
          </w:cols>
          <w:pgMar w:left="240" w:top="337" w:right="239" w:bottom="0" w:gutter="0" w:footer="0" w:header="0"/>
        </w:sectPr>
      </w:pPr>
    </w:p>
    <w:bookmarkStart w:id="18" w:name="page19"/>
    <w:bookmarkEnd w:id="18"/>
    <w:p>
      <w:pPr>
        <w:spacing w:after="0" w:line="1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an indicator of our ability to make cash distributions. The following table sets forth the calculation of FFO for the periods indicated: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14"/>
                <w:szCs w:val="14"/>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12,958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1,979</w:t>
            </w: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2,172</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loss on sale of properties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Distributions paid on Preferred Operating Partnership units</w:t>
            </w:r>
          </w:p>
        </w:tc>
        <w:tc>
          <w:tcPr>
            <w:tcW w:w="1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(1,438)</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32,015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81,368</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SAME-STORE STABILIZED PROPERTY RESULTS</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consider our same-store stabilized portfolio to consist of only those properties that were wholly-owned at the beginning and at the end of the applicable periods presented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and tenant reinsurance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Same-store operating and tenant reinsurance expenses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19,690</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19,693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59,506</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59,504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42,033</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120,099</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2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Non same-store rental and tenant reinsurance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16,021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Non same-store operating and tenant reinsurance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6,176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3,377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15,413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9,143</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rental and tenant reinsurance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77,744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66,128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218,154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191,287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tenant reinsurance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25,866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68,647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Same-store square foot occupancy as of quarter end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increases in same-store rental revenues for the three and nine months ended September 30, 2011 as compared to the three and nine months ended September 30, 2010 were due primarily to a 3.4% increase in occupancy, declines in discounts and increases in incoming rates to new tenants.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Cash flows provided by operating activities were $100,657 and $74,730, respectively, for the nine months ended September 30, 2011 and 2010. The increase compared to the same period of the prior year primarily relates to a $17,423 increase in net income and $4,901 increase in depreciation expense.</w:t>
      </w:r>
    </w:p>
    <w:p>
      <w:pPr>
        <w:spacing w:after="0" w:line="12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Cash used in investing activities was $169,188 and $34,495, respectively, for the nine months ended September 30, 2011 and 2010. The increase relates primarily to an increase of $83,755 in the amount of cash used to acquire real estate assets during 2011 as compared to 2010 and $51,000 related to the purchase of an affiliated joint venture note payable in September 2011.</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Cash provided by financing activities for the nine months ended September 30, 2011 was $55,676, compared to cash used in financing activities of $150,387 for the nine months ended September 30, 2010. The increase in cash provided by financing activities was primarily the result of net proceeds from the sale of common stock of $112,352 in 2011 compared to $0 in 2010. There was also an increase in proceeds from notes payable and lines of credit of $239,118 over the same period of the prior year offset by an increase in cash paid for principal payments on notes payable and lines of credit of $141,674.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September 30, 2011, we had $33,895 available in cash and cash equivalents. We intend to use this cash to repay debt scheduled to mature in 2011 and 2012 and for general corporate purposes. We are required to distribute at least 90% of our net taxable income, excluding net capital gains, to our stockholders</w:t>
      </w:r>
    </w:p>
    <w:p>
      <w:pPr>
        <w:sectPr>
          <w:pgSz w:w="11900" w:h="16975" w:orient="portrait"/>
          <w:cols w:equalWidth="0" w:num="1">
            <w:col w:w="11420"/>
          </w:cols>
          <w:pgMar w:left="240" w:top="341"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on an annual basis to maintain our qualification as a REIT.</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2010 and the first nine months of 2011,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lines of credit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rPr>
              <w:t>As of September 30, 2011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Origination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Line of Credit</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Capacity</w:t>
            </w:r>
          </w:p>
        </w:tc>
        <w:tc>
          <w:tcPr>
            <w:tcW w:w="220" w:type="dxa"/>
            <w:vAlign w:val="bottom"/>
            <w:vMerge w:val="restart"/>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Interest</w:t>
            </w:r>
          </w:p>
        </w:tc>
        <w:tc>
          <w:tcPr>
            <w:tcW w:w="2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0"/>
                <w:szCs w:val="10"/>
                <w:color w:val="auto"/>
              </w:rPr>
            </w:pPr>
          </w:p>
        </w:tc>
        <w:tc>
          <w:tcPr>
            <w:tcW w:w="22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Basis Rate</w:t>
            </w:r>
          </w:p>
        </w:tc>
        <w:tc>
          <w:tcPr>
            <w:tcW w:w="220" w:type="dxa"/>
            <w:vAlign w:val="bottom"/>
            <w:vMerge w:val="restart"/>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Drawn</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Credit Line 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10/19/2007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10/31/2011</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LIBOR plus 1.0% - 2.1%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Credit Line 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2/13/2009</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2/13/2013</w:t>
            </w:r>
          </w:p>
        </w:tc>
        <w:tc>
          <w:tcPr>
            <w:tcW w:w="2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LIBOR plus 2.15%</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5/31/2013</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plus 3.5%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Credit Line 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11/16/2010</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11/16/2013</w:t>
            </w:r>
          </w:p>
        </w:tc>
        <w:tc>
          <w:tcPr>
            <w:tcW w:w="2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LIBOR plus 2.2%</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4/29/2014</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plus 2.75%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year extension available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two-year extension available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Two one-year extensions available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Guaranteed by the Company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Secured by mortgages on certain real estate assets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September 30, 2011, we had $1,243,119 of debt, resulting in a debt to total capitalization ratio of 40.4%. As of September 30, 2011, the ratio of total fixed rate debt and other instruments to total debt was 77.3% (including $343,586 on which we have interest rate swaps that have been included as fixed-rate debt). The weighted average interest rate of the total of fixed and variable rate debt at September 30, 2011 was 4.8%. Certain of our real estate assets are pledged as collateral for our debt. We are subject to certain restrictive covenants relating to our outstanding debt. We were in compliance with all financial covenants at September 30, 2011.</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lines of credit. In addition, we are pursuing additional term loans secured by unencumbered properties.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liquidity needs consist primarily of cash distributions to stockholders, property acquisitions, principal payments under our borrowings and non-recurring capital expenditures. We may from time to time seek to repurchase or redeem our outstanding debt, shares of common stock or other securities in open market purchases, privately negotiated transactions or otherwise. Such repurchases or redemptions, if any, will depend on 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U.S. credit markets have experienced dislocations and liquidity disruptions. These circumstances have impacted liquidity in the debt markets, making financing terms for borrowers less attractive, and in certain cases have resulted in the unavailability of certain types of debt financing. Uncertainty in the credit markets may negatively impact our ability to make acquisitions.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disclosed in the notes to our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For a further description of our exchangeable senior notes, refer to the consolidated financial statements and footnotes thereto included in our Annual Report on Form 10-K for the year ended December 31, 2010 as filed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ectPr>
          <w:pgSz w:w="11900" w:h="16838"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sets forth information on payments due by period as of September 30, 2011:</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Payments due by Period: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Less Than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0"/>
                <w:szCs w:val="10"/>
                <w:color w:val="auto"/>
              </w:rPr>
            </w:pPr>
          </w:p>
        </w:tc>
        <w:tc>
          <w:tcPr>
            <w:tcW w:w="90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exchangeable senior notes and lines of credit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359,527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94,749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149,520</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1,243,119</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241,749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295,104</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353,065</w:t>
            </w: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353,201</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537,997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2011, the weighted-average interest rate for all fixed rate loans was 5.3%, and the weighted-average interest rate for all variable rate loans was 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that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ectPr>
          <w:pgSz w:w="11900" w:h="16838" w:orient="portrait"/>
          <w:cols w:equalWidth="0" w:num="1">
            <w:col w:w="11400"/>
          </w:cols>
          <w:pgMar w:left="240" w:top="341" w:right="259" w:bottom="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As of September 30, 2011, we had approximately $1,243,119 in total debt, of which $282,319 was subject to variable interest rates (excluding debt with interest rate swaps). If LIBOR were to increase or decrease by 100 basis points, the increase or decrease in interest expense on the variable rate debt (excluding variable rate debt with interest rate floors) would increase or decrease future earnings and cash flows by approximately $2,005 annually.</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notes receivable, our fixed rate notes payable and notes payable to trusts and exchangeable senior notes are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 2011</w:t>
            </w:r>
          </w:p>
        </w:tc>
        <w:tc>
          <w:tcPr>
            <w:tcW w:w="240" w:type="dxa"/>
            <w:vAlign w:val="bottom"/>
          </w:tcPr>
          <w:p>
            <w:pPr>
              <w:spacing w:after="0"/>
              <w:rPr>
                <w:sz w:val="14"/>
                <w:szCs w:val="14"/>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2010</w:t>
            </w:r>
          </w:p>
        </w:tc>
      </w:tr>
      <w:tr>
        <w:trPr>
          <w:trHeight w:val="119"/>
        </w:trPr>
        <w:tc>
          <w:tcPr>
            <w:tcW w:w="54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receivable from Preferred Operating Partnership unit holder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2"/>
              </w:rPr>
              <w:t>115,696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937,327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873,137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777,575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731,588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118,975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or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disclosure committee that is responsible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are expected to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2010 Annual Report on Form 10-K.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ectPr>
          <w:pgSz w:w="11900" w:h="16838" w:orient="portrait"/>
          <w:cols w:equalWidth="0" w:num="1">
            <w:col w:w="11380"/>
          </w:cols>
          <w:pgMar w:left="240" w:top="341" w:right="27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tcPr>
          <w:p>
            <w:pPr>
              <w:ind w:left="4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tcPr>
          <w:p>
            <w:pPr>
              <w:ind w:left="4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tcPr>
          <w:p>
            <w:pPr>
              <w:ind w:left="420"/>
              <w:spacing w:after="0"/>
              <w:rPr>
                <w:sz w:val="20"/>
                <w:szCs w:val="20"/>
                <w:color w:val="auto"/>
              </w:rPr>
            </w:pPr>
            <w:r>
              <w:rPr>
                <w:rFonts w:ascii="Arial" w:cs="Arial" w:eastAsia="Arial" w:hAnsi="Arial"/>
                <w:sz w:val="18"/>
                <w:szCs w:val="18"/>
                <w:color w:val="auto"/>
                <w:w w:val="92"/>
              </w:rPr>
              <w:t>Certifications of the Chief Executive Officer and Chief Financial Officer pursuant to 18 U.S.C. Section 1350, as adopted pursuant to</w:t>
            </w:r>
          </w:p>
        </w:tc>
      </w:tr>
      <w:tr>
        <w:trPr>
          <w:trHeight w:val="230"/>
        </w:trPr>
        <w:tc>
          <w:tcPr>
            <w:tcW w:w="860" w:type="dxa"/>
            <w:vAlign w:val="bottom"/>
          </w:tcPr>
          <w:p>
            <w:pPr>
              <w:spacing w:after="0"/>
              <w:rPr>
                <w:sz w:val="20"/>
                <w:szCs w:val="20"/>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tcPr>
          <w:p>
            <w:pPr>
              <w:ind w:left="420"/>
              <w:spacing w:after="0"/>
              <w:rPr>
                <w:sz w:val="20"/>
                <w:szCs w:val="20"/>
                <w:color w:val="auto"/>
              </w:rPr>
            </w:pPr>
            <w:r>
              <w:rPr>
                <w:rFonts w:ascii="Arial" w:cs="Arial" w:eastAsia="Arial" w:hAnsi="Arial"/>
                <w:sz w:val="18"/>
                <w:szCs w:val="18"/>
                <w:color w:val="auto"/>
                <w:w w:val="90"/>
              </w:rPr>
              <w:t>The following materials from Extra Space Storage Inc.’s Quarterly Report on Form 10-Q for the quarter ended September 30, 2011 are</w:t>
            </w:r>
          </w:p>
        </w:tc>
      </w:tr>
      <w:tr>
        <w:trPr>
          <w:trHeight w:val="230"/>
        </w:trPr>
        <w:tc>
          <w:tcPr>
            <w:tcW w:w="860" w:type="dxa"/>
            <w:vAlign w:val="bottom"/>
          </w:tcPr>
          <w:p>
            <w:pPr>
              <w:spacing w:after="0"/>
              <w:rPr>
                <w:sz w:val="20"/>
                <w:szCs w:val="20"/>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w w:val="91"/>
              </w:rPr>
              <w:t>formatted in XBRL (eXtensible Business Reporting Language): (1) the Condensed Consolidated Balance Sheets, (2) the Condensed</w:t>
            </w:r>
          </w:p>
        </w:tc>
      </w:tr>
    </w:tbl>
    <w:p>
      <w:pPr>
        <w:ind w:left="1280" w:right="60"/>
        <w:spacing w:after="0" w:line="261" w:lineRule="auto"/>
        <w:rPr>
          <w:sz w:val="20"/>
          <w:szCs w:val="20"/>
          <w:color w:val="auto"/>
        </w:rPr>
      </w:pPr>
      <w:r>
        <w:rPr>
          <w:rFonts w:ascii="Arial" w:cs="Arial" w:eastAsia="Arial" w:hAnsi="Arial"/>
          <w:sz w:val="18"/>
          <w:szCs w:val="18"/>
          <w:color w:val="auto"/>
        </w:rPr>
        <w:t>Consolidated Statements of Operations, (3) the Condensed Consolidated Statement of Equity, (4) the Condensed Consolidated Statements of Cash Flows and (5) notes to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right="220" w:firstLine="8"/>
        <w:spacing w:after="0" w:line="302" w:lineRule="auto"/>
        <w:tabs>
          <w:tab w:leader="none" w:pos="135"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Extra Space Storage Inc., whether made before or after the date hereof, regardless of any general incorporation language in such filing. Signed originals of these certifications have been provided to the Company and will be retained by the Company and furnished to the Securities and Exchange Commission or its staff upon request.</w:t>
      </w:r>
    </w:p>
    <w:p>
      <w:pPr>
        <w:spacing w:after="0" w:line="154" w:lineRule="exact"/>
        <w:rPr>
          <w:sz w:val="20"/>
          <w:szCs w:val="20"/>
          <w:color w:val="auto"/>
        </w:rPr>
      </w:pPr>
    </w:p>
    <w:p>
      <w:pPr>
        <w:ind w:right="200" w:firstLine="8"/>
        <w:spacing w:after="0" w:line="264" w:lineRule="auto"/>
        <w:tabs>
          <w:tab w:leader="none" w:pos="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2011</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2011</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7, 2011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7, 2011</w:t>
            </w:r>
          </w:p>
        </w:tc>
        <w:tc>
          <w:tcPr>
            <w:tcW w:w="2700" w:type="dxa"/>
            <w:vAlign w:val="bottom"/>
          </w:tcPr>
          <w:p>
            <w:pPr>
              <w:ind w:left="2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70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2011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November 7, 2011</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2011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6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40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400" w:type="dxa"/>
            <w:vAlign w:val="bottom"/>
          </w:tcPr>
          <w:p>
            <w:pPr>
              <w:ind w:left="56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400" w:type="dxa"/>
            <w:vAlign w:val="bottom"/>
          </w:tcPr>
          <w:p>
            <w:pPr>
              <w:ind w:left="5680"/>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November 7, 2011</w:t>
            </w:r>
          </w:p>
        </w:tc>
        <w:tc>
          <w:tcPr>
            <w:tcW w:w="40" w:type="dxa"/>
            <w:vAlign w:val="bottom"/>
          </w:tcPr>
          <w:p>
            <w:pPr>
              <w:spacing w:after="0"/>
              <w:rPr>
                <w:sz w:val="20"/>
                <w:szCs w:val="20"/>
                <w:color w:val="auto"/>
              </w:rPr>
            </w:pPr>
          </w:p>
        </w:tc>
      </w:tr>
      <w:tr>
        <w:trPr>
          <w:trHeight w:val="348"/>
        </w:trPr>
        <w:tc>
          <w:tcPr>
            <w:tcW w:w="64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2019-12-10T23:38:41Z</dcterms:created>
  <dcterms:modified xsi:type="dcterms:W3CDTF">2019-12-10T23:38:41Z</dcterms:modified>
</cp:coreProperties>
</file>